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EF0" w:rsidTr="0010095E">
        <w:trPr>
          <w:trHeight w:hRule="exact" w:val="1418"/>
        </w:trPr>
        <w:tc>
          <w:tcPr>
            <w:tcW w:w="6804" w:type="dxa"/>
            <w:shd w:val="clear" w:color="auto" w:fill="auto"/>
            <w:vAlign w:val="center"/>
          </w:tcPr>
          <w:p w:rsidR="00751A4A" w:rsidRPr="00F37EF0" w:rsidRDefault="006153DC" w:rsidP="0010095E">
            <w:pPr>
              <w:pStyle w:val="EPName"/>
            </w:pPr>
            <w:r w:rsidRPr="00F37EF0">
              <w:t>Evropski parlament</w:t>
            </w:r>
          </w:p>
          <w:p w:rsidR="00751A4A" w:rsidRPr="00F37EF0" w:rsidRDefault="005F1B17" w:rsidP="005F1B17">
            <w:pPr>
              <w:pStyle w:val="EPTerm"/>
              <w:rPr>
                <w:rStyle w:val="HideTWBExt"/>
                <w:noProof w:val="0"/>
                <w:vanish w:val="0"/>
                <w:color w:val="auto"/>
              </w:rPr>
            </w:pPr>
            <w:r w:rsidRPr="00F37EF0">
              <w:t>2024</w:t>
            </w:r>
            <w:r w:rsidR="00817416" w:rsidRPr="00F37EF0">
              <w:t>-202</w:t>
            </w:r>
            <w:r w:rsidRPr="00F37EF0">
              <w:t>9</w:t>
            </w:r>
          </w:p>
        </w:tc>
        <w:tc>
          <w:tcPr>
            <w:tcW w:w="2268" w:type="dxa"/>
            <w:shd w:val="clear" w:color="auto" w:fill="auto"/>
          </w:tcPr>
          <w:p w:rsidR="00751A4A" w:rsidRPr="00F37EF0" w:rsidRDefault="00187494" w:rsidP="0010095E">
            <w:pPr>
              <w:pStyle w:val="EPLogo"/>
            </w:pPr>
            <w:r w:rsidRPr="00F37E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EF0" w:rsidRDefault="00D058B8" w:rsidP="004C5D52">
      <w:pPr>
        <w:pStyle w:val="LineTop"/>
      </w:pPr>
    </w:p>
    <w:p w:rsidR="00680577" w:rsidRPr="00F37EF0" w:rsidRDefault="006153DC" w:rsidP="00680577">
      <w:pPr>
        <w:pStyle w:val="EPBodyTA1"/>
      </w:pPr>
      <w:r w:rsidRPr="00F37EF0">
        <w:t>SPREJETA BESEDILA</w:t>
      </w:r>
    </w:p>
    <w:p w:rsidR="00D058B8" w:rsidRPr="00F37EF0" w:rsidRDefault="00D058B8" w:rsidP="00D058B8">
      <w:pPr>
        <w:pStyle w:val="LineBottom"/>
      </w:pPr>
    </w:p>
    <w:p w:rsidR="006153DC" w:rsidRPr="00F37EF0" w:rsidRDefault="006153DC" w:rsidP="00F37EF0">
      <w:pPr>
        <w:pStyle w:val="ATHeading1"/>
      </w:pPr>
      <w:bookmarkStart w:id="0" w:name="TANumber"/>
      <w:r w:rsidRPr="00F37EF0">
        <w:t>P10_TA(2025)</w:t>
      </w:r>
      <w:bookmarkEnd w:id="0"/>
      <w:r w:rsidR="00F37EF0" w:rsidRPr="00F37EF0">
        <w:t>0056</w:t>
      </w:r>
    </w:p>
    <w:p w:rsidR="006153DC" w:rsidRPr="00F37EF0" w:rsidRDefault="006153DC" w:rsidP="006153DC">
      <w:pPr>
        <w:pStyle w:val="ATHeading2"/>
      </w:pPr>
      <w:bookmarkStart w:id="1" w:name="title"/>
      <w:r w:rsidRPr="00F37EF0">
        <w:t>Okrepitev varnosti osebnih izkaznic državljanov Unije in dokumentov za prebivanje, izdanih državljanom Unije in njihovim družinskim članom, ki uresničujejo svojo pravico do prostega gibanja</w:t>
      </w:r>
      <w:bookmarkEnd w:id="1"/>
    </w:p>
    <w:p w:rsidR="006153DC" w:rsidRPr="00F37EF0" w:rsidRDefault="006153DC" w:rsidP="006153DC">
      <w:pPr>
        <w:rPr>
          <w:i/>
          <w:vanish/>
        </w:rPr>
      </w:pPr>
      <w:r w:rsidRPr="00F37EF0">
        <w:rPr>
          <w:i/>
        </w:rPr>
        <w:fldChar w:fldCharType="begin"/>
      </w:r>
      <w:r w:rsidRPr="00F37EF0">
        <w:rPr>
          <w:i/>
        </w:rPr>
        <w:instrText xml:space="preserve"> TC"(</w:instrText>
      </w:r>
      <w:bookmarkStart w:id="2" w:name="DocNumber"/>
      <w:r w:rsidRPr="00F37EF0">
        <w:rPr>
          <w:i/>
        </w:rPr>
        <w:instrText>A10-0041/2025</w:instrText>
      </w:r>
      <w:bookmarkEnd w:id="2"/>
      <w:r w:rsidRPr="00F37EF0">
        <w:rPr>
          <w:i/>
        </w:rPr>
        <w:instrText xml:space="preserve"> - Poročevalec: Malik Azmani)"\l3 \n&gt; \* MERGEFORMAT </w:instrText>
      </w:r>
      <w:r w:rsidRPr="00F37EF0">
        <w:rPr>
          <w:i/>
        </w:rPr>
        <w:fldChar w:fldCharType="end"/>
      </w:r>
    </w:p>
    <w:p w:rsidR="006153DC" w:rsidRPr="00F37EF0" w:rsidRDefault="006153DC" w:rsidP="006153DC">
      <w:pPr>
        <w:rPr>
          <w:vanish/>
        </w:rPr>
      </w:pPr>
      <w:bookmarkStart w:id="3" w:name="Commission"/>
      <w:r w:rsidRPr="00F37EF0">
        <w:rPr>
          <w:vanish/>
        </w:rPr>
        <w:t>Odbor za državljanske svoboščine, pravosodje in notranje zadeve</w:t>
      </w:r>
      <w:bookmarkEnd w:id="3"/>
    </w:p>
    <w:p w:rsidR="006153DC" w:rsidRPr="00F37EF0" w:rsidRDefault="006153DC" w:rsidP="006153DC">
      <w:pPr>
        <w:rPr>
          <w:vanish/>
        </w:rPr>
      </w:pPr>
      <w:bookmarkStart w:id="4" w:name="PE"/>
      <w:r w:rsidRPr="00F37EF0">
        <w:rPr>
          <w:vanish/>
        </w:rPr>
        <w:t>PE766.606</w:t>
      </w:r>
      <w:bookmarkEnd w:id="4"/>
    </w:p>
    <w:p w:rsidR="006153DC" w:rsidRPr="00F37EF0" w:rsidRDefault="006153DC" w:rsidP="006153DC">
      <w:pPr>
        <w:pStyle w:val="ATHeading3"/>
      </w:pPr>
      <w:bookmarkStart w:id="5" w:name="Sujet"/>
      <w:r w:rsidRPr="00F37EF0">
        <w:t>Zakonodajna resolucija Evropskega parlamenta z dne 2. aprila 2025 o predlogu uredbe Sveta o okrepitvi varnosti osebnih izkaznic državljanov Unije in dokumentov za prebivanje, izdanih državljanom Unije in njihovim družinskim članom, ki uresničujejo svojo pravico do prostega gibanja</w:t>
      </w:r>
      <w:bookmarkEnd w:id="5"/>
      <w:r w:rsidRPr="00F37EF0">
        <w:t xml:space="preserve"> </w:t>
      </w:r>
      <w:bookmarkStart w:id="6" w:name="References"/>
      <w:r w:rsidRPr="00F37EF0">
        <w:t>(COM(2024)0316 – C10-0112/2024 – 2024/0187(CNS))</w:t>
      </w:r>
      <w:bookmarkEnd w:id="6"/>
    </w:p>
    <w:p w:rsidR="008E0190" w:rsidRPr="00F37EF0" w:rsidRDefault="008E0190" w:rsidP="008E0190">
      <w:pPr>
        <w:pStyle w:val="NormalBold"/>
      </w:pPr>
      <w:r w:rsidRPr="00F37EF0">
        <w:t>(Posebni zakonodajni postopek – posvetovanje)</w:t>
      </w:r>
    </w:p>
    <w:p w:rsidR="008E0190" w:rsidRPr="00F37EF0" w:rsidRDefault="008E0190" w:rsidP="008E0190">
      <w:pPr>
        <w:pStyle w:val="EPComma"/>
      </w:pPr>
      <w:r w:rsidRPr="00F37EF0">
        <w:rPr>
          <w:i/>
        </w:rPr>
        <w:t>Evropski parlament</w:t>
      </w:r>
      <w:r w:rsidRPr="00F37EF0">
        <w:t>,</w:t>
      </w:r>
    </w:p>
    <w:p w:rsidR="008E0190" w:rsidRPr="00F37EF0" w:rsidRDefault="008E0190" w:rsidP="008E0190">
      <w:pPr>
        <w:pStyle w:val="NormalHanging12a"/>
      </w:pPr>
      <w:r w:rsidRPr="00F37EF0">
        <w:t>–</w:t>
      </w:r>
      <w:r w:rsidRPr="00F37EF0">
        <w:tab/>
        <w:t>ob upoštevanju predloga Komisije Svetu (COM(2024)0316),</w:t>
      </w:r>
    </w:p>
    <w:p w:rsidR="008E0190" w:rsidRPr="00F37EF0" w:rsidRDefault="008E0190" w:rsidP="008E0190">
      <w:pPr>
        <w:pStyle w:val="NormalHanging12a"/>
      </w:pPr>
      <w:r w:rsidRPr="00F37EF0">
        <w:t>–</w:t>
      </w:r>
      <w:r w:rsidRPr="00F37EF0">
        <w:tab/>
        <w:t>ob upoštevanju člena 77(3) Pogodbe o delovanju Evropske unije, na podlagi katerega se je Svet posvetoval s Parlamentom (C10</w:t>
      </w:r>
      <w:r w:rsidRPr="00F37EF0">
        <w:noBreakHyphen/>
        <w:t>0112/2024),</w:t>
      </w:r>
    </w:p>
    <w:p w:rsidR="008E0190" w:rsidRPr="00F37EF0" w:rsidRDefault="008E0190" w:rsidP="008E0190">
      <w:pPr>
        <w:pStyle w:val="NormalHanging12a"/>
      </w:pPr>
      <w:r w:rsidRPr="00F37EF0">
        <w:t>–</w:t>
      </w:r>
      <w:r w:rsidRPr="00F37EF0">
        <w:tab/>
        <w:t>ob upoštevanju člena 84 Poslovnika,</w:t>
      </w:r>
    </w:p>
    <w:p w:rsidR="008E0190" w:rsidRPr="00F37EF0" w:rsidRDefault="008E0190" w:rsidP="008E0190">
      <w:pPr>
        <w:pStyle w:val="NormalHanging12a"/>
      </w:pPr>
      <w:r w:rsidRPr="00F37EF0">
        <w:t>–</w:t>
      </w:r>
      <w:r w:rsidRPr="00F37EF0">
        <w:tab/>
        <w:t>ob upoštevanju poročila Odbora za državljanske svoboščine, pravosodje in notranje zadeve (A10</w:t>
      </w:r>
      <w:r w:rsidRPr="00F37EF0">
        <w:noBreakHyphen/>
        <w:t>0041/2025),</w:t>
      </w:r>
    </w:p>
    <w:p w:rsidR="008E0190" w:rsidRPr="00F37EF0" w:rsidRDefault="008E0190" w:rsidP="008E0190">
      <w:pPr>
        <w:pStyle w:val="NormalHanging12a"/>
      </w:pPr>
      <w:r w:rsidRPr="00F37EF0">
        <w:t>1.</w:t>
      </w:r>
      <w:r w:rsidRPr="00F37EF0">
        <w:tab/>
        <w:t>odobri predlog Komisije, kakor je bil spremenjen;</w:t>
      </w:r>
    </w:p>
    <w:p w:rsidR="008E0190" w:rsidRPr="00F37EF0" w:rsidRDefault="008E0190" w:rsidP="008E0190">
      <w:pPr>
        <w:pStyle w:val="NormalHanging12a"/>
      </w:pPr>
      <w:r w:rsidRPr="00F37EF0">
        <w:t>2.</w:t>
      </w:r>
      <w:r w:rsidRPr="00F37EF0">
        <w:tab/>
        <w:t>poziva Komisijo, naj ustrezno spremeni svoj predlog na podlagi člena 293(2) Pogodbe o delovanju Evropske unije;</w:t>
      </w:r>
    </w:p>
    <w:p w:rsidR="008E0190" w:rsidRPr="00F37EF0" w:rsidRDefault="008E0190" w:rsidP="008E0190">
      <w:pPr>
        <w:pStyle w:val="NormalHanging12a"/>
      </w:pPr>
      <w:r w:rsidRPr="00F37EF0">
        <w:t>3.</w:t>
      </w:r>
      <w:r w:rsidRPr="00F37EF0">
        <w:tab/>
        <w:t>poziva Svet, naj obvesti Parlament, če namerava odstopiti od besedila, ki ga je Parlament odobril;</w:t>
      </w:r>
    </w:p>
    <w:p w:rsidR="008E0190" w:rsidRPr="00F37EF0" w:rsidRDefault="008E0190" w:rsidP="008E0190">
      <w:pPr>
        <w:pStyle w:val="NormalHanging12a"/>
      </w:pPr>
      <w:r w:rsidRPr="00F37EF0">
        <w:t>4.</w:t>
      </w:r>
      <w:r w:rsidRPr="00F37EF0">
        <w:tab/>
        <w:t xml:space="preserve">poziva Svet, naj se ponovno posvetuje s Parlamentom, če namerava bistveno spremeniti </w:t>
      </w:r>
      <w:r w:rsidR="00BD1B89" w:rsidRPr="00F37EF0">
        <w:t>predlog Komisije</w:t>
      </w:r>
      <w:r w:rsidRPr="00F37EF0">
        <w:t>;</w:t>
      </w:r>
    </w:p>
    <w:p w:rsidR="00F37EF0" w:rsidRPr="00F37EF0" w:rsidRDefault="008E0190" w:rsidP="00F37EF0">
      <w:pPr>
        <w:pStyle w:val="NormalHanging12a"/>
      </w:pPr>
      <w:r w:rsidRPr="00F37EF0">
        <w:t>5.</w:t>
      </w:r>
      <w:r w:rsidRPr="00F37EF0">
        <w:tab/>
        <w:t>naroči svoji predsednici, naj stališče Parlamenta posreduje Svetu, Komisiji ter nacionalnim parlamentom.</w:t>
      </w:r>
      <w:r w:rsidR="00F37EF0" w:rsidRPr="00F37EF0">
        <w:br w:type="page"/>
      </w:r>
    </w:p>
    <w:p w:rsidR="008E0190" w:rsidRPr="00F37EF0" w:rsidRDefault="00AE2E00" w:rsidP="008E0190">
      <w:pPr>
        <w:pStyle w:val="AmNumberTabs"/>
        <w:keepNext/>
      </w:pPr>
      <w:bookmarkStart w:id="7" w:name="_GoBack"/>
      <w:r>
        <w:lastRenderedPageBreak/>
        <w:t>Sprememba</w:t>
      </w:r>
      <w:bookmarkEnd w:id="7"/>
      <w:r w:rsidR="008E0190" w:rsidRPr="00F37EF0">
        <w:tab/>
      </w:r>
      <w:r w:rsidR="008E0190" w:rsidRPr="00F37EF0">
        <w:tab/>
        <w:t>1</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(19)</w:t>
            </w:r>
            <w:r w:rsidRPr="00F37EF0">
              <w:tab/>
              <w:t>Ta uredba ne zagotavlja pravne podlage za vzpostavitev ali vodenje zbirk podatkov na nacionalni ravni za shranjevanje biometričnih podatkov v državah članicah</w:t>
            </w:r>
            <w:r w:rsidRPr="00F37EF0">
              <w:rPr>
                <w:b/>
                <w:i/>
              </w:rPr>
              <w:t>, kar je vprašanje nacionalnega prava, ki mora biti skladno s pravom Unije na področju varstva podatkov, tudi s tam določenimi zahtevami glede nujnosti in sorazmernosti.</w:t>
            </w:r>
            <w:r w:rsidRPr="00F37EF0">
              <w:t xml:space="preserve"> Ta uredba tudi ne zagotavlja pravne podlage za vzpostavitev ali vodenje centralizirane zbirke podatkov na ravni Unije.</w:t>
            </w:r>
          </w:p>
        </w:tc>
        <w:tc>
          <w:tcPr>
            <w:tcW w:w="4876" w:type="dxa"/>
            <w:tcBorders>
              <w:top w:val="nil"/>
              <w:left w:val="nil"/>
              <w:bottom w:val="nil"/>
              <w:right w:val="nil"/>
            </w:tcBorders>
          </w:tcPr>
          <w:p w:rsidR="008E0190" w:rsidRPr="00F37EF0" w:rsidRDefault="008E0190" w:rsidP="007D4CF5">
            <w:pPr>
              <w:pStyle w:val="Normal6a"/>
            </w:pPr>
            <w:r w:rsidRPr="00F37EF0">
              <w:t>(19)</w:t>
            </w:r>
            <w:r w:rsidRPr="00F37EF0">
              <w:tab/>
              <w:t>Ta uredba ne zagotavlja pravne podlage za vzpostavitev ali vodenje zbirk podatkov na nacionalni ravni za shranjevanje biometričnih podatkov v državah članicah</w:t>
            </w:r>
            <w:r w:rsidRPr="00F37EF0">
              <w:rPr>
                <w:b/>
                <w:i/>
              </w:rPr>
              <w:t>.</w:t>
            </w:r>
            <w:r w:rsidRPr="00F37EF0">
              <w:t xml:space="preserve"> Ta uredba tudi ne zagotavlja pravne podlage za vzpostavitev ali vodenje centralizirane zbirke podatkov na ravni Unije. </w:t>
            </w:r>
            <w:r w:rsidRPr="00F37EF0">
              <w:rPr>
                <w:b/>
                <w:i/>
              </w:rPr>
              <w:t>Kot je Evropski nadzornik za varstvo podatkov opozoril v svojem mnenju 21/2024, bi bilo treba za vzpostavitev ali vodenje zbirk podatkov,</w:t>
            </w:r>
            <w:r w:rsidR="00B57B94" w:rsidRPr="00F37EF0">
              <w:rPr>
                <w:b/>
                <w:i/>
              </w:rPr>
              <w:t xml:space="preserve"> </w:t>
            </w:r>
            <w:r w:rsidRPr="00F37EF0">
              <w:rPr>
                <w:b/>
                <w:i/>
              </w:rPr>
              <w:t>v katerih bi se shranjevali biometrični podatki, na nacionalni ravni v državah članicah ali, podobno, za vzpostavitev ali vodenje centralizirane zbirke podatkov na ravni Unije, skupaj z morebitno uporabo takih podatkov za druge namene, opraviti strog preizkus nujnosti in sorazmernosti v skladu z Listino, kot se razlaga v ustrezni sodni praksi Sodišča.</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2</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r w:rsidRPr="00F37EF0">
              <w:t>(20)</w:t>
            </w:r>
            <w:r w:rsidRPr="00F37EF0">
              <w:tab/>
            </w:r>
            <w:r w:rsidRPr="00F37EF0">
              <w:rPr>
                <w:b/>
                <w:i/>
              </w:rPr>
              <w:t>Biometrične identifikatorje bi bilo treba</w:t>
            </w:r>
            <w:r w:rsidRPr="00F37EF0">
              <w:t xml:space="preserve"> za namene preverjanja verodostojnosti dokumentov in identitete imetnika </w:t>
            </w:r>
            <w:r w:rsidRPr="00F37EF0">
              <w:rPr>
                <w:b/>
                <w:i/>
              </w:rPr>
              <w:t>zbirati in shranjevati na pomnilniškem mediju osebnih izkaznic in dokumentov za prebivanje</w:t>
            </w:r>
            <w:r w:rsidRPr="00F37EF0">
              <w:t>.</w:t>
            </w:r>
            <w:r w:rsidRPr="00F37EF0">
              <w:rPr>
                <w:i/>
              </w:rPr>
              <w:t xml:space="preserve"> </w:t>
            </w:r>
            <w:r w:rsidRPr="00F37EF0">
              <w:rPr>
                <w:b/>
                <w:i/>
              </w:rPr>
              <w:t>Ker je na pomnilniškem mediju osebnih izkaznic elektronski podpis, je identifikacija imetnika prek pomnilniškega medija, v katerem so isti biografski podatki, kot so natisnjeni na dokumentu, zanesljivejša od vizualnega pregleda dokumenta.</w:t>
            </w:r>
            <w:r w:rsidRPr="00F37EF0">
              <w:rPr>
                <w:i/>
              </w:rPr>
              <w:t xml:space="preserve"> </w:t>
            </w:r>
            <w:r w:rsidRPr="00F37EF0">
              <w:rPr>
                <w:b/>
                <w:i/>
              </w:rPr>
              <w:t>Državljanom</w:t>
            </w:r>
            <w:r w:rsidRPr="00F37EF0">
              <w:t xml:space="preserve"> Unije</w:t>
            </w:r>
            <w:r w:rsidRPr="00F37EF0">
              <w:rPr>
                <w:b/>
                <w:i/>
              </w:rPr>
              <w:t xml:space="preserve"> bi bilo zato treba omogočiti</w:t>
            </w:r>
            <w:r w:rsidRPr="00F37EF0">
              <w:t xml:space="preserve">, </w:t>
            </w:r>
            <w:r w:rsidRPr="00F37EF0">
              <w:rPr>
                <w:b/>
                <w:i/>
              </w:rPr>
              <w:t>da podatke</w:t>
            </w:r>
            <w:r w:rsidRPr="00F37EF0">
              <w:t xml:space="preserve">, </w:t>
            </w:r>
            <w:r w:rsidRPr="00F37EF0">
              <w:rPr>
                <w:b/>
                <w:i/>
              </w:rPr>
              <w:t xml:space="preserve">shranjene v pomnilniškem mediju njihove osebne </w:t>
            </w:r>
            <w:r w:rsidRPr="00F37EF0">
              <w:rPr>
                <w:b/>
                <w:i/>
              </w:rPr>
              <w:lastRenderedPageBreak/>
              <w:t>izkaznice, uporabijo za identifikacijo pred zasebnimi subjekti. Vendar pa bi lahko prstne odtise, shranjene v pomnilniškem mediju, preverjalo le</w:t>
            </w:r>
            <w:r w:rsidRPr="00F37EF0">
              <w:t xml:space="preserve"> ustrezno </w:t>
            </w:r>
            <w:r w:rsidRPr="00F37EF0">
              <w:rPr>
                <w:b/>
                <w:i/>
              </w:rPr>
              <w:t>pooblaščeno osebje in le</w:t>
            </w:r>
            <w:r w:rsidRPr="00F37EF0">
              <w:t xml:space="preserve">, </w:t>
            </w:r>
            <w:r w:rsidRPr="00F37EF0">
              <w:rPr>
                <w:b/>
                <w:i/>
              </w:rPr>
              <w:t>kadar zakon zahteva predložitev dokumenta</w:t>
            </w:r>
            <w:r w:rsidRPr="00F37EF0">
              <w:t>.</w:t>
            </w:r>
          </w:p>
        </w:tc>
        <w:tc>
          <w:tcPr>
            <w:tcW w:w="4876" w:type="dxa"/>
          </w:tcPr>
          <w:p w:rsidR="008E0190" w:rsidRPr="00F37EF0" w:rsidRDefault="008E0190" w:rsidP="007D4CF5">
            <w:pPr>
              <w:pStyle w:val="Normal6"/>
              <w:rPr>
                <w:szCs w:val="24"/>
              </w:rPr>
            </w:pPr>
            <w:r w:rsidRPr="00F37EF0">
              <w:lastRenderedPageBreak/>
              <w:t>(20)</w:t>
            </w:r>
            <w:r w:rsidRPr="00F37EF0">
              <w:tab/>
            </w:r>
            <w:r w:rsidRPr="00F37EF0">
              <w:rPr>
                <w:b/>
                <w:i/>
              </w:rPr>
              <w:t>Do podob obraza, shranjenih na pomnilniškem mediju osebnih izkaznic in dokumentov za prebivanje, bi moralo imeti dostop samo ustrezno pooblaščeno osebje pristojnih nacionalnih organov, agencij Unije in zasebnih subjektov</w:t>
            </w:r>
            <w:r w:rsidRPr="00F37EF0">
              <w:t xml:space="preserve"> za namene preverjanja verodostojnosti dokumentov in identitete imetnika.</w:t>
            </w:r>
            <w:r w:rsidRPr="00F37EF0">
              <w:rPr>
                <w:b/>
                <w:i/>
              </w:rPr>
              <w:t xml:space="preserve"> Takšen dostop bi moral biti skladen s pravom</w:t>
            </w:r>
            <w:r w:rsidRPr="00F37EF0">
              <w:t xml:space="preserve"> Unije</w:t>
            </w:r>
            <w:r w:rsidRPr="00F37EF0">
              <w:rPr>
                <w:b/>
                <w:i/>
              </w:rPr>
              <w:t xml:space="preserve"> o varstvu podatkov</w:t>
            </w:r>
            <w:r w:rsidRPr="00F37EF0">
              <w:t>.</w:t>
            </w:r>
            <w:r w:rsidRPr="00F37EF0">
              <w:rPr>
                <w:b/>
                <w:i/>
              </w:rPr>
              <w:t xml:space="preserve"> Podob obraza ne bi smeli hraniti dlje, kot je potrebno za te namene, izbrisati bi jih bilo treba takoj, ko so ti nameni doseženi, in jih ne bi smeli posredovati tretjim državam ali mednarodnim organizacijam, razen če to </w:t>
            </w:r>
            <w:r w:rsidRPr="00F37EF0">
              <w:rPr>
                <w:b/>
                <w:i/>
              </w:rPr>
              <w:lastRenderedPageBreak/>
              <w:t>dovoljuje pravo Unije o varstvu podatkov. Namen teh zaščitnih ukrepov je zagotoviti</w:t>
            </w:r>
            <w:r w:rsidRPr="00F37EF0">
              <w:t xml:space="preserve"> ustrezno </w:t>
            </w:r>
            <w:r w:rsidRPr="00F37EF0">
              <w:rPr>
                <w:b/>
                <w:i/>
              </w:rPr>
              <w:t>zaščito podobe obraza</w:t>
            </w:r>
            <w:r w:rsidRPr="00F37EF0">
              <w:t xml:space="preserve">, </w:t>
            </w:r>
            <w:r w:rsidRPr="00F37EF0">
              <w:rPr>
                <w:b/>
                <w:i/>
              </w:rPr>
              <w:t>ne da bi prepovedali njeno uporabo</w:t>
            </w:r>
            <w:r w:rsidRPr="00F37EF0">
              <w:t>.</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3</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20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p>
        </w:tc>
        <w:tc>
          <w:tcPr>
            <w:tcW w:w="4876" w:type="dxa"/>
          </w:tcPr>
          <w:p w:rsidR="008E0190" w:rsidRPr="00F37EF0" w:rsidRDefault="008E0190" w:rsidP="007D4CF5">
            <w:pPr>
              <w:pStyle w:val="Normal6"/>
              <w:rPr>
                <w:b/>
                <w:i/>
                <w:szCs w:val="24"/>
              </w:rPr>
            </w:pPr>
            <w:r w:rsidRPr="00F37EF0">
              <w:rPr>
                <w:b/>
                <w:i/>
              </w:rPr>
              <w:t>(20a)</w:t>
            </w:r>
            <w:r w:rsidRPr="00F37EF0">
              <w:rPr>
                <w:b/>
                <w:i/>
              </w:rPr>
              <w:tab/>
              <w:t>Prstne odtise, shranjene v pomnilniškem mediju, bi lahko preverjalo le ustrezno pooblaščeno osebje pristojnih nacionalnih organov in agencij Unije in le, kadar predložitev dokumenta zahteva zakonodaja Unije ali nacionalna zakonodaja.</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4</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(23)</w:t>
            </w:r>
            <w:r w:rsidRPr="00F37EF0">
              <w:tab/>
            </w:r>
            <w:r w:rsidRPr="00F37EF0">
              <w:rPr>
                <w:b/>
                <w:i/>
              </w:rPr>
              <w:t>Države članice</w:t>
            </w:r>
            <w:r w:rsidRPr="00F37EF0">
              <w:t xml:space="preserve"> bi morale imeti možnost, da odločijo, ali bo na dokumentu, ki ga zajema ta uredba, tudi spol osebe. Kadar država članica na takšen dokument vključi spol osebe, bi morala uporabiti specifikacije iz dokumenta ICAO 9303, in sicer „F“, „M“ ali „X“ oziroma ustrezno začetnico v jeziku ali jezikih te države članice, kakor je ustrezno.</w:t>
            </w:r>
          </w:p>
        </w:tc>
        <w:tc>
          <w:tcPr>
            <w:tcW w:w="4876" w:type="dxa"/>
            <w:tcBorders>
              <w:top w:val="nil"/>
              <w:left w:val="nil"/>
              <w:bottom w:val="nil"/>
              <w:right w:val="nil"/>
            </w:tcBorders>
          </w:tcPr>
          <w:p w:rsidR="008E0190" w:rsidRPr="00F37EF0" w:rsidRDefault="008E0190" w:rsidP="007D4CF5">
            <w:pPr>
              <w:pStyle w:val="Normal6a"/>
            </w:pPr>
            <w:r w:rsidRPr="00F37EF0">
              <w:t>(23)</w:t>
            </w:r>
            <w:r w:rsidRPr="00F37EF0">
              <w:tab/>
            </w:r>
            <w:r w:rsidRPr="00F37EF0">
              <w:rPr>
                <w:b/>
                <w:i/>
              </w:rPr>
              <w:t>Brez poseganja v sodno prakso Sodišča</w:t>
            </w:r>
            <w:r w:rsidRPr="00F37EF0">
              <w:rPr>
                <w:b/>
                <w:i/>
                <w:vertAlign w:val="superscript"/>
              </w:rPr>
              <w:t>1a</w:t>
            </w:r>
            <w:r w:rsidRPr="00F37EF0">
              <w:t xml:space="preserve"> bi morale</w:t>
            </w:r>
            <w:r w:rsidRPr="00F37EF0">
              <w:rPr>
                <w:b/>
                <w:i/>
              </w:rPr>
              <w:t xml:space="preserve"> države članice</w:t>
            </w:r>
            <w:r w:rsidRPr="00F37EF0">
              <w:t xml:space="preserve"> imeti možnost, da odločijo, ali bo na dokumentu, ki ga zajema ta uredba, tudi spol osebe. Kadar država članica na takšen dokument vključi spol osebe, bi morala uporabiti specifikacije iz dokumenta ICAO 9303, in sicer „F“, „M“ ali „X“ oziroma ustrezno začetnico v jeziku ali jezikih te države članice, kakor je ustrezno.</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tc>
        <w:tc>
          <w:tcPr>
            <w:tcW w:w="4876" w:type="dxa"/>
            <w:tcBorders>
              <w:top w:val="nil"/>
              <w:left w:val="nil"/>
              <w:bottom w:val="nil"/>
              <w:right w:val="nil"/>
            </w:tcBorders>
          </w:tcPr>
          <w:p w:rsidR="008E0190" w:rsidRPr="00F37EF0" w:rsidRDefault="008E0190" w:rsidP="007D4CF5">
            <w:pPr>
              <w:pStyle w:val="Normal6a"/>
            </w:pPr>
            <w:r w:rsidRPr="00F37EF0">
              <w:rPr>
                <w:b/>
                <w:i/>
              </w:rPr>
              <w:t>_________________</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tc>
        <w:tc>
          <w:tcPr>
            <w:tcW w:w="4876" w:type="dxa"/>
            <w:tcBorders>
              <w:top w:val="nil"/>
              <w:left w:val="nil"/>
              <w:bottom w:val="nil"/>
              <w:right w:val="nil"/>
            </w:tcBorders>
          </w:tcPr>
          <w:p w:rsidR="008E0190" w:rsidRPr="00F37EF0" w:rsidRDefault="008E0190" w:rsidP="007D4CF5">
            <w:pPr>
              <w:pStyle w:val="Normal6a"/>
            </w:pPr>
            <w:r w:rsidRPr="00F37EF0">
              <w:rPr>
                <w:b/>
                <w:i/>
                <w:vertAlign w:val="superscript"/>
              </w:rPr>
              <w:t>1a</w:t>
            </w:r>
            <w:r w:rsidRPr="00F37EF0">
              <w:rPr>
                <w:b/>
                <w:i/>
              </w:rPr>
              <w:t xml:space="preserve"> Sodba Sodišča z dne 4. oktobra 2024, Mirin, C-4/23, ECLI:EU:C:2024:845.</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5</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lastRenderedPageBreak/>
        <w:t>Uvodna izjava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r w:rsidRPr="00F37EF0">
              <w:t>(26)</w:t>
            </w:r>
            <w:r w:rsidRPr="00F37EF0">
              <w:tab/>
              <w:t>Države članice bi morale v primeru težav pri zbiranju biometričnih identifikatorjev zagotoviti, da so vzpostavljeni ustrezni postopki za spoštovanje dostojanstva zadevnih oseb. Zato bi bilo treba upoštevati posebne vidike, povezane s spolom, in posebne potrebe otrok in ranljivih oseb.</w:t>
            </w:r>
          </w:p>
        </w:tc>
        <w:tc>
          <w:tcPr>
            <w:tcW w:w="4876" w:type="dxa"/>
          </w:tcPr>
          <w:p w:rsidR="008E0190" w:rsidRPr="00F37EF0" w:rsidRDefault="008E0190" w:rsidP="007D4CF5">
            <w:pPr>
              <w:pStyle w:val="Normal6"/>
              <w:rPr>
                <w:b/>
                <w:i/>
                <w:szCs w:val="24"/>
              </w:rPr>
            </w:pPr>
            <w:r w:rsidRPr="00F37EF0">
              <w:t>(26)</w:t>
            </w:r>
            <w:r w:rsidRPr="00F37EF0">
              <w:tab/>
              <w:t xml:space="preserve">Države članice bi morale v primeru težav pri zbiranju biometričnih identifikatorjev zagotoviti, da so vzpostavljeni ustrezni postopki za spoštovanje dostojanstva zadevnih oseb. Zato bi bilo treba upoštevati posebne vidike, povezane s spolom, in posebne potrebe otrok in ranljivih oseb. </w:t>
            </w:r>
            <w:r w:rsidRPr="00F37EF0">
              <w:rPr>
                <w:b/>
                <w:i/>
              </w:rPr>
              <w:t>Usposobljeno osebje bi se moralo udeležiti usposabljanja o dobri praksi zbiranja biometričnih identifikatorjev otrok in ranljivih oseb, pri čemer bi bilo treba zagotoviti upoštevanje posebnih potreb, povezanih s spolom in starostjo, ter spoštovati dostojanstvo vseh posameznikov.</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6</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r w:rsidRPr="00F37EF0">
              <w:t>(32)</w:t>
            </w:r>
            <w:r w:rsidRPr="00F37EF0">
              <w:tab/>
              <w:t>Države članice bi si morale med seboj izmenjevati informacije, ki so potrebne za dostop do informacij na varnem pomnilniškem mediju ter za njihovo avtentikacijo in preverjanje. Formati, ki se uporabljajo za varen pomnilniški medij, bi morali biti interoperabilni, tudi kar zadeva avtomatizirane mejne prehode.</w:t>
            </w:r>
          </w:p>
        </w:tc>
        <w:tc>
          <w:tcPr>
            <w:tcW w:w="4876" w:type="dxa"/>
          </w:tcPr>
          <w:p w:rsidR="008E0190" w:rsidRPr="00F37EF0" w:rsidRDefault="008E0190" w:rsidP="007D4CF5">
            <w:pPr>
              <w:pStyle w:val="Normal6"/>
              <w:rPr>
                <w:b/>
                <w:i/>
                <w:szCs w:val="24"/>
              </w:rPr>
            </w:pPr>
            <w:r w:rsidRPr="00F37EF0">
              <w:t>(32)</w:t>
            </w:r>
            <w:r w:rsidRPr="00F37EF0">
              <w:tab/>
              <w:t>Države članice bi si morale med seboj izmenjevati informacije, ki so potrebne za dostop do informacij na varnem pomnilniškem mediju ter za njihovo avtentikacijo in preverjanje. Formati, ki se uporabljajo za varen pomnilniški medij, bi morali biti interoperabilni, tudi kar zadeva avtomatizirane mejne prehode.</w:t>
            </w:r>
            <w:r w:rsidRPr="00F37EF0">
              <w:rPr>
                <w:b/>
                <w:i/>
              </w:rPr>
              <w:t xml:space="preserve"> Komisija bi morala spodbujati države članice, da sodelujejo v podporo tem ciljem.</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7</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Uvodna izjava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(43)</w:t>
            </w:r>
            <w:r w:rsidRPr="00F37EF0">
              <w:tab/>
              <w:t xml:space="preserve">V skladu z Medinstitucionalnim </w:t>
            </w:r>
            <w:r w:rsidRPr="00F37EF0">
              <w:lastRenderedPageBreak/>
              <w:t>sporazumom z dne 13.</w:t>
            </w:r>
            <w:r w:rsidRPr="00F37EF0">
              <w:rPr>
                <w:b/>
                <w:i/>
              </w:rPr>
              <w:t> </w:t>
            </w:r>
            <w:r w:rsidRPr="00F37EF0">
              <w:t>aprila 2016 o boljši pripravi zakonodaje</w:t>
            </w:r>
            <w:r w:rsidRPr="00F37EF0">
              <w:rPr>
                <w:vertAlign w:val="superscript"/>
              </w:rPr>
              <w:t>9</w:t>
            </w:r>
            <w:r w:rsidRPr="00F37EF0">
              <w:t xml:space="preserve"> bi morala Komisija </w:t>
            </w:r>
            <w:r w:rsidRPr="00F37EF0">
              <w:rPr>
                <w:b/>
                <w:i/>
              </w:rPr>
              <w:t xml:space="preserve">ne prej kot </w:t>
            </w:r>
            <w:r w:rsidRPr="00F37EF0">
              <w:t xml:space="preserve">šest let po datumu začetka </w:t>
            </w:r>
            <w:r w:rsidRPr="00F37EF0">
              <w:rPr>
                <w:b/>
                <w:i/>
              </w:rPr>
              <w:t>uporabe</w:t>
            </w:r>
            <w:r w:rsidRPr="00F37EF0">
              <w:t xml:space="preserve"> te uredbe izvesti oceno te uredbe, med drugim na podlagi informacij, zbranih v okviru posebne ureditve za spremljanje, da bi ocenili dejanske učinke te uredbe in potrebo po nadaljnjem ukrepanju. Države članice bi morale za namene spremljanja zbirati statistične informacije o številu osebnih izkaznic in dokumentov za prebivanje, ki so jih izdale.</w:t>
            </w:r>
          </w:p>
        </w:tc>
        <w:tc>
          <w:tcPr>
            <w:tcW w:w="4876" w:type="dxa"/>
            <w:tcBorders>
              <w:top w:val="nil"/>
              <w:left w:val="nil"/>
              <w:bottom w:val="nil"/>
              <w:right w:val="nil"/>
            </w:tcBorders>
          </w:tcPr>
          <w:p w:rsidR="008E0190" w:rsidRPr="00F37EF0" w:rsidRDefault="008E0190" w:rsidP="007D4CF5">
            <w:pPr>
              <w:pStyle w:val="Normal6a"/>
            </w:pPr>
            <w:r w:rsidRPr="00F37EF0">
              <w:lastRenderedPageBreak/>
              <w:t>(43)</w:t>
            </w:r>
            <w:r w:rsidRPr="00F37EF0">
              <w:tab/>
            </w:r>
            <w:r w:rsidRPr="00F37EF0">
              <w:rPr>
                <w:b/>
                <w:i/>
              </w:rPr>
              <w:t xml:space="preserve">Komisija bi morala dve leti in nato </w:t>
            </w:r>
            <w:r w:rsidRPr="00F37EF0">
              <w:rPr>
                <w:b/>
                <w:i/>
              </w:rPr>
              <w:lastRenderedPageBreak/>
              <w:t>enajst let od datuma začetka veljavnosti te uredbe poročati o njenem izvajanju, med drugim o ustreznosti ravni varnosti, ob upoštevanju njenega učinka na temeljne pravice in načela varstva podatkov.</w:t>
            </w:r>
            <w:r w:rsidRPr="00F37EF0">
              <w:t xml:space="preserve"> V skladu z Medinstitucionalnim sporazumom z dne 13.</w:t>
            </w:r>
            <w:r w:rsidRPr="00F37EF0">
              <w:rPr>
                <w:b/>
                <w:i/>
              </w:rPr>
              <w:t xml:space="preserve"> </w:t>
            </w:r>
            <w:r w:rsidRPr="00F37EF0">
              <w:t>aprila 2016 o boljši pripravi zakonodaje</w:t>
            </w:r>
            <w:r w:rsidRPr="00F37EF0">
              <w:rPr>
                <w:vertAlign w:val="superscript"/>
              </w:rPr>
              <w:t>9</w:t>
            </w:r>
            <w:r w:rsidRPr="00F37EF0">
              <w:t xml:space="preserve"> bi morala Komisija šest let po datumu začetka </w:t>
            </w:r>
            <w:r w:rsidRPr="00F37EF0">
              <w:rPr>
                <w:b/>
                <w:i/>
              </w:rPr>
              <w:t>veljavnosti</w:t>
            </w:r>
            <w:r w:rsidRPr="00F37EF0">
              <w:t xml:space="preserve"> te uredbe</w:t>
            </w:r>
            <w:r w:rsidRPr="00F37EF0">
              <w:rPr>
                <w:b/>
                <w:i/>
              </w:rPr>
              <w:t xml:space="preserve"> in nato vsakih šest let</w:t>
            </w:r>
            <w:r w:rsidRPr="00F37EF0">
              <w:t xml:space="preserve"> izvesti oceno te uredbe, med drugim na podlagi informacij, zbranih v okviru posebne ureditve za spremljanje, da bi ocenili dejanske učinke te uredbe in potrebo po nadaljnjem ukrepanju. Države članice bi morale za namene spremljanja zbirati statistične informacije o številu osebnih izkaznic in dokumentov za prebivanje, ki so jih izdale.</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rPr>
                <w:b/>
                <w:i/>
              </w:rPr>
              <w:lastRenderedPageBreak/>
              <w:t>_________________</w:t>
            </w:r>
          </w:p>
        </w:tc>
        <w:tc>
          <w:tcPr>
            <w:tcW w:w="4876" w:type="dxa"/>
            <w:tcBorders>
              <w:top w:val="nil"/>
              <w:left w:val="nil"/>
              <w:bottom w:val="nil"/>
              <w:right w:val="nil"/>
            </w:tcBorders>
          </w:tcPr>
          <w:p w:rsidR="008E0190" w:rsidRPr="00F37EF0" w:rsidRDefault="008E0190" w:rsidP="007D4CF5">
            <w:pPr>
              <w:pStyle w:val="Normal6a"/>
            </w:pPr>
            <w:r w:rsidRPr="00F37EF0">
              <w:rPr>
                <w:b/>
                <w:i/>
              </w:rPr>
              <w:t>_________________</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9</w:t>
            </w:r>
            <w:r w:rsidRPr="00F37EF0">
              <w:t xml:space="preserve"> UL L 123, 12.5.2016, str. 1, ELI: http://data.europa.eu/eli/agree_interinstit/2016/512/oj.</w:t>
            </w:r>
          </w:p>
        </w:tc>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9</w:t>
            </w:r>
            <w:r w:rsidRPr="00F37EF0">
              <w:t xml:space="preserve"> UL L 123, 12.5.2016, str. 1, ELI: http://data.europa.eu/eli/agree_interinstit/2016/512/oj.</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8</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3 – odstavek 2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Z odstopanjem od prvega pododstavka se številka dokumenta lahko vstavi v polje I, navedba spola osebe pa je neobvezna.</w:t>
            </w:r>
          </w:p>
        </w:tc>
        <w:tc>
          <w:tcPr>
            <w:tcW w:w="4876" w:type="dxa"/>
            <w:tcBorders>
              <w:top w:val="nil"/>
              <w:left w:val="nil"/>
              <w:bottom w:val="nil"/>
              <w:right w:val="nil"/>
            </w:tcBorders>
          </w:tcPr>
          <w:p w:rsidR="008E0190" w:rsidRPr="00F37EF0" w:rsidRDefault="008E0190" w:rsidP="007D4CF5">
            <w:pPr>
              <w:pStyle w:val="Normal6a"/>
            </w:pPr>
            <w:r w:rsidRPr="00F37EF0">
              <w:t xml:space="preserve">Z odstopanjem od prvega pododstavka se številka dokumenta lahko vstavi v polje I, navedba spola osebe pa je neobvezna. </w:t>
            </w:r>
            <w:r w:rsidRPr="00F37EF0">
              <w:rPr>
                <w:b/>
                <w:i/>
              </w:rPr>
              <w:t>Kadar država članica na dokument, zajet s to uredbo, vključi spol osebe, se uporabijo specifikacije iz dokumenta ICAO 9303, in sicer „F“, „M“ ali „X“ oziroma ustrezna začetnica v uradnem jeziku ali jezikih te države članice, kakor je ustrezno.</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9</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3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
            </w:pPr>
            <w:r w:rsidRPr="00F37EF0">
              <w:t>5.</w:t>
            </w:r>
            <w:r w:rsidRPr="00F37EF0">
              <w:tab/>
              <w:t xml:space="preserve">Osebne izkaznice vključujejo zelo </w:t>
            </w:r>
            <w:r w:rsidRPr="00F37EF0">
              <w:lastRenderedPageBreak/>
              <w:t>varen pomnilniški medij, ki vsebuje podobo obraza imetnika izkaznice in dva prstna odtisa v interoperabilnih digitalnih oblikah. Države članice za zapis biometričnih identifikatorjev uporabljajo tehnične specifikacije, kakor so določene v Izvedbenem sklepu Komisije C(2018) 7767</w:t>
            </w:r>
            <w:r w:rsidRPr="00F37EF0">
              <w:rPr>
                <w:vertAlign w:val="superscript"/>
              </w:rPr>
              <w:t>12</w:t>
            </w:r>
            <w:r w:rsidRPr="00F37EF0">
              <w:t>, kakor je bil spremenjen z Izvedbenim sklepom C(2021) 3726</w:t>
            </w:r>
            <w:r w:rsidRPr="00F37EF0">
              <w:rPr>
                <w:vertAlign w:val="superscript"/>
              </w:rPr>
              <w:t>13</w:t>
            </w:r>
            <w:r w:rsidRPr="00F37EF0">
              <w:t>.</w:t>
            </w:r>
          </w:p>
        </w:tc>
        <w:tc>
          <w:tcPr>
            <w:tcW w:w="4876" w:type="dxa"/>
            <w:tcBorders>
              <w:top w:val="nil"/>
              <w:left w:val="nil"/>
              <w:bottom w:val="nil"/>
              <w:right w:val="nil"/>
            </w:tcBorders>
          </w:tcPr>
          <w:p w:rsidR="008E0190" w:rsidRPr="00F37EF0" w:rsidRDefault="008E0190" w:rsidP="007D4CF5">
            <w:pPr>
              <w:pStyle w:val="Normal6a"/>
            </w:pPr>
            <w:r w:rsidRPr="00F37EF0">
              <w:lastRenderedPageBreak/>
              <w:t>5.</w:t>
            </w:r>
            <w:r w:rsidRPr="00F37EF0">
              <w:tab/>
              <w:t xml:space="preserve">Osebne izkaznice vključujejo zelo </w:t>
            </w:r>
            <w:r w:rsidRPr="00F37EF0">
              <w:lastRenderedPageBreak/>
              <w:t xml:space="preserve">varen pomnilniški medij, ki vsebuje podobo obraza imetnika izkaznice in dva prstna odtisa v interoperabilnih digitalnih oblikah. Države članice za zapis </w:t>
            </w:r>
            <w:r w:rsidRPr="00F37EF0">
              <w:rPr>
                <w:b/>
                <w:i/>
              </w:rPr>
              <w:t xml:space="preserve">teh dveh vrst </w:t>
            </w:r>
            <w:r w:rsidRPr="00F37EF0">
              <w:t>biometričnih identifikatorjev uporabljajo tehnične specifikacije, kakor so določene v Izvedbenem sklepu Komisije C(2018) 7767</w:t>
            </w:r>
            <w:r w:rsidRPr="00F37EF0">
              <w:rPr>
                <w:vertAlign w:val="superscript"/>
              </w:rPr>
              <w:t>12</w:t>
            </w:r>
            <w:r w:rsidRPr="00F37EF0">
              <w:t>, kakor je bil spremenjen z Izvedbenim sklepom C(2021) 3726</w:t>
            </w:r>
            <w:r w:rsidRPr="00F37EF0">
              <w:rPr>
                <w:vertAlign w:val="superscript"/>
              </w:rPr>
              <w:t>13</w:t>
            </w:r>
            <w:r w:rsidRPr="00F37EF0">
              <w:t>.</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rPr>
                <w:b/>
                <w:i/>
              </w:rPr>
              <w:lastRenderedPageBreak/>
              <w:t>_________________</w:t>
            </w:r>
          </w:p>
        </w:tc>
        <w:tc>
          <w:tcPr>
            <w:tcW w:w="4876" w:type="dxa"/>
            <w:tcBorders>
              <w:top w:val="nil"/>
              <w:left w:val="nil"/>
              <w:bottom w:val="nil"/>
              <w:right w:val="nil"/>
            </w:tcBorders>
          </w:tcPr>
          <w:p w:rsidR="008E0190" w:rsidRPr="00F37EF0" w:rsidRDefault="008E0190" w:rsidP="007D4CF5">
            <w:pPr>
              <w:pStyle w:val="Normal6a"/>
            </w:pPr>
            <w:r w:rsidRPr="00F37EF0">
              <w:rPr>
                <w:b/>
                <w:i/>
              </w:rPr>
              <w:t>_________________</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12</w:t>
            </w:r>
            <w:r w:rsidRPr="00F37EF0">
              <w:t xml:space="preserve"> Izvedbeni sklep Komisije C(2018) 7767 z dne 30. novembra 2018 o določitvi tehničnih specifikacij za enotno obliko dovoljenja za prebivanje za državljane tretjih držav in razveljavitvi Sklepa C(2002) 3069.</w:t>
            </w:r>
          </w:p>
        </w:tc>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12</w:t>
            </w:r>
            <w:r w:rsidRPr="00F37EF0">
              <w:t xml:space="preserve"> Izvedbeni sklep Komisije C(2018) 7767 z dne 30. novembra 2018 o določitvi tehničnih specifikacij za enotno obliko dovoljenja za prebivanje za državljane tretjih držav in razveljavitvi Sklepa C(2002) 3069.</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13</w:t>
            </w:r>
            <w:r w:rsidRPr="00F37EF0">
              <w:t xml:space="preserve"> Izvedbeni sklep Komisije C(2021) 3726 z dne 4. junija 2021 o spremembi Priloge III k Izvedbenemu sklepu C(2018) 7767 glede seznama normativnih referenc.</w:t>
            </w:r>
          </w:p>
        </w:tc>
        <w:tc>
          <w:tcPr>
            <w:tcW w:w="4876" w:type="dxa"/>
            <w:tcBorders>
              <w:top w:val="nil"/>
              <w:left w:val="nil"/>
              <w:bottom w:val="nil"/>
              <w:right w:val="nil"/>
            </w:tcBorders>
          </w:tcPr>
          <w:p w:rsidR="008E0190" w:rsidRPr="00F37EF0" w:rsidRDefault="008E0190" w:rsidP="007D4CF5">
            <w:pPr>
              <w:pStyle w:val="Normal6a"/>
            </w:pPr>
            <w:r w:rsidRPr="00F37EF0">
              <w:rPr>
                <w:vertAlign w:val="superscript"/>
              </w:rPr>
              <w:t>13</w:t>
            </w:r>
            <w:r w:rsidRPr="00F37EF0">
              <w:t xml:space="preserve"> Izvedbeni sklep Komisije C(2021) 3726 z dne 4. junija 2021 o spremembi Priloge III k Izvedbenemu sklepu C(2018) 7767 glede seznama normativnih referenc.</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10</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10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3.</w:t>
            </w:r>
            <w:r w:rsidRPr="00F37EF0">
              <w:tab/>
            </w:r>
            <w:r w:rsidRPr="00F37EF0">
              <w:rPr>
                <w:b/>
                <w:i/>
              </w:rPr>
              <w:t>Kadar se</w:t>
            </w:r>
            <w:r w:rsidRPr="00F37EF0">
              <w:t xml:space="preserve"> biometrični identifikatorji </w:t>
            </w:r>
            <w:r w:rsidRPr="00F37EF0">
              <w:rPr>
                <w:b/>
                <w:i/>
              </w:rPr>
              <w:t xml:space="preserve">ne zahtevajo za namen obdelave v skladu s pravom Unije in nacionalnim pravom, se </w:t>
            </w:r>
            <w:r w:rsidRPr="00F37EF0">
              <w:t>za namene personalizacije osebnih izkaznic ali dokumentov za prebivanje shranjujejo zelo varno in le do prevzema dokumenta, vsekakor pa največ 90 dni od datuma izdaje dokumenta. Biometrični identifikatorji se po preteku tega obdobja takoj izbrišejo ali uničijo.</w:t>
            </w:r>
          </w:p>
        </w:tc>
        <w:tc>
          <w:tcPr>
            <w:tcW w:w="4876" w:type="dxa"/>
            <w:tcBorders>
              <w:top w:val="nil"/>
              <w:left w:val="nil"/>
              <w:bottom w:val="nil"/>
              <w:right w:val="nil"/>
            </w:tcBorders>
          </w:tcPr>
          <w:p w:rsidR="008E0190" w:rsidRPr="00F37EF0" w:rsidRDefault="008E0190" w:rsidP="007D4CF5">
            <w:pPr>
              <w:pStyle w:val="Normal6a"/>
            </w:pPr>
            <w:r w:rsidRPr="00F37EF0">
              <w:t>3.</w:t>
            </w:r>
            <w:r w:rsidRPr="00F37EF0">
              <w:tab/>
              <w:t>Biometrični identifikatorji za namene personalizacije osebnih izkaznic ali dokumentov za prebivanje</w:t>
            </w:r>
            <w:r w:rsidRPr="00F37EF0">
              <w:rPr>
                <w:b/>
                <w:i/>
              </w:rPr>
              <w:t xml:space="preserve"> se</w:t>
            </w:r>
            <w:r w:rsidRPr="00F37EF0">
              <w:t xml:space="preserve"> shranjujejo zelo varno in le do prevzema dokumenta, vsekakor pa največ 90 dni od datuma izdaje dokumenta. Biometrični identifikatorji se po preteku tega obdobja takoj izbrišejo ali uničijo. </w:t>
            </w:r>
            <w:r w:rsidRPr="00F37EF0">
              <w:rPr>
                <w:b/>
                <w:i/>
              </w:rPr>
              <w:t>Za obdelavo teh podatkov za druge namene veljajo omejitve in pogoji, določeni v nacionalnem pravu ali pravu Unije o varstvu podatkov.</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11</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11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lastRenderedPageBreak/>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4.</w:t>
            </w:r>
            <w:r w:rsidRPr="00F37EF0">
              <w:tab/>
              <w:t>Sodelovanje z zunanjimi ponudniki storitev ne izključuje morebitne odgovornosti države članice na podlagi prava Unije ali nacionalnega prava za kršitve obveznosti v zvezi z osebnimi podatki.</w:t>
            </w:r>
          </w:p>
        </w:tc>
        <w:tc>
          <w:tcPr>
            <w:tcW w:w="4876" w:type="dxa"/>
            <w:tcBorders>
              <w:top w:val="nil"/>
              <w:left w:val="nil"/>
              <w:bottom w:val="nil"/>
              <w:right w:val="nil"/>
            </w:tcBorders>
          </w:tcPr>
          <w:p w:rsidR="008E0190" w:rsidRPr="00F37EF0" w:rsidRDefault="008E0190" w:rsidP="007D4CF5">
            <w:pPr>
              <w:pStyle w:val="Normal6a"/>
            </w:pPr>
            <w:r w:rsidRPr="00F37EF0">
              <w:t>4.</w:t>
            </w:r>
            <w:r w:rsidRPr="00F37EF0">
              <w:tab/>
              <w:t xml:space="preserve">Sodelovanje z zunanjimi ponudniki storitev ne izključuje morebitne odgovornosti države članice na podlagi prava Unije ali nacionalnega prava za kršitve obveznosti v zvezi z osebnimi podatki. </w:t>
            </w:r>
            <w:r w:rsidRPr="00F37EF0">
              <w:rPr>
                <w:b/>
                <w:i/>
              </w:rPr>
              <w:t>Države članice zagotovijo, da vsi zunanji ponudniki ravnajo v skladu s pravom Unije in nacionalnim pravom o varstvu podatkov. Sprejmejo se ustrezni ukrepi za preprečevanje nepooblaščenega dostopa do osebnih podatkov ali njihove zlorabe med postopki, oddanimi v zunanje izvajanje.</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12</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11 – odstavek 6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r w:rsidRPr="00F37EF0">
              <w:rPr>
                <w:b/>
                <w:i/>
              </w:rPr>
              <w:t>Biometrični podatki</w:t>
            </w:r>
            <w:r w:rsidRPr="00F37EF0">
              <w:t xml:space="preserve">, </w:t>
            </w:r>
            <w:r w:rsidRPr="00F37EF0">
              <w:rPr>
                <w:b/>
                <w:i/>
              </w:rPr>
              <w:t>shranjeni</w:t>
            </w:r>
            <w:r w:rsidRPr="00F37EF0">
              <w:t xml:space="preserve"> v pomnilniškem mediju osebnih izkaznic in dokumentov za prebivanje, </w:t>
            </w:r>
            <w:r w:rsidRPr="00F37EF0">
              <w:rPr>
                <w:b/>
                <w:i/>
              </w:rPr>
              <w:t>se uporabljajo samo v skladu s pravom</w:t>
            </w:r>
            <w:r w:rsidRPr="00F37EF0">
              <w:t xml:space="preserve"> Unije in </w:t>
            </w:r>
            <w:r w:rsidRPr="00F37EF0">
              <w:rPr>
                <w:b/>
                <w:i/>
              </w:rPr>
              <w:t>nacionalnim</w:t>
            </w:r>
            <w:r w:rsidRPr="00F37EF0">
              <w:t xml:space="preserve"> pravom</w:t>
            </w:r>
            <w:r w:rsidRPr="00F37EF0">
              <w:rPr>
                <w:b/>
                <w:i/>
              </w:rPr>
              <w:t>, in sicer</w:t>
            </w:r>
            <w:r w:rsidRPr="00F37EF0">
              <w:t xml:space="preserve"> za </w:t>
            </w:r>
            <w:r w:rsidRPr="00F37EF0">
              <w:rPr>
                <w:b/>
                <w:i/>
              </w:rPr>
              <w:t>namen</w:t>
            </w:r>
            <w:r w:rsidRPr="00F37EF0">
              <w:t xml:space="preserve"> preverjanja:</w:t>
            </w:r>
          </w:p>
        </w:tc>
        <w:tc>
          <w:tcPr>
            <w:tcW w:w="4876" w:type="dxa"/>
          </w:tcPr>
          <w:p w:rsidR="008E0190" w:rsidRPr="00F37EF0" w:rsidRDefault="008E0190" w:rsidP="007D4CF5">
            <w:pPr>
              <w:pStyle w:val="Normal6"/>
              <w:rPr>
                <w:szCs w:val="24"/>
              </w:rPr>
            </w:pPr>
            <w:r w:rsidRPr="00F37EF0">
              <w:rPr>
                <w:b/>
                <w:i/>
              </w:rPr>
              <w:t>Do podobe obraza imetnika</w:t>
            </w:r>
            <w:r w:rsidRPr="00F37EF0">
              <w:t xml:space="preserve">, </w:t>
            </w:r>
            <w:r w:rsidRPr="00F37EF0">
              <w:rPr>
                <w:b/>
                <w:i/>
              </w:rPr>
              <w:t>shranjene</w:t>
            </w:r>
            <w:r w:rsidRPr="00F37EF0">
              <w:t xml:space="preserve"> v pomnilniškem mediju osebnih izkaznic in dokumentov za prebivanje, </w:t>
            </w:r>
            <w:r w:rsidRPr="00F37EF0">
              <w:rPr>
                <w:b/>
                <w:i/>
              </w:rPr>
              <w:t>dostopa samo ustrezno pooblaščeno osebje pristojnih nacionalnih organov, agencij</w:t>
            </w:r>
            <w:r w:rsidRPr="00F37EF0">
              <w:t xml:space="preserve"> Unije in </w:t>
            </w:r>
            <w:r w:rsidRPr="00F37EF0">
              <w:rPr>
                <w:b/>
                <w:i/>
              </w:rPr>
              <w:t>zasebnih subjektov in to v skladu s</w:t>
            </w:r>
            <w:r w:rsidRPr="00F37EF0">
              <w:t xml:space="preserve"> pravom</w:t>
            </w:r>
            <w:r w:rsidRPr="00F37EF0">
              <w:rPr>
                <w:b/>
                <w:i/>
              </w:rPr>
              <w:t xml:space="preserve"> Unije o varstvu podatkov</w:t>
            </w:r>
            <w:r w:rsidRPr="00F37EF0">
              <w:t xml:space="preserve"> za </w:t>
            </w:r>
            <w:r w:rsidRPr="00F37EF0">
              <w:rPr>
                <w:b/>
                <w:i/>
              </w:rPr>
              <w:t>namene</w:t>
            </w:r>
            <w:r w:rsidRPr="00F37EF0">
              <w:t xml:space="preserve"> preverjanja:</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13</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11 – odstavek 6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p>
        </w:tc>
        <w:tc>
          <w:tcPr>
            <w:tcW w:w="4876" w:type="dxa"/>
          </w:tcPr>
          <w:p w:rsidR="008E0190" w:rsidRPr="00F37EF0" w:rsidRDefault="008E0190" w:rsidP="007D4CF5">
            <w:pPr>
              <w:pStyle w:val="Normal6"/>
              <w:rPr>
                <w:b/>
                <w:i/>
                <w:szCs w:val="24"/>
              </w:rPr>
            </w:pPr>
            <w:r w:rsidRPr="00F37EF0">
              <w:rPr>
                <w:b/>
                <w:i/>
              </w:rPr>
              <w:t>Za dostop zasebnih subjektov do podobe obraza je potrebna tudi privolitev imetnika, razen če je dostop ne glede na privolitev nujno potreben za namene iz prvega pododstavka in določen z zakonodajo Unije ali nacionalno zakonodajo v skladu s pravom Unije o varstvu podatkov.</w:t>
            </w:r>
          </w:p>
        </w:tc>
      </w:tr>
    </w:tbl>
    <w:p w:rsidR="008E0190" w:rsidRPr="00F37EF0" w:rsidRDefault="008E0190" w:rsidP="008E0190"/>
    <w:p w:rsidR="008E0190" w:rsidRPr="00F37EF0" w:rsidRDefault="00AE2E00" w:rsidP="008E0190">
      <w:pPr>
        <w:pStyle w:val="AmNumberTabs"/>
      </w:pPr>
      <w:r>
        <w:lastRenderedPageBreak/>
        <w:t>Sprememba</w:t>
      </w:r>
      <w:r w:rsidR="008E0190" w:rsidRPr="00F37EF0">
        <w:tab/>
      </w:r>
      <w:r w:rsidR="008E0190" w:rsidRPr="00F37EF0">
        <w:tab/>
        <w:t>14</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11 – odstavek 6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0190" w:rsidRPr="00F37EF0" w:rsidTr="007D4CF5">
        <w:trPr>
          <w:jc w:val="center"/>
        </w:trPr>
        <w:tc>
          <w:tcPr>
            <w:tcW w:w="9752" w:type="dxa"/>
            <w:gridSpan w:val="2"/>
          </w:tcPr>
          <w:p w:rsidR="008E0190" w:rsidRPr="00F37EF0" w:rsidRDefault="008E0190" w:rsidP="007D4CF5">
            <w:pPr>
              <w:keepNext/>
            </w:pPr>
          </w:p>
        </w:tc>
      </w:tr>
      <w:tr w:rsidR="008E0190" w:rsidRPr="00F37EF0" w:rsidTr="007D4CF5">
        <w:trPr>
          <w:jc w:val="center"/>
        </w:trPr>
        <w:tc>
          <w:tcPr>
            <w:tcW w:w="4876" w:type="dxa"/>
          </w:tcPr>
          <w:p w:rsidR="008E0190" w:rsidRPr="00F37EF0" w:rsidRDefault="008E0190" w:rsidP="007D4CF5">
            <w:pPr>
              <w:pStyle w:val="ColumnHeading"/>
              <w:keepNext/>
            </w:pPr>
            <w:r w:rsidRPr="00F37EF0">
              <w:t>Besedilo, ki ga predlaga Komisija</w:t>
            </w:r>
          </w:p>
        </w:tc>
        <w:tc>
          <w:tcPr>
            <w:tcW w:w="4876" w:type="dxa"/>
          </w:tcPr>
          <w:p w:rsidR="008E0190" w:rsidRPr="00F37EF0" w:rsidRDefault="00AE2E00" w:rsidP="007D4CF5">
            <w:pPr>
              <w:pStyle w:val="ColumnHeading"/>
              <w:keepNext/>
            </w:pPr>
            <w:r>
              <w:t>Sprememba</w:t>
            </w:r>
          </w:p>
        </w:tc>
      </w:tr>
      <w:tr w:rsidR="008E0190" w:rsidRPr="00F37EF0" w:rsidTr="007D4CF5">
        <w:trPr>
          <w:jc w:val="center"/>
        </w:trPr>
        <w:tc>
          <w:tcPr>
            <w:tcW w:w="4876" w:type="dxa"/>
          </w:tcPr>
          <w:p w:rsidR="008E0190" w:rsidRPr="00F37EF0" w:rsidRDefault="008E0190" w:rsidP="007D4CF5">
            <w:pPr>
              <w:pStyle w:val="Normal6"/>
            </w:pPr>
            <w:r w:rsidRPr="00F37EF0">
              <w:t>Do dveh prstnih odtisov, shranjenih v pomnilniškem mediju, ima dostop samo ustrezno pooblaščeno osebje pristojnih nacionalnih organov in agencij Unije.</w:t>
            </w:r>
          </w:p>
        </w:tc>
        <w:tc>
          <w:tcPr>
            <w:tcW w:w="4876" w:type="dxa"/>
          </w:tcPr>
          <w:p w:rsidR="008E0190" w:rsidRPr="00F37EF0" w:rsidRDefault="008E0190" w:rsidP="007D4CF5">
            <w:pPr>
              <w:pStyle w:val="Normal6"/>
              <w:rPr>
                <w:szCs w:val="24"/>
              </w:rPr>
            </w:pPr>
            <w:r w:rsidRPr="00F37EF0">
              <w:t>Do dveh prstnih odtisov</w:t>
            </w:r>
            <w:r w:rsidRPr="00F37EF0">
              <w:rPr>
                <w:b/>
                <w:i/>
              </w:rPr>
              <w:t xml:space="preserve"> imetnika</w:t>
            </w:r>
            <w:r w:rsidRPr="00F37EF0">
              <w:t>, shranjenih v pomnilniškem mediju, ima dostop samo ustrezno pooblaščeno osebje pristojnih nacionalnih organov in agencij Unije</w:t>
            </w:r>
            <w:r w:rsidRPr="00F37EF0">
              <w:rPr>
                <w:b/>
                <w:i/>
              </w:rPr>
              <w:t xml:space="preserve"> za namene iz prvega pododstavka v skladu s pravom Unije in nacionalnim pravom o varstvu podatkov</w:t>
            </w:r>
            <w:r w:rsidRPr="00F37EF0">
              <w:t>.</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15</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13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Ocenjevanje</w:t>
            </w:r>
          </w:p>
        </w:tc>
        <w:tc>
          <w:tcPr>
            <w:tcW w:w="4876" w:type="dxa"/>
            <w:tcBorders>
              <w:top w:val="nil"/>
              <w:left w:val="nil"/>
              <w:bottom w:val="nil"/>
              <w:right w:val="nil"/>
            </w:tcBorders>
          </w:tcPr>
          <w:p w:rsidR="008E0190" w:rsidRPr="00F37EF0" w:rsidRDefault="008E0190" w:rsidP="007D4CF5">
            <w:pPr>
              <w:pStyle w:val="Normal6a"/>
            </w:pPr>
            <w:r w:rsidRPr="00F37EF0">
              <w:rPr>
                <w:b/>
                <w:i/>
              </w:rPr>
              <w:t xml:space="preserve">Poročanje in </w:t>
            </w:r>
            <w:r w:rsidRPr="00F37EF0">
              <w:t>ocenjevanje</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16</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13 – odstavek -1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p>
        </w:tc>
        <w:tc>
          <w:tcPr>
            <w:tcW w:w="4876" w:type="dxa"/>
            <w:tcBorders>
              <w:top w:val="nil"/>
              <w:left w:val="nil"/>
              <w:bottom w:val="nil"/>
              <w:right w:val="nil"/>
            </w:tcBorders>
          </w:tcPr>
          <w:p w:rsidR="008E0190" w:rsidRPr="00F37EF0" w:rsidRDefault="008E0190" w:rsidP="007D4CF5">
            <w:pPr>
              <w:pStyle w:val="Normal6a"/>
            </w:pPr>
            <w:r w:rsidRPr="00F37EF0">
              <w:rPr>
                <w:b/>
                <w:i/>
              </w:rPr>
              <w:t>-1.</w:t>
            </w:r>
            <w:r w:rsidRPr="00F37EF0">
              <w:rPr>
                <w:b/>
                <w:i/>
              </w:rPr>
              <w:tab/>
              <w:t>Komisija [dve leti od datuma začetka uporabe te uredbe] in nato [enajst let od datuma začetka uporabe te uredbe] Evropskemu parlamentu, Svetu in Evropskemu ekonomsko-socialnemu odboru poroča o izvajanju te uredbe, zlasti o varstvu temeljnih pravic in osebnih podatkov.</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17</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13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r w:rsidRPr="00F37EF0">
              <w:t>1.</w:t>
            </w:r>
            <w:r w:rsidRPr="00F37EF0">
              <w:tab/>
              <w:t xml:space="preserve">Komisija </w:t>
            </w:r>
            <w:r w:rsidRPr="00F37EF0">
              <w:rPr>
                <w:b/>
                <w:i/>
              </w:rPr>
              <w:t>ne prej kot</w:t>
            </w:r>
            <w:r w:rsidRPr="00F37EF0">
              <w:t xml:space="preserve"> [šest let po </w:t>
            </w:r>
            <w:r w:rsidRPr="00F37EF0">
              <w:lastRenderedPageBreak/>
              <w:t>začetku veljavnosti te uredbe] izvede oceno te uredbe ter Evropskemu parlamentu, Svetu in Evropskemu ekonomsko-socialnemu odboru predloži poročilo o glavnih ugotovitvah. V poročilu se posebna pozornost nameni:</w:t>
            </w:r>
          </w:p>
        </w:tc>
        <w:tc>
          <w:tcPr>
            <w:tcW w:w="4876" w:type="dxa"/>
            <w:tcBorders>
              <w:top w:val="nil"/>
              <w:left w:val="nil"/>
              <w:bottom w:val="nil"/>
              <w:right w:val="nil"/>
            </w:tcBorders>
          </w:tcPr>
          <w:p w:rsidR="008E0190" w:rsidRPr="00F37EF0" w:rsidRDefault="008E0190" w:rsidP="007D4CF5">
            <w:pPr>
              <w:pStyle w:val="Normal6a"/>
            </w:pPr>
            <w:r w:rsidRPr="00F37EF0">
              <w:lastRenderedPageBreak/>
              <w:t>1.</w:t>
            </w:r>
            <w:r w:rsidRPr="00F37EF0">
              <w:tab/>
              <w:t xml:space="preserve">Komisija </w:t>
            </w:r>
            <w:r w:rsidRPr="00F37EF0">
              <w:rPr>
                <w:b/>
                <w:i/>
              </w:rPr>
              <w:t>najpozneje</w:t>
            </w:r>
            <w:r w:rsidRPr="00F37EF0">
              <w:t xml:space="preserve"> [šest let po </w:t>
            </w:r>
            <w:r w:rsidRPr="00F37EF0">
              <w:lastRenderedPageBreak/>
              <w:t>začetku veljavnosti te uredbe]</w:t>
            </w:r>
            <w:r w:rsidRPr="00F37EF0">
              <w:rPr>
                <w:b/>
                <w:i/>
              </w:rPr>
              <w:t xml:space="preserve"> in nato vsakih šest let</w:t>
            </w:r>
            <w:r w:rsidRPr="00F37EF0">
              <w:t xml:space="preserve"> izvede oceno te uredbe ter Evropskemu parlamentu, Svetu in Evropskemu ekonomsko-socialnemu odboru predloži poročilo o glavnih ugotovitvah. V poročilu se posebna pozornost nameni:</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18</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13 – odstavek 1 – točka d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p>
        </w:tc>
        <w:tc>
          <w:tcPr>
            <w:tcW w:w="4876" w:type="dxa"/>
            <w:tcBorders>
              <w:top w:val="nil"/>
              <w:left w:val="nil"/>
              <w:bottom w:val="nil"/>
              <w:right w:val="nil"/>
            </w:tcBorders>
          </w:tcPr>
          <w:p w:rsidR="008E0190" w:rsidRPr="00F37EF0" w:rsidRDefault="008E0190" w:rsidP="007D4CF5">
            <w:pPr>
              <w:pStyle w:val="Normal6a"/>
            </w:pPr>
            <w:r w:rsidRPr="00F37EF0">
              <w:rPr>
                <w:b/>
                <w:i/>
              </w:rPr>
              <w:t>(da)</w:t>
            </w:r>
            <w:r w:rsidRPr="00F37EF0">
              <w:tab/>
            </w:r>
            <w:r w:rsidRPr="00F37EF0">
              <w:rPr>
                <w:b/>
                <w:i/>
              </w:rPr>
              <w:t>potrebi po uvedbi skupnih varnostnih značilnosti identifikacijskih dokumentov, ki se uporabljajo začasno, za njihovo boljše prepoznavanje;</w:t>
            </w:r>
          </w:p>
        </w:tc>
      </w:tr>
    </w:tbl>
    <w:p w:rsidR="008E0190" w:rsidRPr="00F37EF0" w:rsidRDefault="008E0190" w:rsidP="008E0190"/>
    <w:p w:rsidR="008E0190" w:rsidRPr="00F37EF0" w:rsidRDefault="00AE2E00" w:rsidP="008E0190">
      <w:pPr>
        <w:pStyle w:val="AmNumberTabs"/>
      </w:pPr>
      <w:r>
        <w:t>Sprememba</w:t>
      </w:r>
      <w:r w:rsidR="008E0190" w:rsidRPr="00F37EF0">
        <w:tab/>
      </w:r>
      <w:r w:rsidR="008E0190" w:rsidRPr="00F37EF0">
        <w:tab/>
        <w:t>19</w:t>
      </w:r>
    </w:p>
    <w:p w:rsidR="008E0190" w:rsidRPr="00F37EF0" w:rsidRDefault="008E0190" w:rsidP="008E0190">
      <w:pPr>
        <w:pStyle w:val="NormalBold12b"/>
      </w:pPr>
      <w:r w:rsidRPr="00F37EF0">
        <w:t>Predlog uredbe</w:t>
      </w:r>
    </w:p>
    <w:p w:rsidR="008E0190" w:rsidRPr="00F37EF0" w:rsidRDefault="008E0190" w:rsidP="008E0190">
      <w:pPr>
        <w:pStyle w:val="NormalBold"/>
      </w:pPr>
      <w:r w:rsidRPr="00F37EF0">
        <w:t>Člen 13 – odstavek 1 – točka d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190" w:rsidRPr="00F37EF0" w:rsidTr="007D4CF5">
        <w:trPr>
          <w:trHeight w:hRule="exact" w:val="240"/>
          <w:jc w:val="center"/>
        </w:trPr>
        <w:tc>
          <w:tcPr>
            <w:tcW w:w="9752" w:type="dxa"/>
            <w:gridSpan w:val="2"/>
            <w:tcBorders>
              <w:top w:val="nil"/>
              <w:left w:val="nil"/>
              <w:bottom w:val="nil"/>
              <w:right w:val="nil"/>
            </w:tcBorders>
          </w:tcPr>
          <w:p w:rsidR="008E0190" w:rsidRPr="00F37EF0" w:rsidRDefault="008E0190" w:rsidP="007D4CF5"/>
        </w:tc>
      </w:tr>
      <w:tr w:rsidR="008E0190" w:rsidRPr="00F37EF0" w:rsidTr="007D4CF5">
        <w:trPr>
          <w:trHeight w:val="240"/>
          <w:jc w:val="center"/>
        </w:trPr>
        <w:tc>
          <w:tcPr>
            <w:tcW w:w="4876" w:type="dxa"/>
            <w:tcBorders>
              <w:top w:val="nil"/>
              <w:left w:val="nil"/>
              <w:bottom w:val="nil"/>
              <w:right w:val="nil"/>
            </w:tcBorders>
          </w:tcPr>
          <w:p w:rsidR="008E0190" w:rsidRPr="00F37EF0" w:rsidRDefault="008E0190" w:rsidP="007D4CF5">
            <w:pPr>
              <w:pStyle w:val="AmColumnHeading"/>
            </w:pPr>
            <w:r w:rsidRPr="00F37EF0">
              <w:t>Besedilo, ki ga predlaga Komisija</w:t>
            </w:r>
          </w:p>
        </w:tc>
        <w:tc>
          <w:tcPr>
            <w:tcW w:w="4876" w:type="dxa"/>
            <w:tcBorders>
              <w:top w:val="nil"/>
              <w:left w:val="nil"/>
              <w:bottom w:val="nil"/>
              <w:right w:val="nil"/>
            </w:tcBorders>
          </w:tcPr>
          <w:p w:rsidR="008E0190" w:rsidRPr="00F37EF0" w:rsidRDefault="00AE2E00" w:rsidP="007D4CF5">
            <w:pPr>
              <w:pStyle w:val="AmColumnHeading"/>
            </w:pPr>
            <w:r>
              <w:t>Sprememba</w:t>
            </w:r>
          </w:p>
        </w:tc>
      </w:tr>
      <w:tr w:rsidR="008E0190" w:rsidRPr="00F37EF0" w:rsidTr="007D4CF5">
        <w:trPr>
          <w:jc w:val="center"/>
        </w:trPr>
        <w:tc>
          <w:tcPr>
            <w:tcW w:w="4876" w:type="dxa"/>
            <w:tcBorders>
              <w:top w:val="nil"/>
              <w:left w:val="nil"/>
              <w:bottom w:val="nil"/>
              <w:right w:val="nil"/>
            </w:tcBorders>
          </w:tcPr>
          <w:p w:rsidR="008E0190" w:rsidRPr="00F37EF0" w:rsidRDefault="008E0190" w:rsidP="007D4CF5">
            <w:pPr>
              <w:pStyle w:val="Normal6a"/>
            </w:pPr>
          </w:p>
        </w:tc>
        <w:tc>
          <w:tcPr>
            <w:tcW w:w="4876" w:type="dxa"/>
            <w:tcBorders>
              <w:top w:val="nil"/>
              <w:left w:val="nil"/>
              <w:bottom w:val="nil"/>
              <w:right w:val="nil"/>
            </w:tcBorders>
          </w:tcPr>
          <w:p w:rsidR="008E0190" w:rsidRPr="00F37EF0" w:rsidRDefault="008E0190" w:rsidP="007D4CF5">
            <w:pPr>
              <w:pStyle w:val="Normal6a"/>
            </w:pPr>
            <w:r w:rsidRPr="00F37EF0">
              <w:rPr>
                <w:b/>
                <w:i/>
              </w:rPr>
              <w:t>(db)</w:t>
            </w:r>
            <w:r w:rsidRPr="00F37EF0">
              <w:tab/>
            </w:r>
            <w:r w:rsidRPr="00F37EF0">
              <w:rPr>
                <w:b/>
                <w:i/>
              </w:rPr>
              <w:t>potrebi po nadaljnji harmonizaciji varnostnih značilnosti dokumentov za prebivanje.</w:t>
            </w:r>
          </w:p>
        </w:tc>
      </w:tr>
    </w:tbl>
    <w:p w:rsidR="00E365E1" w:rsidRPr="00F37EF0" w:rsidRDefault="00E365E1" w:rsidP="008E0190"/>
    <w:sectPr w:rsidR="00E365E1" w:rsidRPr="00F37EF0" w:rsidSect="00F96D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3DC" w:rsidRPr="00F96DBD" w:rsidRDefault="006153DC">
      <w:r w:rsidRPr="00F96DBD">
        <w:separator/>
      </w:r>
    </w:p>
  </w:endnote>
  <w:endnote w:type="continuationSeparator" w:id="0">
    <w:p w:rsidR="006153DC" w:rsidRPr="00F96DBD" w:rsidRDefault="006153DC">
      <w:r w:rsidRPr="00F96D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3DC" w:rsidRPr="00F96DBD" w:rsidRDefault="006153DC">
      <w:r w:rsidRPr="00F96DBD">
        <w:separator/>
      </w:r>
    </w:p>
  </w:footnote>
  <w:footnote w:type="continuationSeparator" w:id="0">
    <w:p w:rsidR="006153DC" w:rsidRPr="00F96DBD" w:rsidRDefault="006153DC">
      <w:r w:rsidRPr="00F96D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6D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SL"/>
    <w:docVar w:name="dvnumam" w:val="19"/>
    <w:docVar w:name="dvpe" w:val="766.606"/>
    <w:docVar w:name="dvrapporteur" w:val="Poročevalec: "/>
    <w:docVar w:name="dvstar" w:val="*"/>
    <w:docVar w:name="dvtitre" w:val="Zakonodajna resolucija Evropskega parlamenta z dne 2. aprila 2025 o predlogu uredbe Sveta o okrepitvi varnosti osebnih izkaznic državljanov Unije in dokumentov za prebivanje, izdanih državljanom Unije in njihovim družinskim članom, ki uresničujejo svojo pravico do prostega gibanja(COM(2024)0316 – C10-0112/2024 – 2024/0187(CNS))"/>
  </w:docVars>
  <w:rsids>
    <w:rsidRoot w:val="006153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3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12B"/>
    <w:rsid w:val="00881A7B"/>
    <w:rsid w:val="008840E5"/>
    <w:rsid w:val="00887B3E"/>
    <w:rsid w:val="008C2AC6"/>
    <w:rsid w:val="008C3753"/>
    <w:rsid w:val="008E0190"/>
    <w:rsid w:val="00930C23"/>
    <w:rsid w:val="0093193B"/>
    <w:rsid w:val="009509D8"/>
    <w:rsid w:val="00950B64"/>
    <w:rsid w:val="00981893"/>
    <w:rsid w:val="00A1687D"/>
    <w:rsid w:val="00A43E52"/>
    <w:rsid w:val="00A4678D"/>
    <w:rsid w:val="00A778C7"/>
    <w:rsid w:val="00AB441E"/>
    <w:rsid w:val="00AB6293"/>
    <w:rsid w:val="00AE0928"/>
    <w:rsid w:val="00AE2E00"/>
    <w:rsid w:val="00AF3B82"/>
    <w:rsid w:val="00B12E95"/>
    <w:rsid w:val="00B22876"/>
    <w:rsid w:val="00B558F0"/>
    <w:rsid w:val="00B57B94"/>
    <w:rsid w:val="00BD1B8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EF0"/>
    <w:rsid w:val="00F5134D"/>
    <w:rsid w:val="00F74202"/>
    <w:rsid w:val="00F87713"/>
    <w:rsid w:val="00F96DB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E3A520-DEC0-4CB6-9071-168EF5AB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0190"/>
    <w:pPr>
      <w:spacing w:before="480" w:after="240"/>
    </w:pPr>
  </w:style>
  <w:style w:type="paragraph" w:customStyle="1" w:styleId="NormalBold">
    <w:name w:val="NormalBold"/>
    <w:basedOn w:val="Normal"/>
    <w:link w:val="NormalBoldChar"/>
    <w:rsid w:val="008E0190"/>
    <w:rPr>
      <w:b/>
    </w:rPr>
  </w:style>
  <w:style w:type="paragraph" w:customStyle="1" w:styleId="NormalHanging12a">
    <w:name w:val="NormalHanging12a"/>
    <w:basedOn w:val="Normal"/>
    <w:rsid w:val="008E0190"/>
    <w:pPr>
      <w:spacing w:after="240"/>
      <w:ind w:left="567" w:hanging="567"/>
    </w:pPr>
  </w:style>
  <w:style w:type="paragraph" w:customStyle="1" w:styleId="Normal6a">
    <w:name w:val="Normal6a"/>
    <w:basedOn w:val="Normal"/>
    <w:rsid w:val="008E0190"/>
    <w:pPr>
      <w:spacing w:after="120"/>
    </w:pPr>
  </w:style>
  <w:style w:type="paragraph" w:customStyle="1" w:styleId="AmColumnHeading">
    <w:name w:val="AmColumnHeading"/>
    <w:basedOn w:val="Normal"/>
    <w:rsid w:val="008E0190"/>
    <w:pPr>
      <w:spacing w:after="240"/>
      <w:jc w:val="center"/>
    </w:pPr>
    <w:rPr>
      <w:i/>
    </w:rPr>
  </w:style>
  <w:style w:type="paragraph" w:customStyle="1" w:styleId="AmNumberTabs">
    <w:name w:val="AmNumberTabs"/>
    <w:basedOn w:val="Normal"/>
    <w:link w:val="AmNumberTabsChar"/>
    <w:rsid w:val="008E01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E0190"/>
    <w:pPr>
      <w:spacing w:before="240"/>
    </w:pPr>
    <w:rPr>
      <w:b/>
    </w:rPr>
  </w:style>
  <w:style w:type="paragraph" w:customStyle="1" w:styleId="Normal6">
    <w:name w:val="Normal6"/>
    <w:basedOn w:val="Normal"/>
    <w:link w:val="Normal6Char"/>
    <w:rsid w:val="008E0190"/>
    <w:pPr>
      <w:spacing w:after="120"/>
    </w:pPr>
  </w:style>
  <w:style w:type="character" w:customStyle="1" w:styleId="NormalBoldChar">
    <w:name w:val="NormalBold Char"/>
    <w:basedOn w:val="DefaultParagraphFont"/>
    <w:link w:val="NormalBold"/>
    <w:rsid w:val="008E0190"/>
    <w:rPr>
      <w:b/>
      <w:sz w:val="24"/>
      <w:lang w:val="sl-SI"/>
    </w:rPr>
  </w:style>
  <w:style w:type="character" w:customStyle="1" w:styleId="Normal6Char">
    <w:name w:val="Normal6 Char"/>
    <w:basedOn w:val="DefaultParagraphFont"/>
    <w:link w:val="Normal6"/>
    <w:rsid w:val="008E0190"/>
    <w:rPr>
      <w:sz w:val="24"/>
      <w:lang w:val="sl-SI"/>
    </w:rPr>
  </w:style>
  <w:style w:type="paragraph" w:customStyle="1" w:styleId="ColumnHeading">
    <w:name w:val="ColumnHeading"/>
    <w:basedOn w:val="Normal"/>
    <w:rsid w:val="008E0190"/>
    <w:pPr>
      <w:spacing w:after="240"/>
      <w:jc w:val="center"/>
    </w:pPr>
    <w:rPr>
      <w:i/>
    </w:rPr>
  </w:style>
  <w:style w:type="character" w:customStyle="1" w:styleId="NormalBold12bChar">
    <w:name w:val="NormalBold12b Char"/>
    <w:basedOn w:val="DefaultParagraphFont"/>
    <w:link w:val="NormalBold12b"/>
    <w:rsid w:val="008E0190"/>
    <w:rPr>
      <w:b/>
      <w:sz w:val="24"/>
      <w:lang w:val="sl-SI"/>
    </w:rPr>
  </w:style>
  <w:style w:type="character" w:customStyle="1" w:styleId="AmNumberTabsChar">
    <w:name w:val="AmNumberTabs Char"/>
    <w:basedOn w:val="DefaultParagraphFont"/>
    <w:link w:val="AmNumberTabs"/>
    <w:rsid w:val="008E0190"/>
    <w:rPr>
      <w:b/>
      <w:sz w:val="24"/>
      <w:lang w:val="sl-SI"/>
    </w:rPr>
  </w:style>
  <w:style w:type="paragraph" w:styleId="BalloonText">
    <w:name w:val="Balloon Text"/>
    <w:basedOn w:val="Normal"/>
    <w:link w:val="BalloonTextChar"/>
    <w:rsid w:val="00F37EF0"/>
    <w:rPr>
      <w:rFonts w:ascii="Segoe UI" w:hAnsi="Segoe UI" w:cs="Segoe UI"/>
      <w:sz w:val="18"/>
      <w:szCs w:val="18"/>
    </w:rPr>
  </w:style>
  <w:style w:type="character" w:customStyle="1" w:styleId="BalloonTextChar">
    <w:name w:val="Balloon Text Char"/>
    <w:basedOn w:val="DefaultParagraphFont"/>
    <w:link w:val="BalloonText"/>
    <w:rsid w:val="00F37EF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8A902-E619-40E7-BE04-EE0D7FD19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2287</Words>
  <Characters>13973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2025-04-02T10:16:00Z</dcterms:created>
  <dcterms:modified xsi:type="dcterms:W3CDTF">2025-04-02T10:16:00Z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A10-0041/2025</vt:lpwstr>
  </property>
  <property fmtid="{D5CDD505-2E9C-101B-9397-08002B2CF9AE}" pid="4" name="&lt;Type&gt;">
    <vt:lpwstr>RR</vt:lpwstr>
  </property>
</Properties>
</file>