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47A6" w14:paraId="3940F27C" w14:textId="77777777" w:rsidTr="0010095E">
        <w:trPr>
          <w:trHeight w:hRule="exact" w:val="1418"/>
        </w:trPr>
        <w:tc>
          <w:tcPr>
            <w:tcW w:w="6804" w:type="dxa"/>
            <w:shd w:val="clear" w:color="auto" w:fill="auto"/>
            <w:vAlign w:val="center"/>
          </w:tcPr>
          <w:p w14:paraId="1BBE05FD" w14:textId="77777777" w:rsidR="00751A4A" w:rsidRPr="00BE47A6" w:rsidRDefault="0039402B" w:rsidP="0010095E">
            <w:pPr>
              <w:pStyle w:val="EPName"/>
            </w:pPr>
            <w:r w:rsidRPr="00E37738">
              <w:t>Europa-Parlamentet</w:t>
            </w:r>
          </w:p>
          <w:p w14:paraId="63F87760" w14:textId="77777777" w:rsidR="00751A4A" w:rsidRPr="00BE47A6" w:rsidRDefault="005F1B17" w:rsidP="005F1B17">
            <w:pPr>
              <w:pStyle w:val="EPTerm"/>
              <w:rPr>
                <w:rStyle w:val="HideTWBExt"/>
                <w:noProof w:val="0"/>
                <w:vanish w:val="0"/>
                <w:color w:val="auto"/>
              </w:rPr>
            </w:pPr>
            <w:r w:rsidRPr="00BE47A6">
              <w:t>2024</w:t>
            </w:r>
            <w:r w:rsidR="00817416" w:rsidRPr="00BE47A6">
              <w:t>-202</w:t>
            </w:r>
            <w:r w:rsidRPr="00BE47A6">
              <w:t>9</w:t>
            </w:r>
          </w:p>
        </w:tc>
        <w:tc>
          <w:tcPr>
            <w:tcW w:w="2268" w:type="dxa"/>
            <w:shd w:val="clear" w:color="auto" w:fill="auto"/>
          </w:tcPr>
          <w:p w14:paraId="4E088E1E" w14:textId="77777777" w:rsidR="00751A4A" w:rsidRPr="00E37738" w:rsidRDefault="00187494" w:rsidP="0010095E">
            <w:pPr>
              <w:pStyle w:val="EPLogo"/>
            </w:pPr>
            <w:r w:rsidRPr="00E37738">
              <w:rPr>
                <w:noProof/>
                <w:lang w:val="en-GB"/>
              </w:rPr>
              <w:drawing>
                <wp:inline distT="0" distB="0" distL="0" distR="0" wp14:anchorId="0A76A470" wp14:editId="048F04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A353DF" w14:textId="77777777" w:rsidR="00D058B8" w:rsidRPr="00BE47A6" w:rsidRDefault="00D058B8" w:rsidP="004C5D52">
      <w:pPr>
        <w:pStyle w:val="LineTop"/>
      </w:pPr>
    </w:p>
    <w:p w14:paraId="13D536CE" w14:textId="77777777" w:rsidR="00680577" w:rsidRPr="00BE47A6" w:rsidRDefault="0039402B" w:rsidP="00680577">
      <w:pPr>
        <w:pStyle w:val="EPBodyTA1"/>
      </w:pPr>
      <w:r w:rsidRPr="00BE47A6">
        <w:t>VEDTAGNE TEKSTER</w:t>
      </w:r>
    </w:p>
    <w:p w14:paraId="75A4376D" w14:textId="77777777" w:rsidR="00D058B8" w:rsidRPr="00BE47A6" w:rsidRDefault="00D058B8" w:rsidP="00D058B8">
      <w:pPr>
        <w:pStyle w:val="LineBottom"/>
      </w:pPr>
    </w:p>
    <w:p w14:paraId="37EF5273" w14:textId="6CAFF8BB" w:rsidR="0039402B" w:rsidRPr="009F760A" w:rsidRDefault="0039402B" w:rsidP="0039402B">
      <w:pPr>
        <w:pStyle w:val="ATHeading1"/>
      </w:pPr>
      <w:bookmarkStart w:id="0" w:name="TANumber"/>
      <w:r w:rsidRPr="009F760A">
        <w:t>P10_TA(2025)00</w:t>
      </w:r>
      <w:r w:rsidR="00BA5BAC">
        <w:t>57</w:t>
      </w:r>
      <w:bookmarkEnd w:id="0"/>
    </w:p>
    <w:p w14:paraId="733AD75F" w14:textId="052D4CD4" w:rsidR="0039402B" w:rsidRPr="009F760A" w:rsidRDefault="0039402B" w:rsidP="0039402B">
      <w:pPr>
        <w:pStyle w:val="ATHeading2"/>
      </w:pPr>
      <w:bookmarkStart w:id="1" w:name="title"/>
      <w:r w:rsidRPr="009F760A">
        <w:t xml:space="preserve">Gennemførelsen af den fælles udenrigs- og sikkerhedspolitik – </w:t>
      </w:r>
      <w:r w:rsidR="00847432" w:rsidRPr="009F760A">
        <w:t xml:space="preserve">årlig betænkning </w:t>
      </w:r>
      <w:r w:rsidRPr="009F760A">
        <w:t>2024</w:t>
      </w:r>
      <w:bookmarkEnd w:id="1"/>
    </w:p>
    <w:p w14:paraId="3365504C" w14:textId="77777777" w:rsidR="0039402B" w:rsidRPr="00E37738" w:rsidRDefault="0039402B" w:rsidP="0039402B">
      <w:pPr>
        <w:rPr>
          <w:i/>
          <w:vanish/>
        </w:rPr>
      </w:pPr>
      <w:r w:rsidRPr="00E37738">
        <w:rPr>
          <w:i/>
        </w:rPr>
        <w:fldChar w:fldCharType="begin"/>
      </w:r>
      <w:r w:rsidRPr="00E37738">
        <w:rPr>
          <w:i/>
        </w:rPr>
        <w:instrText xml:space="preserve"> TC"(</w:instrText>
      </w:r>
      <w:bookmarkStart w:id="2" w:name="DocNumber"/>
      <w:r w:rsidRPr="00E37738">
        <w:rPr>
          <w:i/>
        </w:rPr>
        <w:instrText>A10-0010/2025</w:instrText>
      </w:r>
      <w:bookmarkEnd w:id="2"/>
      <w:r w:rsidRPr="00E37738">
        <w:rPr>
          <w:i/>
        </w:rPr>
        <w:instrText xml:space="preserve"> - Ordfører: David McAllister)"\l3 \n&gt; \* MERGEFORMAT </w:instrText>
      </w:r>
      <w:r w:rsidRPr="00E37738">
        <w:rPr>
          <w:i/>
        </w:rPr>
        <w:fldChar w:fldCharType="end"/>
      </w:r>
    </w:p>
    <w:p w14:paraId="50C645F4" w14:textId="77777777" w:rsidR="0039402B" w:rsidRPr="009F760A" w:rsidRDefault="0039402B" w:rsidP="0039402B">
      <w:pPr>
        <w:rPr>
          <w:vanish/>
        </w:rPr>
      </w:pPr>
      <w:bookmarkStart w:id="3" w:name="Commission"/>
      <w:r w:rsidRPr="00BE47A6">
        <w:rPr>
          <w:vanish/>
        </w:rPr>
        <w:t>Udenrigsudvalget</w:t>
      </w:r>
      <w:bookmarkEnd w:id="3"/>
    </w:p>
    <w:p w14:paraId="61769361" w14:textId="77777777" w:rsidR="0039402B" w:rsidRPr="009F760A" w:rsidRDefault="0039402B" w:rsidP="0039402B">
      <w:pPr>
        <w:rPr>
          <w:vanish/>
        </w:rPr>
      </w:pPr>
      <w:bookmarkStart w:id="4" w:name="PE"/>
      <w:r w:rsidRPr="009F760A">
        <w:rPr>
          <w:vanish/>
        </w:rPr>
        <w:t>PE765.084</w:t>
      </w:r>
      <w:bookmarkEnd w:id="4"/>
    </w:p>
    <w:p w14:paraId="1D00E61A" w14:textId="500C18A5" w:rsidR="0039402B" w:rsidRPr="009F760A" w:rsidRDefault="0039402B" w:rsidP="0039402B">
      <w:pPr>
        <w:pStyle w:val="ATHeading3"/>
      </w:pPr>
      <w:bookmarkStart w:id="5" w:name="Sujet"/>
      <w:r w:rsidRPr="009F760A">
        <w:t xml:space="preserve">Europa-Parlamentets beslutning af </w:t>
      </w:r>
      <w:r w:rsidR="00847432" w:rsidRPr="009F760A">
        <w:t>2</w:t>
      </w:r>
      <w:r w:rsidRPr="009F760A">
        <w:t xml:space="preserve">. april 2025 om gennemførelsen af den fælles udenrigs- og sikkerhedspolitik – </w:t>
      </w:r>
      <w:r w:rsidR="009F760A">
        <w:t>årlig betænkning</w:t>
      </w:r>
      <w:r w:rsidR="009F760A" w:rsidRPr="009F760A">
        <w:t xml:space="preserve"> </w:t>
      </w:r>
      <w:r w:rsidRPr="009F760A">
        <w:t>2024</w:t>
      </w:r>
      <w:bookmarkEnd w:id="5"/>
      <w:r w:rsidRPr="009F760A">
        <w:t xml:space="preserve"> </w:t>
      </w:r>
      <w:bookmarkStart w:id="6" w:name="References"/>
      <w:r w:rsidRPr="009F760A">
        <w:t>(2024/2080(INI))</w:t>
      </w:r>
      <w:bookmarkEnd w:id="6"/>
    </w:p>
    <w:p w14:paraId="46884292" w14:textId="77777777" w:rsidR="004E4A8E" w:rsidRPr="009F760A" w:rsidRDefault="004E4A8E" w:rsidP="004E4A8E">
      <w:pPr>
        <w:pStyle w:val="EPComma"/>
      </w:pPr>
      <w:r w:rsidRPr="00E37738">
        <w:rPr>
          <w:i/>
        </w:rPr>
        <w:t>Europa-Parlamentet</w:t>
      </w:r>
      <w:r w:rsidRPr="00BE47A6">
        <w:t>,</w:t>
      </w:r>
    </w:p>
    <w:p w14:paraId="746EADAF" w14:textId="2ADBC627" w:rsidR="004E4A8E" w:rsidRPr="009F760A" w:rsidRDefault="004E4A8E" w:rsidP="004E4A8E">
      <w:pPr>
        <w:pStyle w:val="NormalHanging12a"/>
      </w:pPr>
      <w:r w:rsidRPr="009F760A">
        <w:t>–</w:t>
      </w:r>
      <w:r w:rsidRPr="009F760A">
        <w:tab/>
        <w:t>der henviser til traktaten om Den Europæiske Union (TEU), særlig artikel 14, 16, 21, 24, 36 og 41,</w:t>
      </w:r>
    </w:p>
    <w:p w14:paraId="5509F9D3" w14:textId="77777777" w:rsidR="004E4A8E" w:rsidRPr="00BE47A6" w:rsidRDefault="004E4A8E" w:rsidP="004E4A8E">
      <w:pPr>
        <w:pStyle w:val="NormalHanging12a"/>
      </w:pPr>
      <w:r w:rsidRPr="009F760A">
        <w:t>–</w:t>
      </w:r>
      <w:r w:rsidRPr="009F760A">
        <w:tab/>
        <w:t>der henviser til den interinstitutionelle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E37738">
        <w:rPr>
          <w:rStyle w:val="FootnoteReference"/>
        </w:rPr>
        <w:footnoteReference w:id="1"/>
      </w:r>
      <w:r w:rsidRPr="00E37738">
        <w:t>,</w:t>
      </w:r>
    </w:p>
    <w:p w14:paraId="7AC1F92D" w14:textId="77777777" w:rsidR="004E4A8E" w:rsidRPr="009F760A" w:rsidRDefault="004E4A8E" w:rsidP="004E4A8E">
      <w:pPr>
        <w:pStyle w:val="NormalHanging12a"/>
      </w:pPr>
      <w:r w:rsidRPr="009F760A">
        <w:t>–</w:t>
      </w:r>
      <w:r w:rsidRPr="009F760A">
        <w:tab/>
        <w:t>der henviser til rapporten af 20. juni 2024 fra næstformanden for Kommissionen/Unionens højtstående repræsentant for udenrigsanliggender og sikkerhedspolitik (NF/HR) med titlen "Rapporten om fælles udenrigs- og sikkerhedspolitik – vores prioriteter for 2024",</w:t>
      </w:r>
    </w:p>
    <w:p w14:paraId="7E813844" w14:textId="77777777" w:rsidR="004E4A8E" w:rsidRPr="009F760A" w:rsidRDefault="004E4A8E" w:rsidP="004E4A8E">
      <w:pPr>
        <w:pStyle w:val="NormalHanging12a"/>
      </w:pPr>
      <w:r w:rsidRPr="009F760A">
        <w:t>–</w:t>
      </w:r>
      <w:r w:rsidRPr="009F760A">
        <w:tab/>
        <w:t>der henviser til "Et strategisk kompas for sikkerhed og forsvar – For en Europæisk Union, der beskytter sine borgere, værdier og interesser og bidrager til international fred og sikkerhed", godkendt af Det Europæiske Råd den 21. marts 2022,</w:t>
      </w:r>
    </w:p>
    <w:p w14:paraId="3E5891E6" w14:textId="77777777" w:rsidR="004E4A8E" w:rsidRPr="009F760A" w:rsidRDefault="004E4A8E" w:rsidP="004E4A8E">
      <w:pPr>
        <w:pStyle w:val="NormalHanging12a"/>
      </w:pPr>
      <w:r w:rsidRPr="009F760A">
        <w:t xml:space="preserve">– </w:t>
      </w:r>
      <w:r w:rsidRPr="009F760A">
        <w:tab/>
        <w:t>der henviser til NATO's strategiske koncept fra 2022, som blev vedtaget den 29. juni 2022,</w:t>
      </w:r>
    </w:p>
    <w:p w14:paraId="66E1EE82" w14:textId="3982E3F3" w:rsidR="004E4A8E" w:rsidRPr="009F760A" w:rsidRDefault="004E4A8E" w:rsidP="004E4A8E">
      <w:pPr>
        <w:pStyle w:val="NormalHanging12a"/>
      </w:pPr>
      <w:r w:rsidRPr="009F760A">
        <w:t>–</w:t>
      </w:r>
      <w:r w:rsidRPr="009F760A">
        <w:tab/>
        <w:t>der henviser til Rådets konklusioner af 22. marts 2024, 18. april 2024, 27. juni 2024</w:t>
      </w:r>
      <w:r w:rsidR="00AE6868">
        <w:t>,</w:t>
      </w:r>
      <w:r w:rsidRPr="009F760A">
        <w:t xml:space="preserve"> 19. december 2024</w:t>
      </w:r>
      <w:r w:rsidR="00AE6868" w:rsidRPr="00AE6868">
        <w:t>, 6. marts 2025 og 20. marts 2025</w:t>
      </w:r>
      <w:r w:rsidRPr="009F760A">
        <w:t>,</w:t>
      </w:r>
    </w:p>
    <w:p w14:paraId="0487D5C9" w14:textId="6D6FA17E" w:rsidR="004E4A8E" w:rsidRPr="009F760A" w:rsidRDefault="004E4A8E" w:rsidP="004E4A8E">
      <w:pPr>
        <w:pStyle w:val="NormalHanging12a"/>
      </w:pPr>
      <w:r w:rsidRPr="009F760A">
        <w:t>–</w:t>
      </w:r>
      <w:r w:rsidRPr="009F760A">
        <w:tab/>
        <w:t>der henviser til Rådet for Udenrigsanliggenders konklusioner af 18. marts 2024, 22. april 2024, 24. maj 2024, 24. juni 2024, 22. juli 2024, 14. oktober 2024, 18. november 2024</w:t>
      </w:r>
      <w:r w:rsidR="00741D62">
        <w:t>,</w:t>
      </w:r>
      <w:r w:rsidRPr="009F760A">
        <w:t xml:space="preserve"> 16. december 2024,</w:t>
      </w:r>
      <w:r w:rsidR="00741D62" w:rsidRPr="00741D62">
        <w:t xml:space="preserve"> 27. januar 2025, 24. februar 2025 og 17. marts 2025</w:t>
      </w:r>
      <w:r w:rsidR="00741D62">
        <w:t>,</w:t>
      </w:r>
    </w:p>
    <w:p w14:paraId="6A212A5A" w14:textId="77777777" w:rsidR="004E4A8E" w:rsidRPr="009F760A" w:rsidRDefault="004E4A8E" w:rsidP="004E4A8E">
      <w:pPr>
        <w:pStyle w:val="NormalHanging12a"/>
      </w:pPr>
      <w:r w:rsidRPr="009F760A">
        <w:t>–</w:t>
      </w:r>
      <w:r w:rsidRPr="009F760A">
        <w:tab/>
        <w:t xml:space="preserve">der henviser til erklæringen fra topmødet mellem EU og Sammenslutningen af </w:t>
      </w:r>
      <w:r w:rsidRPr="009F760A">
        <w:lastRenderedPageBreak/>
        <w:t>Latinamerikanske og Caribiske Stater (CELAC), der blev vedtaget den 18. juli 2023,</w:t>
      </w:r>
    </w:p>
    <w:p w14:paraId="1562B097" w14:textId="77777777" w:rsidR="004E4A8E" w:rsidRPr="00BE47A6" w:rsidRDefault="004E4A8E" w:rsidP="004E4A8E">
      <w:pPr>
        <w:pStyle w:val="NormalHanging12a"/>
      </w:pPr>
      <w:r w:rsidRPr="009F760A">
        <w:t>–</w:t>
      </w:r>
      <w:r w:rsidRPr="009F760A">
        <w:tab/>
        <w:t>der henviser til Rådets afgørelse (FUSP) 2021/509 af 22. marts 2021 om oprettelse af en europæisk fredsfacilitet og om ophævelse af afgørelse (FUSP) 2015/528</w:t>
      </w:r>
      <w:r w:rsidRPr="00E37738">
        <w:rPr>
          <w:rStyle w:val="FootnoteReference"/>
        </w:rPr>
        <w:footnoteReference w:id="2"/>
      </w:r>
      <w:r w:rsidRPr="00E37738">
        <w:t>,</w:t>
      </w:r>
    </w:p>
    <w:p w14:paraId="061D47EE" w14:textId="77777777" w:rsidR="004E4A8E" w:rsidRPr="009F760A" w:rsidRDefault="004E4A8E" w:rsidP="004E4A8E">
      <w:pPr>
        <w:pStyle w:val="NormalHanging12a"/>
      </w:pPr>
      <w:r w:rsidRPr="009F760A">
        <w:t>–</w:t>
      </w:r>
      <w:r w:rsidRPr="009F760A">
        <w:tab/>
        <w:t xml:space="preserve">der henviser til kommissionsformandens politiske retningslinjer for 2024-2029, </w:t>
      </w:r>
    </w:p>
    <w:p w14:paraId="2C5D3C58" w14:textId="77777777" w:rsidR="004E4A8E" w:rsidRPr="009F760A" w:rsidRDefault="004E4A8E" w:rsidP="004E4A8E">
      <w:pPr>
        <w:pStyle w:val="NormalHanging12a"/>
      </w:pPr>
      <w:r w:rsidRPr="009F760A">
        <w:t xml:space="preserve">– </w:t>
      </w:r>
      <w:r w:rsidRPr="009F760A">
        <w:tab/>
        <w:t xml:space="preserve">der henviser til de udvidelsesrapporter for 2024, som Kommissionen fremlagde den 30. oktober 2024, </w:t>
      </w:r>
    </w:p>
    <w:p w14:paraId="0FE0CF5E" w14:textId="77777777" w:rsidR="004E4A8E" w:rsidRPr="009F760A" w:rsidRDefault="004E4A8E" w:rsidP="004E4A8E">
      <w:pPr>
        <w:pStyle w:val="NormalHanging12a"/>
      </w:pPr>
      <w:r w:rsidRPr="009F760A">
        <w:t>–</w:t>
      </w:r>
      <w:r w:rsidRPr="009F760A">
        <w:tab/>
        <w:t xml:space="preserve">der henviser til Kommissionens meddelelse af 30. oktober 2024 med titlen "Meddelelse om EU's udvidelsespolitik 2024" (COM(2024)0690), </w:t>
      </w:r>
    </w:p>
    <w:p w14:paraId="3E8002FE" w14:textId="557B62FF" w:rsidR="004E4A8E" w:rsidRDefault="004E4A8E" w:rsidP="004E4A8E">
      <w:pPr>
        <w:pStyle w:val="NormalHanging12a"/>
      </w:pPr>
      <w:r w:rsidRPr="009F760A">
        <w:t>–</w:t>
      </w:r>
      <w:r w:rsidRPr="009F760A">
        <w:tab/>
        <w:t>der henviser til Europa-Parlamentets og Rådets forordning (EU) 2024/1449 af 14. maj 2024 om oprettelse af reform- og vækstfaciliteten for Vestbalkan</w:t>
      </w:r>
      <w:r w:rsidRPr="00E37738">
        <w:rPr>
          <w:rStyle w:val="FootnoteReference"/>
        </w:rPr>
        <w:footnoteReference w:id="3"/>
      </w:r>
      <w:r w:rsidRPr="00E37738">
        <w:t xml:space="preserve">, </w:t>
      </w:r>
    </w:p>
    <w:p w14:paraId="7991BCE8" w14:textId="3EA490DB" w:rsidR="00F27C56" w:rsidRPr="00BE47A6" w:rsidRDefault="00F27C56" w:rsidP="004E4A8E">
      <w:pPr>
        <w:pStyle w:val="NormalHanging12a"/>
      </w:pPr>
      <w:r w:rsidRPr="00F27C56">
        <w:t>–</w:t>
      </w:r>
      <w:r w:rsidRPr="00F27C56">
        <w:tab/>
        <w:t>der henviser til Europa-Parlamentets og Rådets forordning (EU) 2025/535 af 18. marts 2025 om oprettelse af reform- og vækstfaciliteten for Republikken Moldova</w:t>
      </w:r>
      <w:r>
        <w:rPr>
          <w:rStyle w:val="FootnoteReference"/>
        </w:rPr>
        <w:footnoteReference w:id="4"/>
      </w:r>
      <w:r>
        <w:t>,</w:t>
      </w:r>
    </w:p>
    <w:p w14:paraId="4FFFACCE" w14:textId="77777777" w:rsidR="004E4A8E" w:rsidRPr="009F760A" w:rsidRDefault="004E4A8E" w:rsidP="004E4A8E">
      <w:pPr>
        <w:pStyle w:val="NormalHanging12a"/>
      </w:pPr>
      <w:r w:rsidRPr="009F760A">
        <w:t>–</w:t>
      </w:r>
      <w:r w:rsidRPr="009F760A">
        <w:tab/>
        <w:t>der henviser til Sauli Niinistös rapport af 30. oktober 2024 om styrkelse af Europas civile og militære beredskab og parathed,</w:t>
      </w:r>
    </w:p>
    <w:p w14:paraId="1E952F35" w14:textId="77777777" w:rsidR="004E4A8E" w:rsidRPr="009F760A" w:rsidRDefault="004E4A8E" w:rsidP="004E4A8E">
      <w:pPr>
        <w:pStyle w:val="NormalHanging12a"/>
      </w:pPr>
      <w:r w:rsidRPr="009F760A">
        <w:t>–</w:t>
      </w:r>
      <w:r w:rsidRPr="009F760A">
        <w:tab/>
        <w:t>der henviser til EU's retningslinjer vedrørende menneskerettighedsforkæmpere, der blev vedtaget i 2004, ajourført i 2008 og yderligere suppleret i 2020 med et vejledende notat om gennemførelsen af retningslinjerne,</w:t>
      </w:r>
    </w:p>
    <w:p w14:paraId="5C40CBF5" w14:textId="77777777" w:rsidR="004E4A8E" w:rsidRPr="009F760A" w:rsidRDefault="004E4A8E" w:rsidP="004E4A8E">
      <w:pPr>
        <w:pStyle w:val="NormalHanging12a"/>
      </w:pPr>
      <w:r w:rsidRPr="009F760A">
        <w:t>–</w:t>
      </w:r>
      <w:r w:rsidRPr="009F760A">
        <w:tab/>
        <w:t>der henviser til sine beslutninger om krænkelser af menneskerettighederne, demokratiet og retsstatsprincippet vedtaget i henhold til forretningsordenens artikel 150,</w:t>
      </w:r>
    </w:p>
    <w:p w14:paraId="3CDD6FB0" w14:textId="77777777" w:rsidR="004E4A8E" w:rsidRPr="009F760A" w:rsidRDefault="004E4A8E" w:rsidP="004E4A8E">
      <w:pPr>
        <w:pStyle w:val="NormalHanging12a"/>
      </w:pPr>
      <w:r w:rsidRPr="009F760A">
        <w:t>–</w:t>
      </w:r>
      <w:r w:rsidRPr="009F760A">
        <w:tab/>
        <w:t>der henviser til den fælles meddelelse fra Kommissionen og Unionens højtstående repræsentant for udenrigsanliggender og sikkerhedspolitik af 20. juni 2023 om "En europæisk økonomisk sikkerhedsstrategi" (JOIN(2023)0020),</w:t>
      </w:r>
    </w:p>
    <w:p w14:paraId="16128C2E" w14:textId="77777777" w:rsidR="004E4A8E" w:rsidRPr="009F760A" w:rsidRDefault="004E4A8E" w:rsidP="004E4A8E">
      <w:pPr>
        <w:pStyle w:val="NormalHanging12a"/>
      </w:pPr>
      <w:r w:rsidRPr="009F760A">
        <w:t>–</w:t>
      </w:r>
      <w:r w:rsidRPr="009F760A">
        <w:tab/>
        <w:t xml:space="preserve">der henviser til den fælles meddelelse af 16. december 2020 fra Kommissionen og Unionens højtstående repræsentant for udenrigsanliggender og sikkerhedspolitik med titlen "EU's strategi for cybersikkerhed for det digitale årti" (JOIN(2020)0018), </w:t>
      </w:r>
    </w:p>
    <w:p w14:paraId="609880FF" w14:textId="77777777" w:rsidR="004E4A8E" w:rsidRPr="009F760A" w:rsidRDefault="004E4A8E" w:rsidP="004E4A8E">
      <w:pPr>
        <w:pStyle w:val="NormalHanging12a"/>
      </w:pPr>
      <w:r w:rsidRPr="009F760A">
        <w:t>–</w:t>
      </w:r>
      <w:r w:rsidRPr="009F760A">
        <w:tab/>
        <w:t xml:space="preserve">der henviser til Kommissionens henstilling af 3. oktober 2023 om teknologiområder af kritisk betydning for EU's økonomiske sikkerhed med henblik på yderligere risikovurdering sammen med medlemsstaterne (C(2023)6689), </w:t>
      </w:r>
    </w:p>
    <w:p w14:paraId="5599B0FE" w14:textId="77777777" w:rsidR="004E4A8E" w:rsidRPr="00BE47A6" w:rsidRDefault="004E4A8E" w:rsidP="004E4A8E">
      <w:pPr>
        <w:pStyle w:val="NormalHanging12a"/>
      </w:pPr>
      <w:r w:rsidRPr="009F760A">
        <w:t>–</w:t>
      </w:r>
      <w:r w:rsidRPr="009F760A">
        <w:tab/>
        <w:t>der henviser til Rådets afgørelse (FUSP) 2019/797 af 17. maj 2019 om restriktive foranstaltninger over for cyberangreb, der truer Unionen eller dens medlemsstater</w:t>
      </w:r>
      <w:r w:rsidRPr="00E37738">
        <w:rPr>
          <w:rStyle w:val="FootnoteReference"/>
        </w:rPr>
        <w:footnoteReference w:id="5"/>
      </w:r>
      <w:r w:rsidRPr="00E37738">
        <w:t xml:space="preserve">, </w:t>
      </w:r>
    </w:p>
    <w:p w14:paraId="0427F1DE" w14:textId="77777777" w:rsidR="004E4A8E" w:rsidRPr="00BE47A6" w:rsidRDefault="004E4A8E" w:rsidP="004E4A8E">
      <w:pPr>
        <w:pStyle w:val="NormalHanging12a"/>
      </w:pPr>
      <w:r w:rsidRPr="009F760A">
        <w:t>–</w:t>
      </w:r>
      <w:r w:rsidRPr="009F760A">
        <w:tab/>
        <w:t>der henviser til sin beslutning af 1. juni 2023 om udenlandsk indblanding, herunder spredning af desinformation, i alle demokratiske processer i Den Europæiske Union</w:t>
      </w:r>
      <w:r w:rsidRPr="00E37738">
        <w:rPr>
          <w:rStyle w:val="FootnoteReference"/>
        </w:rPr>
        <w:footnoteReference w:id="6"/>
      </w:r>
      <w:r w:rsidRPr="00E37738">
        <w:t>,</w:t>
      </w:r>
    </w:p>
    <w:p w14:paraId="0B769337" w14:textId="399CE4AB" w:rsidR="004E4A8E" w:rsidRPr="00BE47A6" w:rsidRDefault="004E4A8E" w:rsidP="004E4A8E">
      <w:pPr>
        <w:pStyle w:val="NormalHanging12a"/>
      </w:pPr>
      <w:r w:rsidRPr="009F760A">
        <w:t>–</w:t>
      </w:r>
      <w:r w:rsidRPr="009F760A">
        <w:tab/>
        <w:t>der henviser til sin beslutning af 9.</w:t>
      </w:r>
      <w:r w:rsidR="00954EE6">
        <w:t xml:space="preserve"> </w:t>
      </w:r>
      <w:r w:rsidRPr="009F760A">
        <w:t xml:space="preserve">oktober 2024 om styrkelse af Moldovas </w:t>
      </w:r>
      <w:r w:rsidRPr="009F760A">
        <w:lastRenderedPageBreak/>
        <w:t>modstandskraft mod russisk indblanding forud for det kommende præsidentvalg og en forfatningsmæssig folkeafstemning om EU-integration</w:t>
      </w:r>
      <w:r w:rsidRPr="00E37738">
        <w:rPr>
          <w:rStyle w:val="FootnoteReference"/>
        </w:rPr>
        <w:footnoteReference w:id="7"/>
      </w:r>
      <w:r w:rsidRPr="00E37738">
        <w:t xml:space="preserve">, </w:t>
      </w:r>
    </w:p>
    <w:p w14:paraId="5EFA55FB" w14:textId="77777777" w:rsidR="004E4A8E" w:rsidRPr="00BE47A6" w:rsidRDefault="004E4A8E" w:rsidP="004E4A8E">
      <w:pPr>
        <w:pStyle w:val="NormalHanging12a"/>
      </w:pPr>
      <w:r w:rsidRPr="009F760A">
        <w:t>–</w:t>
      </w:r>
      <w:r w:rsidRPr="009F760A">
        <w:tab/>
        <w:t>der henviser til sin beslutning af 24. oktober 2024 om Folkerepublikken Kinas fejlagtige fortolkning af FN-resolution 2758 og landets fortsatte militære provokationer omkring Taiwan</w:t>
      </w:r>
      <w:r w:rsidRPr="00E37738">
        <w:rPr>
          <w:rStyle w:val="FootnoteReference"/>
        </w:rPr>
        <w:footnoteReference w:id="8"/>
      </w:r>
      <w:r w:rsidRPr="00E37738">
        <w:t xml:space="preserve">, </w:t>
      </w:r>
    </w:p>
    <w:p w14:paraId="44C17672" w14:textId="77777777" w:rsidR="004E4A8E" w:rsidRPr="00BE47A6" w:rsidRDefault="004E4A8E" w:rsidP="004E4A8E">
      <w:pPr>
        <w:pStyle w:val="NormalHanging12a"/>
      </w:pPr>
      <w:r w:rsidRPr="009F760A">
        <w:t>–</w:t>
      </w:r>
      <w:r w:rsidRPr="009F760A">
        <w:tab/>
        <w:t>der henviser til beslutning af 17. januar 2024 om sikkerheds- og forsvarsmæssige konsekvenser af Kinas indflydelse på kritisk infrastruktur i Den Europæiske Union</w:t>
      </w:r>
      <w:r w:rsidRPr="00E37738">
        <w:rPr>
          <w:rStyle w:val="FootnoteReference"/>
        </w:rPr>
        <w:footnoteReference w:id="9"/>
      </w:r>
      <w:r w:rsidRPr="00E37738">
        <w:t>,</w:t>
      </w:r>
    </w:p>
    <w:p w14:paraId="4CE9BB58" w14:textId="77777777" w:rsidR="004E4A8E" w:rsidRPr="00BE47A6" w:rsidRDefault="004E4A8E" w:rsidP="004E4A8E">
      <w:pPr>
        <w:pStyle w:val="NormalHanging12a"/>
      </w:pPr>
      <w:r w:rsidRPr="009F760A">
        <w:t>–</w:t>
      </w:r>
      <w:r w:rsidRPr="009F760A">
        <w:tab/>
        <w:t>der henviser til sine beslutninger af 24. oktober 2024 om situationen i Aserbajdsjan, krænkelse af menneskerettighederne og folkeretten og forbindelserne med Armenien</w:t>
      </w:r>
      <w:r w:rsidRPr="00E37738">
        <w:rPr>
          <w:rStyle w:val="FootnoteReference"/>
        </w:rPr>
        <w:footnoteReference w:id="10"/>
      </w:r>
      <w:r w:rsidRPr="00E37738">
        <w:t xml:space="preserve"> og til sin beslutning af 5. oktober 2023 om situationen i Nagorno-Karabakh efter Aserbajdsjans angreb og de fortsatte trusler mod Armenien</w:t>
      </w:r>
      <w:r w:rsidRPr="00E37738">
        <w:rPr>
          <w:rStyle w:val="FootnoteReference"/>
        </w:rPr>
        <w:footnoteReference w:id="11"/>
      </w:r>
      <w:r w:rsidRPr="00E37738">
        <w:t>,</w:t>
      </w:r>
    </w:p>
    <w:p w14:paraId="3DC50732" w14:textId="77777777" w:rsidR="004E4A8E" w:rsidRPr="00BE47A6" w:rsidRDefault="004E4A8E" w:rsidP="004E4A8E">
      <w:pPr>
        <w:pStyle w:val="NormalHanging12a"/>
      </w:pPr>
      <w:r w:rsidRPr="009F760A">
        <w:t>–</w:t>
      </w:r>
      <w:r w:rsidRPr="009F760A">
        <w:tab/>
        <w:t>der henviser til sine beslutninger om historiebevidsthed, herunder sin beslutning af 2. april 2009 om europæisk samvittighed og totalitarisme</w:t>
      </w:r>
      <w:r w:rsidRPr="00E37738">
        <w:rPr>
          <w:rStyle w:val="FootnoteReference"/>
        </w:rPr>
        <w:footnoteReference w:id="12"/>
      </w:r>
      <w:r w:rsidRPr="00E37738">
        <w:t>, af 19. september 2019 om betydningen af europæisk historiebevidsthed for Europas fremtid</w:t>
      </w:r>
      <w:r w:rsidRPr="00E37738">
        <w:rPr>
          <w:rStyle w:val="FootnoteReference"/>
        </w:rPr>
        <w:footnoteReference w:id="13"/>
      </w:r>
      <w:r w:rsidRPr="00E37738">
        <w:t>, af 15. december 2022 om 90 år efter Holodomor: anerkendelse af massedrabene som følge af hungersnød som folkedrab</w:t>
      </w:r>
      <w:r w:rsidRPr="00E37738">
        <w:rPr>
          <w:rStyle w:val="FootnoteReference"/>
        </w:rPr>
        <w:footnoteReference w:id="14"/>
      </w:r>
      <w:r w:rsidRPr="00E37738">
        <w:t xml:space="preserve"> og af 17. janu</w:t>
      </w:r>
      <w:r w:rsidRPr="00BE47A6">
        <w:t>ar 2024 om europæisk historisk bevidsthed</w:t>
      </w:r>
      <w:r w:rsidRPr="00E37738">
        <w:rPr>
          <w:rStyle w:val="FootnoteReference"/>
        </w:rPr>
        <w:footnoteReference w:id="15"/>
      </w:r>
      <w:r w:rsidRPr="00E37738">
        <w:t>,</w:t>
      </w:r>
    </w:p>
    <w:p w14:paraId="4AB1D60A" w14:textId="77777777" w:rsidR="004E4A8E" w:rsidRPr="009F760A" w:rsidRDefault="004E4A8E" w:rsidP="004E4A8E">
      <w:pPr>
        <w:pStyle w:val="NormalHanging12a"/>
      </w:pPr>
      <w:r w:rsidRPr="009F760A">
        <w:t>–</w:t>
      </w:r>
      <w:r w:rsidRPr="009F760A">
        <w:tab/>
        <w:t>der henviser til rapport af 9. maj 2022 om det endelige resultat af konferencen om Europas fremtid,</w:t>
      </w:r>
    </w:p>
    <w:p w14:paraId="236D2569" w14:textId="77777777" w:rsidR="004E4A8E" w:rsidRPr="009F760A" w:rsidRDefault="004E4A8E" w:rsidP="004E4A8E">
      <w:pPr>
        <w:pStyle w:val="NormalHanging12a"/>
      </w:pPr>
      <w:r w:rsidRPr="009F760A">
        <w:t>–</w:t>
      </w:r>
      <w:r w:rsidRPr="009F760A">
        <w:tab/>
        <w:t>der henviser til EU's handlingsplan om ligestilling mellem kønnene og styrkelse af kvinders indflydelse og status i eksterne forbindelser 2021‑2025 (EU's kønshandlingsplan III),</w:t>
      </w:r>
    </w:p>
    <w:p w14:paraId="2D40F693" w14:textId="77777777" w:rsidR="004E4A8E" w:rsidRPr="009F760A" w:rsidRDefault="004E4A8E" w:rsidP="004E4A8E">
      <w:pPr>
        <w:pStyle w:val="NormalHanging12a"/>
      </w:pPr>
      <w:r w:rsidRPr="009F760A">
        <w:t>–</w:t>
      </w:r>
      <w:r w:rsidRPr="009F760A">
        <w:tab/>
        <w:t xml:space="preserve">der henviser til Europarådets konvention til forebyggelse og bekæmpelse af vold mod kvinder og vold i hjemmet (Istanbulkonventionen), der trådte i kraft i EU den 1. oktober 2023, </w:t>
      </w:r>
    </w:p>
    <w:p w14:paraId="30403F8B" w14:textId="77777777" w:rsidR="004E4A8E" w:rsidRPr="009F760A" w:rsidRDefault="004E4A8E" w:rsidP="004E4A8E">
      <w:pPr>
        <w:pStyle w:val="NormalHanging12a"/>
      </w:pPr>
      <w:r w:rsidRPr="009F760A">
        <w:t>–</w:t>
      </w:r>
      <w:r w:rsidRPr="009F760A">
        <w:tab/>
        <w:t>der henviser til FN's resolution vedtaget af FN's Generalforsamling den 25. september 2015 på FN-topmødet om bæredygtig udvikling i New York med titlen "Transforming our World: the 2030 Agenda for Sustainable Development" (Ændring af vores samfund: 2030-dagsordenen for bæredygtig udvikling) (2030-dagsordenen), som opstillede verdensmålene for bæredygtig udvikling,</w:t>
      </w:r>
    </w:p>
    <w:p w14:paraId="2BD27EAE" w14:textId="77777777" w:rsidR="004E4A8E" w:rsidRPr="009F760A" w:rsidRDefault="004E4A8E" w:rsidP="004E4A8E">
      <w:pPr>
        <w:pStyle w:val="NormalHanging12a"/>
      </w:pPr>
      <w:r w:rsidRPr="009F760A">
        <w:t>–</w:t>
      </w:r>
      <w:r w:rsidRPr="009F760A">
        <w:tab/>
        <w:t>der henviser til FN's resolution vedtaget af FN's Generalforsamling den 8. december 1949 om bistand til palæstinensiske flygtninge,</w:t>
      </w:r>
    </w:p>
    <w:p w14:paraId="4552A21E" w14:textId="77777777" w:rsidR="004E4A8E" w:rsidRPr="009F760A" w:rsidRDefault="004E4A8E" w:rsidP="004E4A8E">
      <w:pPr>
        <w:pStyle w:val="NormalHanging12a"/>
        <w:rPr>
          <w:szCs w:val="24"/>
        </w:rPr>
      </w:pPr>
      <w:r w:rsidRPr="009F760A">
        <w:t>–</w:t>
      </w:r>
      <w:r w:rsidRPr="009F760A">
        <w:tab/>
        <w:t xml:space="preserve">der henviser til FN's Sikkerhedsråds resolution af 22. november 1967 </w:t>
      </w:r>
      <w:r w:rsidRPr="009F760A">
        <w:rPr>
          <w:shd w:val="clear" w:color="auto" w:fill="FFFFFF"/>
        </w:rPr>
        <w:t xml:space="preserve">om en fredelig og </w:t>
      </w:r>
      <w:r w:rsidRPr="009F760A">
        <w:rPr>
          <w:shd w:val="clear" w:color="auto" w:fill="FFFFFF"/>
        </w:rPr>
        <w:lastRenderedPageBreak/>
        <w:t>accepteret løsning af situationen i Mellemøsten</w:t>
      </w:r>
      <w:r w:rsidR="00874618" w:rsidRPr="009F760A">
        <w:rPr>
          <w:shd w:val="clear" w:color="auto" w:fill="FFFFFF"/>
        </w:rPr>
        <w:t>,</w:t>
      </w:r>
      <w:r w:rsidRPr="009F760A">
        <w:t xml:space="preserve"> </w:t>
      </w:r>
    </w:p>
    <w:p w14:paraId="0E2228A0" w14:textId="77777777" w:rsidR="004E4A8E" w:rsidRPr="009F760A" w:rsidRDefault="004E4A8E" w:rsidP="004E4A8E">
      <w:pPr>
        <w:pStyle w:val="NormalHanging12a"/>
      </w:pPr>
      <w:r w:rsidRPr="009F760A">
        <w:t>–</w:t>
      </w:r>
      <w:r w:rsidRPr="009F760A">
        <w:tab/>
        <w:t xml:space="preserve">der henviser til FN's Sikkerhedsråds resolution af 11. august 2006 om situationen i Mellemøsten, </w:t>
      </w:r>
    </w:p>
    <w:p w14:paraId="4F7D3FCA" w14:textId="77777777" w:rsidR="004E4A8E" w:rsidRPr="009F760A" w:rsidRDefault="004E4A8E" w:rsidP="004E4A8E">
      <w:pPr>
        <w:pStyle w:val="NormalHanging12a"/>
      </w:pPr>
      <w:r w:rsidRPr="009F760A">
        <w:t>–</w:t>
      </w:r>
      <w:r w:rsidRPr="009F760A">
        <w:tab/>
        <w:t>der henviser til De Forenede Nationers konvention om forebyggelse af og straf for folkedrab fra 1948 og FN's Menneskerettighedsråds resolution af 22. juni 2020 om forebyggelse af folkedrab,</w:t>
      </w:r>
    </w:p>
    <w:p w14:paraId="13051508" w14:textId="77777777" w:rsidR="004E4A8E" w:rsidRPr="009F760A" w:rsidRDefault="004E4A8E" w:rsidP="004E4A8E">
      <w:pPr>
        <w:pStyle w:val="NormalHanging12a"/>
      </w:pPr>
      <w:r w:rsidRPr="009F760A">
        <w:t>–</w:t>
      </w:r>
      <w:r w:rsidRPr="009F760A">
        <w:tab/>
        <w:t>der henviser til Romstatutten for Den Internationale Straffedomstol (ICC),</w:t>
      </w:r>
    </w:p>
    <w:p w14:paraId="450495EB" w14:textId="77777777" w:rsidR="004E4A8E" w:rsidRPr="00BE47A6" w:rsidRDefault="004E4A8E" w:rsidP="004E4A8E">
      <w:pPr>
        <w:pStyle w:val="NormalHanging12a"/>
      </w:pPr>
      <w:r w:rsidRPr="009F760A">
        <w:t>–</w:t>
      </w:r>
      <w:r w:rsidRPr="009F760A">
        <w:tab/>
        <w:t>der henviser til aftalen mellem Den Internationale Straffedomstol og Den Europæiske Union af 28. april 2006 om samarbejde og bistand</w:t>
      </w:r>
      <w:r w:rsidRPr="00E37738">
        <w:rPr>
          <w:rStyle w:val="FootnoteReference"/>
        </w:rPr>
        <w:footnoteReference w:id="16"/>
      </w:r>
      <w:r w:rsidRPr="00E37738">
        <w:t>,</w:t>
      </w:r>
    </w:p>
    <w:p w14:paraId="5BF8332F" w14:textId="77777777" w:rsidR="004E4A8E" w:rsidRPr="009F760A" w:rsidRDefault="004E4A8E" w:rsidP="004E4A8E">
      <w:pPr>
        <w:pStyle w:val="NormalHanging12a"/>
      </w:pPr>
      <w:r w:rsidRPr="009F760A">
        <w:t>–</w:t>
      </w:r>
      <w:r w:rsidRPr="009F760A">
        <w:tab/>
        <w:t>der henviser til den rådgivende udtalelse fra Den Internationale Domstol, som FN's Generalforsamling anmodede om i sin resolution af 30. december 2022 om israelsk praksis, der påvirker det palæstinensiske folks menneskerettigheder i de besatte palæstinensiske områder, herunder Østjerusalem,</w:t>
      </w:r>
    </w:p>
    <w:p w14:paraId="430CC29A" w14:textId="73627BC3" w:rsidR="000C07EE" w:rsidRDefault="000C07EE" w:rsidP="004E4A8E">
      <w:pPr>
        <w:pStyle w:val="NormalHanging12a"/>
      </w:pPr>
      <w:r w:rsidRPr="000C07EE">
        <w:t>–</w:t>
      </w:r>
      <w:r w:rsidRPr="000C07EE">
        <w:tab/>
        <w:t>der henviser til den fælles meddelelse af 19. marts 2025 fra Kommissionen og den højtstående repræsentant for udenrigsanliggender og sikkerhedspolitik med titlen "Hvidbog om fremtiden for det europæiske forsvar 2030" (JOIN(2025)0120),</w:t>
      </w:r>
    </w:p>
    <w:p w14:paraId="66A337D9" w14:textId="6C9FA1BD" w:rsidR="004E4A8E" w:rsidRPr="009F760A" w:rsidRDefault="004E4A8E" w:rsidP="004E4A8E">
      <w:pPr>
        <w:pStyle w:val="NormalHanging12a"/>
      </w:pPr>
      <w:r w:rsidRPr="009F760A">
        <w:t>–</w:t>
      </w:r>
      <w:r w:rsidRPr="009F760A">
        <w:tab/>
        <w:t>der henviser til forretningsordenens artikel 55,</w:t>
      </w:r>
    </w:p>
    <w:p w14:paraId="1EA2794B" w14:textId="77777777" w:rsidR="004E4A8E" w:rsidRPr="009F760A" w:rsidRDefault="004E4A8E" w:rsidP="004E4A8E">
      <w:pPr>
        <w:pStyle w:val="NormalHanging12a"/>
      </w:pPr>
      <w:r w:rsidRPr="009F760A">
        <w:t>–</w:t>
      </w:r>
      <w:r w:rsidRPr="009F760A">
        <w:tab/>
        <w:t>der henviser til betænkning fra Udenrigsudvalget (A10-0010/2025),</w:t>
      </w:r>
    </w:p>
    <w:p w14:paraId="5A13F694" w14:textId="77777777" w:rsidR="004E4A8E" w:rsidRPr="009F760A" w:rsidRDefault="004E4A8E" w:rsidP="004E4A8E">
      <w:pPr>
        <w:pStyle w:val="NormalHanging12a"/>
      </w:pPr>
      <w:r w:rsidRPr="009F760A">
        <w:t>A.</w:t>
      </w:r>
      <w:r w:rsidRPr="009F760A">
        <w:tab/>
        <w:t xml:space="preserve">der henviser til, at verden står over for hurtige geopolitiske forandringer med autokratiske magter, der både individuelt og i en koordineret indsats aktivt udfordrer den internationale regelbaserede orden og dens multilaterale institutioner, international ret, demokratiske institutioner og samfund såvel som vores alliancer; der henviser til, at al EU-indflydelse bør vurderes for at afskrække lande fra at støtte Ruslands aggression; </w:t>
      </w:r>
    </w:p>
    <w:p w14:paraId="4AE77EC8" w14:textId="77777777" w:rsidR="004E4A8E" w:rsidRPr="009F760A" w:rsidRDefault="004E4A8E" w:rsidP="004E4A8E">
      <w:pPr>
        <w:pStyle w:val="NormalHanging12a"/>
      </w:pPr>
      <w:r w:rsidRPr="009F760A">
        <w:t>B.</w:t>
      </w:r>
      <w:r w:rsidRPr="009F760A">
        <w:tab/>
        <w:t>der henviser til, at BRICS-topmødet, der blev afholdt i Kazan, Rusland, fra den 22. til 24. oktober 2024, understreger, hvordan Putin udnytter internationale platforme til at modvirke isolation og opbygge alliancer; der henviser til, at der er behov for en fælles og strategisk indsats fra EU's side for at opretholde principperne i den regelbaserede internationale orden;</w:t>
      </w:r>
    </w:p>
    <w:p w14:paraId="2DF79187" w14:textId="5575A226" w:rsidR="004E4A8E" w:rsidRPr="009F760A" w:rsidRDefault="004E4A8E" w:rsidP="004E4A8E">
      <w:pPr>
        <w:pStyle w:val="NormalHanging12a"/>
      </w:pPr>
      <w:r w:rsidRPr="009F760A">
        <w:t>C.</w:t>
      </w:r>
      <w:r w:rsidRPr="009F760A">
        <w:tab/>
      </w:r>
      <w:r w:rsidR="009C492F" w:rsidRPr="009F760A">
        <w:t xml:space="preserve">der henviser til, at </w:t>
      </w:r>
      <w:r w:rsidRPr="009F760A">
        <w:t xml:space="preserve">EU og medlemsstaterne </w:t>
      </w:r>
      <w:r w:rsidR="009C492F" w:rsidRPr="009F760A">
        <w:t>bør</w:t>
      </w:r>
      <w:r w:rsidRPr="009F760A">
        <w:t xml:space="preserve"> genoverveje udviklingsbistanden til regeringer i lande, der åbent støtter Ruslands angrebskrig mod Ukraine, og overvåge deres stemmer i forbindelse med relevante FN-resolutioner;</w:t>
      </w:r>
    </w:p>
    <w:p w14:paraId="0D96BDD7" w14:textId="77777777" w:rsidR="004E4A8E" w:rsidRPr="009F760A" w:rsidRDefault="004E4A8E" w:rsidP="004E4A8E">
      <w:pPr>
        <w:pStyle w:val="NormalHanging12a"/>
      </w:pPr>
      <w:r w:rsidRPr="009F760A">
        <w:t>D.</w:t>
      </w:r>
      <w:r w:rsidRPr="009F760A">
        <w:tab/>
        <w:t xml:space="preserve">der henviser til, at den geopolitiske konfrontation mellem demokratier og autoritære og diktatoriske regimer vokser, at konflikterne forøges, og at magtanvendelse i stigende grad behandles som et standardredskab til at forfølge politiske mål; der henviser til, at magtanvendelse ikke kun udøves af stater, men også af en voksende vifte af ikkestatslige aktører; der henviser til, at EU er nødt til at styrke de transatlantiske forbindelser og opbygge konstruktive partnerskaber med ligesindede partnere i det </w:t>
      </w:r>
      <w:r w:rsidRPr="009F760A">
        <w:lastRenderedPageBreak/>
        <w:t>globale syd;</w:t>
      </w:r>
    </w:p>
    <w:p w14:paraId="6AFD93C1" w14:textId="77777777" w:rsidR="004E4A8E" w:rsidRPr="009F760A" w:rsidRDefault="004E4A8E" w:rsidP="004E4A8E">
      <w:pPr>
        <w:pStyle w:val="NormalHanging12a"/>
      </w:pPr>
      <w:r w:rsidRPr="009F760A">
        <w:t>E.</w:t>
      </w:r>
      <w:r w:rsidRPr="009F760A">
        <w:tab/>
        <w:t>der henviser til, at den geopolitiske kontekst, hvori EU opererer, har fremhævet behovet for en mere ambitiøs, troværdig og forenet EU-handlingsplan og en fuldt udbygget europæisk udenrigspolitik på verdensscenen og understreget nødvendigheden af, at medlemsstaterne demonstrerer den påkrævede politiske vilje til at genopbygge deres forsvarskapacitet og samtidig styrker EU's transatlantiske forbindelser og partnerskab med ligesindede lande; der henviser til, at den fælles udenrigs- og sikkerhedspolitik (FUSP) er nødt til at blive en fuldt udbygget EU-politik, hvorigennem EU kan tackle de vigtigste geopolitiske udfordringer; der henviser til, at EU i sin optræden udadtil bør lade sig lede af de værdier og principper, der er forankret i artikel 2, artikel 3, stk. 5, og artikel 21 i TEU, og som har givet inspiration til EU's egen skabelse, udvikling og udvidelse; der henviser til, at det derfor er i EU's interesse at forsvare universelle værdier, normer og principper såsom frihed og demokratiske standarder samt menneskerettigheder, retsstatsprincippet, international retfærdighed og Helsingforsslutakten, navnlig hvad angår ikkekrænkelse af internationale grænser;</w:t>
      </w:r>
    </w:p>
    <w:p w14:paraId="1D1A4B3A" w14:textId="77777777" w:rsidR="004E4A8E" w:rsidRPr="009F760A" w:rsidRDefault="004E4A8E" w:rsidP="004E4A8E">
      <w:pPr>
        <w:pStyle w:val="NormalHanging12a"/>
      </w:pPr>
      <w:r w:rsidRPr="009F760A">
        <w:t>F.</w:t>
      </w:r>
      <w:r w:rsidRPr="009F760A">
        <w:tab/>
        <w:t>der henviser til, at EU står over for en hastig stigning i antallet af nye trusler ved sine grænser og på sit område, der destabiliserer EU's funktion, navnlig målrettet desinformation, cyberangreb og hybride angreb, instrumentalisering af migrationsstrømme i tilgift til international terrorisme og religiøs radikalisme;</w:t>
      </w:r>
    </w:p>
    <w:p w14:paraId="14C4AA25" w14:textId="77777777" w:rsidR="004E4A8E" w:rsidRPr="009F760A" w:rsidRDefault="004E4A8E" w:rsidP="004E4A8E">
      <w:pPr>
        <w:pStyle w:val="NormalHanging12a"/>
      </w:pPr>
      <w:r w:rsidRPr="009F760A">
        <w:t>G.</w:t>
      </w:r>
      <w:r w:rsidRPr="009F760A">
        <w:tab/>
        <w:t>der henviser til, at strategisk autonomi kræver, at EU handler uafhængigt på den globale scene, når der er behov for det, navnlig inden for udenrigs- og sikkerhedspolitik; der henviser til, at EU har erkendt behovet for at mindske unødig afhængighed af eksterne aktører til at beskytte sine interesser i en uforudsigelig og multipolær verden;</w:t>
      </w:r>
    </w:p>
    <w:p w14:paraId="57BFF826" w14:textId="77777777" w:rsidR="004E4A8E" w:rsidRPr="009F760A" w:rsidRDefault="004E4A8E" w:rsidP="004E4A8E">
      <w:pPr>
        <w:pStyle w:val="NormalHanging12a"/>
      </w:pPr>
      <w:r w:rsidRPr="009F760A">
        <w:t>H.</w:t>
      </w:r>
      <w:r w:rsidRPr="009F760A">
        <w:tab/>
        <w:t>der henviser til, at EU er nødt til at udvikle et selvstændigt og uafhængigt europæisk diplomati, herunder et offentligt og kulturelt, økonomisk, klimarelateret, digitalt og cyberrelateret diplomati anført af en EU-Udenrigstjeneste, som drives af en fælles diplomatisk kultur;</w:t>
      </w:r>
    </w:p>
    <w:p w14:paraId="7A9FB82C" w14:textId="77777777" w:rsidR="004E4A8E" w:rsidRPr="009F760A" w:rsidRDefault="004E4A8E" w:rsidP="004E4A8E">
      <w:pPr>
        <w:pStyle w:val="NormalHanging12a"/>
      </w:pPr>
      <w:r w:rsidRPr="009F760A">
        <w:t>I.</w:t>
      </w:r>
      <w:r w:rsidRPr="009F760A">
        <w:tab/>
        <w:t>der henviser til, at Ruslands angrebskrig mod Ukraine krænker den regelbaserede internationale orden, grundlæggende principper i international ret, som nedfældet i FN-pagten og i centrale konventioner og resolutioner, Helsingforsslutakten og den europæiske menneskerettighedskonvention;</w:t>
      </w:r>
    </w:p>
    <w:p w14:paraId="5C695F2D" w14:textId="77777777" w:rsidR="004E4A8E" w:rsidRPr="009F760A" w:rsidRDefault="004E4A8E" w:rsidP="004E4A8E">
      <w:pPr>
        <w:pStyle w:val="NormalHanging12a"/>
      </w:pPr>
      <w:r w:rsidRPr="009F760A">
        <w:t>J.</w:t>
      </w:r>
      <w:r w:rsidRPr="009F760A">
        <w:tab/>
        <w:t>der henviser til, at Ruslands krænkelser af Genèvekonventionen om krigsfanger omfatter henrettelser af fanger og nægtelse af fangers adgang til humanitære organisationer og lægebehandling;</w:t>
      </w:r>
    </w:p>
    <w:p w14:paraId="51753077" w14:textId="77777777" w:rsidR="004E4A8E" w:rsidRPr="009F760A" w:rsidRDefault="004E4A8E" w:rsidP="004E4A8E">
      <w:pPr>
        <w:pStyle w:val="NormalHanging12a"/>
      </w:pPr>
      <w:r w:rsidRPr="009F760A">
        <w:t>K.</w:t>
      </w:r>
      <w:r w:rsidRPr="009F760A">
        <w:tab/>
        <w:t xml:space="preserve">der henviser til, at ICC har udstedt en arrestordre på Vladimir Putin og Maria Lvova-Belova, den russiske kommissær for børns rettigheder, som følge af deres involvering i bortførelsen af ukrainske børn til Rusland; der henviser til, at Rusland, med bistand fra det belarusiske regime, forsøger at genopdrage ukrainske børn og udslette deres ukrainske identitet; der henviser til, at Aljaksandr Lukasjenkas regime i Belarus skal drages fuldt ud til ansvar for dets medvirken i angrebskrigen mod Ukraine og krigsforbrydelser såsom bortførelsen af tusindvis af ukrainske børn; </w:t>
      </w:r>
    </w:p>
    <w:p w14:paraId="17D12D62" w14:textId="77777777" w:rsidR="004E4A8E" w:rsidRPr="009F760A" w:rsidRDefault="004E4A8E" w:rsidP="004E4A8E">
      <w:pPr>
        <w:pStyle w:val="NormalHanging12a"/>
      </w:pPr>
      <w:r w:rsidRPr="009F760A">
        <w:t>L.</w:t>
      </w:r>
      <w:r w:rsidRPr="009F760A">
        <w:tab/>
        <w:t>der henviser til, at ICC desuden har udstedt arrestordrer mod de russiske militære ledere Sergej Sjojgu, Valerij Gerasimov, Viktor Sokolov og Sergej Kobylasj, der er anklaget for at have stået i spidsen for angreb på civile mål;</w:t>
      </w:r>
    </w:p>
    <w:p w14:paraId="4EC6CE82" w14:textId="53BE1B69" w:rsidR="004E4A8E" w:rsidRPr="009F760A" w:rsidRDefault="004E4A8E" w:rsidP="004E4A8E">
      <w:pPr>
        <w:pStyle w:val="NormalHanging12a"/>
      </w:pPr>
      <w:r w:rsidRPr="009F760A">
        <w:lastRenderedPageBreak/>
        <w:t>M</w:t>
      </w:r>
      <w:r w:rsidR="00442600">
        <w:t>.</w:t>
      </w:r>
      <w:bookmarkStart w:id="7" w:name="_GoBack"/>
      <w:bookmarkEnd w:id="7"/>
      <w:r w:rsidRPr="009F760A">
        <w:tab/>
        <w:t xml:space="preserve">der henviser til, at den ungarske regering blokerer for </w:t>
      </w:r>
      <w:r w:rsidR="002D2E0B" w:rsidRPr="002D2E0B">
        <w:t xml:space="preserve">bistandsfonden </w:t>
      </w:r>
      <w:r w:rsidRPr="009F760A">
        <w:t xml:space="preserve">for Ukraine på 5 mia. EUR, der blev oprettet i marts 2024 inden for rammerne af den europæiske fredsfacilitet (EPF); der henviser til, at den ungarske regering </w:t>
      </w:r>
      <w:r w:rsidR="002D2E0B" w:rsidRPr="002D2E0B">
        <w:t xml:space="preserve">har blokeret </w:t>
      </w:r>
      <w:r w:rsidRPr="009F760A">
        <w:t xml:space="preserve">for ottende tranche af refusionerne under den europæiske fredsfacilitet til medlemsstater, som har leveret militær bistand til Ukraine </w:t>
      </w:r>
      <w:r w:rsidR="002D2E0B" w:rsidRPr="002D2E0B">
        <w:t>siden maj 2023</w:t>
      </w:r>
      <w:r w:rsidRPr="009F760A">
        <w:t>;</w:t>
      </w:r>
    </w:p>
    <w:p w14:paraId="3BED3D20" w14:textId="77777777" w:rsidR="004E4A8E" w:rsidRPr="009F760A" w:rsidRDefault="004E4A8E" w:rsidP="004E4A8E">
      <w:pPr>
        <w:pStyle w:val="NormalHanging12a"/>
      </w:pPr>
      <w:r w:rsidRPr="009F760A">
        <w:t>N.</w:t>
      </w:r>
      <w:r w:rsidRPr="009F760A">
        <w:tab/>
        <w:t>der henviser til, at russiske skyggeflådens tankskibe udgør en betydelig risiko for den maritime og miljømæssige sikkerhed ved at slukke for eller manipulere deres automatiske identifikationssystemer; der henviser til, at disse tankskibe bidrager med anslået 12 mia. USD til Ruslands krigsbudget hver måned og dermed direkte finansierer landets aggressive militæroperationer;</w:t>
      </w:r>
    </w:p>
    <w:p w14:paraId="174EBDAF" w14:textId="77777777" w:rsidR="004E4A8E" w:rsidRPr="009F760A" w:rsidRDefault="004E4A8E" w:rsidP="004E4A8E">
      <w:pPr>
        <w:pStyle w:val="NormalHanging12a"/>
      </w:pPr>
      <w:r w:rsidRPr="009F760A">
        <w:t>O.</w:t>
      </w:r>
      <w:r w:rsidRPr="009F760A">
        <w:tab/>
        <w:t>der henviser til, at Vladimir Putins regime har instrumentaliseret historien i et forsøg på at sikre det russiske folks loyalitet ved at skabe nostalgi om det sovjetiske imperiums angivelige storhed, forfalske Ruslands og Ukraines historie, afvise Khrusjtjovs politik med at indrømme og fordømme Stalinregimets forbrydelser, løbe fra Mikhail Gorbatjovs anerkendelse og fordømmelse af Molotov-Ribbentrop-pagten og erklære, at Sovjetunionens kollaps var det foregående århundredes største tragedie;</w:t>
      </w:r>
    </w:p>
    <w:p w14:paraId="42CF99DF" w14:textId="77777777" w:rsidR="004E4A8E" w:rsidRPr="009F760A" w:rsidRDefault="004E4A8E" w:rsidP="004E4A8E">
      <w:pPr>
        <w:pStyle w:val="NormalHanging12a"/>
      </w:pPr>
      <w:r w:rsidRPr="009F760A">
        <w:t>P.</w:t>
      </w:r>
      <w:r w:rsidRPr="009F760A">
        <w:tab/>
        <w:t>der henviser til, at Rusland og andre ondsindede aktører i landets nabolande fremmer antivestlig og splittende retorik og udnytter etniske spændinger på Vestbalkan med henblik på at puste til konflikter og splitte samfund, herunder gennem instrumentalisering af den serbisk-ortodokse kirke;</w:t>
      </w:r>
    </w:p>
    <w:p w14:paraId="314EDBCD" w14:textId="77777777" w:rsidR="004E4A8E" w:rsidRPr="009F760A" w:rsidRDefault="004E4A8E" w:rsidP="004E4A8E">
      <w:pPr>
        <w:pStyle w:val="NormalHanging12a"/>
      </w:pPr>
      <w:r w:rsidRPr="009F760A">
        <w:t>Q.</w:t>
      </w:r>
      <w:r w:rsidRPr="009F760A">
        <w:tab/>
        <w:t>der henviser til, at 2024 markerede 20-året for "big bang"-udvidelsen, hvor ti lande tiltrådte EU; der henviser til, at udvidelse er af afgørende strategisk betydning for EU, fordi det er en geostrategisk investering i fred, demokrati, stabilitet, sikkerhed, klimabeskyttelse og velstand på lang sigt på hele kontinentet og navnlig i betragtning af Ruslands angrebskrig mod Ukraine; der henviser til, at forberedelsen af nye udvidelser kræver reformer i EU, og at EU bør gennemføre udvidelsesprocessen sideløbende med de institutionelle reformer og beslutningstagningsreformer, der er nødvendige for at sikre EU's integrationskapacitet;</w:t>
      </w:r>
    </w:p>
    <w:p w14:paraId="39530E81" w14:textId="77777777" w:rsidR="004E4A8E" w:rsidRPr="009F760A" w:rsidRDefault="004E4A8E" w:rsidP="004E4A8E">
      <w:pPr>
        <w:pStyle w:val="NormalHanging12a"/>
      </w:pPr>
      <w:r w:rsidRPr="009F760A">
        <w:t>R.</w:t>
      </w:r>
      <w:r w:rsidRPr="009F760A">
        <w:tab/>
        <w:t>der henviser til, at EU er nødt til at opretholde momentum i fremdriften af sin udvidelsespolitik, mens tiltrædelseslandene fortsat arbejder på at reformere og nå de nødvendige benchmarks vedrørende gældende EU-ret; der henviser til, at klare budskaber og en klar vej mod integrationen af kandidatlande er af helt afgørende betydning for at holde det proeuropæiske perspektiv i live;</w:t>
      </w:r>
    </w:p>
    <w:p w14:paraId="42604C32" w14:textId="77777777" w:rsidR="004E4A8E" w:rsidRPr="009F760A" w:rsidRDefault="004E4A8E" w:rsidP="004E4A8E">
      <w:pPr>
        <w:pStyle w:val="NormalHanging12a"/>
      </w:pPr>
      <w:r w:rsidRPr="009F760A">
        <w:t>S.</w:t>
      </w:r>
      <w:r w:rsidRPr="009F760A">
        <w:tab/>
        <w:t>der henviser til, at fremtiden for landene på Balkan og de østlige nabolande er i EU;</w:t>
      </w:r>
    </w:p>
    <w:p w14:paraId="0357F222" w14:textId="77777777" w:rsidR="004E4A8E" w:rsidRPr="009F760A" w:rsidRDefault="004E4A8E" w:rsidP="004E4A8E">
      <w:pPr>
        <w:pStyle w:val="NormalHanging12a"/>
      </w:pPr>
      <w:r w:rsidRPr="009F760A">
        <w:t>T.</w:t>
      </w:r>
      <w:r w:rsidRPr="009F760A">
        <w:tab/>
        <w:t>der henviser til, at Unionen bygger på værdierne demokrati, retsstatsprincipper og respekt for menneskerettighederne, som er en del af Københavnskriterierne, der er de vigtigste kriterier for EU-medlemskab. der henviser til, at tiltrædelsesprocessen er en meritbaseret og reversibel proces;</w:t>
      </w:r>
    </w:p>
    <w:p w14:paraId="5FF0BF44" w14:textId="77777777" w:rsidR="004E4A8E" w:rsidRPr="009F760A" w:rsidRDefault="004E4A8E" w:rsidP="004E4A8E">
      <w:pPr>
        <w:pStyle w:val="NormalHanging12a"/>
      </w:pPr>
      <w:r w:rsidRPr="009F760A">
        <w:t>U.</w:t>
      </w:r>
      <w:r w:rsidRPr="009F760A">
        <w:tab/>
        <w:t>der henviser til, at tiltrædelse af EU kræver udenrigspolitisk tilpasning, herunder hvad angår afstemningerne om FN's Generalforsamlings resolutioner, støtte til Ukraine og tilpasning til sanktionerne mod Rusland; der henviser til, at de fleste lande på Vestbalkan har opnået en høj grad af tilpasning til FUSP, med Serbien som en bemærkelsesværdig undtagelse;</w:t>
      </w:r>
    </w:p>
    <w:p w14:paraId="31E68765" w14:textId="77777777" w:rsidR="004E4A8E" w:rsidRPr="009F760A" w:rsidRDefault="004E4A8E" w:rsidP="004E4A8E">
      <w:pPr>
        <w:pStyle w:val="NormalHanging12a"/>
      </w:pPr>
      <w:r w:rsidRPr="009F760A">
        <w:lastRenderedPageBreak/>
        <w:t>V.</w:t>
      </w:r>
      <w:r w:rsidRPr="009F760A">
        <w:tab/>
        <w:t>der henviser til, at Nordmakedonien har undertegnet Prespaaftalen med Grækenland og traktaten om venskab, godt naboskab og samarbejde med Bulgarien;</w:t>
      </w:r>
    </w:p>
    <w:p w14:paraId="73E4F28C" w14:textId="1CDA6426" w:rsidR="004E4A8E" w:rsidRPr="009F760A" w:rsidRDefault="004E4A8E" w:rsidP="004E4A8E">
      <w:pPr>
        <w:pStyle w:val="NormalHanging12a"/>
      </w:pPr>
      <w:r w:rsidRPr="009F760A">
        <w:t>W.</w:t>
      </w:r>
      <w:r w:rsidRPr="009F760A">
        <w:tab/>
      </w:r>
      <w:r w:rsidR="009C492F" w:rsidRPr="009F760A">
        <w:t>der henviser til</w:t>
      </w:r>
      <w:r w:rsidRPr="009F760A">
        <w:t>, at Georgiens borgere har vist deres engagement i demokratiske værdier, og i at deres land gør fremskridt med hensyn til integrering i EU; der henviser til, at de demokratiske tilbageskridt i Georgien er nødt til at blive vendt; der henviser til, at de georgiske myndigheder bør imødekomme det georgiske folks vilje og ønske om at tiltræde EU og bør sikre frie og retfærdige valg, standse de demokratiske tilbageskridt, skrinlægge de love, der bringer Georgiens europæiske fremtid i fare, og efterstræbe proeuropæiske demokratiske reformer; der henviser til, at Georgien bør tilpasse sig EU's FUSP, herunder de sanktioner, der er vedtaget enstemmigt mod Rusland;</w:t>
      </w:r>
    </w:p>
    <w:p w14:paraId="3139E24A" w14:textId="77777777" w:rsidR="004E4A8E" w:rsidRPr="009F760A" w:rsidRDefault="004E4A8E" w:rsidP="004E4A8E">
      <w:pPr>
        <w:pStyle w:val="NormalHanging12a"/>
      </w:pPr>
      <w:r w:rsidRPr="009F760A">
        <w:t>X.</w:t>
      </w:r>
      <w:r w:rsidRPr="009F760A">
        <w:tab/>
        <w:t>der henviser til, at enhver partnerskabsaftale mellem EU og Aserbajdsjan – herunder på energiområdet – skal ledsages af strenge betingelser vedrørende respekt for international ret, grundlæggende rettigheder og internationale forpligtelser, og navnlig, at Aserbajdsjan gør væsentlige fremskridt hen imod en omfattende og holdbar fredsaftale med Armenien;</w:t>
      </w:r>
    </w:p>
    <w:p w14:paraId="14AB0D6C" w14:textId="77777777" w:rsidR="004E4A8E" w:rsidRPr="009F760A" w:rsidRDefault="004E4A8E" w:rsidP="004E4A8E">
      <w:pPr>
        <w:pStyle w:val="NormalHanging12a"/>
      </w:pPr>
      <w:r w:rsidRPr="009F760A">
        <w:t>Y.</w:t>
      </w:r>
      <w:r w:rsidRPr="009F760A">
        <w:tab/>
        <w:t>der henviser til, at Middelhavet er af stor betydning for EU, både historisk og geografisk; der henviser til, at landene i det sydlige naboskab spiller en vigtig rolle med hensyn til at sikre, at irregulære migrationsstrømme forvaltes på grundlag af principperne om solidaritet, balance, fælles ansvar og i fuld overensstemmelse med gældende EU-ret og international ret og navnlig menneskerettighederne og den humanitære folkeret;</w:t>
      </w:r>
    </w:p>
    <w:p w14:paraId="012EA83A" w14:textId="77777777" w:rsidR="004E4A8E" w:rsidRPr="009F760A" w:rsidRDefault="004E4A8E" w:rsidP="004E4A8E">
      <w:pPr>
        <w:pStyle w:val="NormalHanging12a"/>
      </w:pPr>
      <w:r w:rsidRPr="009F760A">
        <w:t>Z.</w:t>
      </w:r>
      <w:r w:rsidRPr="009F760A">
        <w:tab/>
        <w:t xml:space="preserve">der henviser til, at strategiske partnerskaber og aftaler mellem EU og oprindelses- og transitlande, såsom dem mellem EU og Mauretanien, har vist sig at være en vellykket model for forebyggelse af irregulær migration og bekæmpelse af migrantsmuglere; </w:t>
      </w:r>
    </w:p>
    <w:p w14:paraId="75F87130" w14:textId="77777777" w:rsidR="004E4A8E" w:rsidRPr="009F760A" w:rsidRDefault="004E4A8E" w:rsidP="004E4A8E">
      <w:pPr>
        <w:pStyle w:val="NormalHanging12a"/>
      </w:pPr>
      <w:r w:rsidRPr="009F760A">
        <w:t>AA.</w:t>
      </w:r>
      <w:r w:rsidRPr="009F760A">
        <w:tab/>
        <w:t xml:space="preserve">der henviser til, at leverancen af tusindvis af Shahed-droner fra Den Islamiske Republik Iran til Rusland yderligere har cementeret Irans rolle som pariastat; der henviser til, at Nordkorea og Kina yderligere viser deres urokkelige tilsidesættelse af internationale love og normer; </w:t>
      </w:r>
    </w:p>
    <w:p w14:paraId="571B4083" w14:textId="0140BF34" w:rsidR="004E4A8E" w:rsidRPr="009F760A" w:rsidRDefault="004E4A8E" w:rsidP="004E4A8E">
      <w:pPr>
        <w:pStyle w:val="NormalHanging12a"/>
      </w:pPr>
      <w:r w:rsidRPr="009F760A">
        <w:t>AB.</w:t>
      </w:r>
      <w:r w:rsidRPr="009F760A">
        <w:tab/>
      </w:r>
      <w:r w:rsidR="009C492F" w:rsidRPr="009F760A">
        <w:t>der henviser til</w:t>
      </w:r>
      <w:r w:rsidRPr="009F760A">
        <w:t>, at Norge, Irland og Spanien den 28. maj 2024 anerkendte staten Palæstina, og at Sloveniens parlament den 4. juni 2024 traf beslutning om at gøre det samme;</w:t>
      </w:r>
    </w:p>
    <w:p w14:paraId="4B86D38E" w14:textId="77777777" w:rsidR="004E4A8E" w:rsidRPr="009F760A" w:rsidRDefault="004E4A8E" w:rsidP="004E4A8E">
      <w:pPr>
        <w:pStyle w:val="NormalHanging12a"/>
      </w:pPr>
      <w:r w:rsidRPr="009F760A">
        <w:t>AC.</w:t>
      </w:r>
      <w:r w:rsidRPr="009F760A">
        <w:tab/>
        <w:t>der henviser til, at Kina definerer sig selv som en "næsten arktisk stat" og bestræber sig på i tæt partnerskab med Rusland at udvikle en polar silkevej;</w:t>
      </w:r>
    </w:p>
    <w:p w14:paraId="0E6ED2FE" w14:textId="0647FE8F" w:rsidR="004E4A8E" w:rsidRPr="009F760A" w:rsidRDefault="004E4A8E" w:rsidP="004E4A8E">
      <w:pPr>
        <w:pStyle w:val="NormalHanging12a"/>
      </w:pPr>
      <w:r w:rsidRPr="009F760A">
        <w:t>AD.</w:t>
      </w:r>
      <w:r w:rsidRPr="009F760A">
        <w:tab/>
        <w:t xml:space="preserve">der henviser til, at "ét bælte, én vej"-initiativet, der i Kina er kendt som One Belt One Road, </w:t>
      </w:r>
      <w:r w:rsidR="002C5176" w:rsidRPr="002C5176">
        <w:t xml:space="preserve">udfordrer </w:t>
      </w:r>
      <w:r w:rsidRPr="009F760A">
        <w:t>EU's interesser;</w:t>
      </w:r>
    </w:p>
    <w:p w14:paraId="4CA11D09" w14:textId="77777777" w:rsidR="004E4A8E" w:rsidRPr="009F760A" w:rsidRDefault="004E4A8E" w:rsidP="004E4A8E">
      <w:pPr>
        <w:pStyle w:val="NormalHanging12a"/>
      </w:pPr>
      <w:r w:rsidRPr="009F760A">
        <w:t>AE.</w:t>
      </w:r>
      <w:r w:rsidRPr="009F760A">
        <w:tab/>
        <w:t xml:space="preserve">der henviser til, at Unionens højtstående repræsentant for udenrigsanliggender og sikkerhedspolitik og den britiske udenrigsminister den 14. oktober 2024 blev enige om at indlede strategiske høringer om spørgsmål såsom den russiske angrebskrig mod Ukraine, den indopacifiske region, Vestbalkan og hybride trusler; </w:t>
      </w:r>
    </w:p>
    <w:p w14:paraId="5BE3B60A" w14:textId="77777777" w:rsidR="004E4A8E" w:rsidRPr="009F760A" w:rsidRDefault="004E4A8E" w:rsidP="004E4A8E">
      <w:pPr>
        <w:pStyle w:val="NormalHanging12a"/>
      </w:pPr>
      <w:r w:rsidRPr="009F760A">
        <w:t>AF.</w:t>
      </w:r>
      <w:r w:rsidRPr="009F760A">
        <w:tab/>
        <w:t>der henviser til, at alle FN-agenturer er en del af den regelbaserede internationale orden, da de opretholder og gennemfører både ordlyden og ånden i FN-pagten, som alle FN's medlemsstater skal overholde;</w:t>
      </w:r>
    </w:p>
    <w:p w14:paraId="49CB7A52" w14:textId="77777777" w:rsidR="004E4A8E" w:rsidRPr="009F760A" w:rsidRDefault="004E4A8E" w:rsidP="004E4A8E">
      <w:pPr>
        <w:pStyle w:val="NormalHanging12a"/>
      </w:pPr>
      <w:r w:rsidRPr="009F760A">
        <w:lastRenderedPageBreak/>
        <w:t>AG.</w:t>
      </w:r>
      <w:r w:rsidRPr="009F760A">
        <w:tab/>
        <w:t>der henviser til, at EU's troværdighed og sammenhængskraft er en altafgørende forudsætning for en korrekt gennemførelse af dets optræden udadtil, da disse faktorer styrker tilliden til EU blandt forskellige aktører og tredjelande; der henviser til, at effektiviteten af EU's foranstaltninger på verdensplan er betinget af, at der sikres den højeste grad af koordinering og sammenhæng i EU's optræden udadtil; der henviser til, at koordineringen mellem Kommissionen og EU-Udenrigstjenesten bør styrkes, navnlig på grund af EU-Udenrigstjenestens utilstrækkelige driftsbudget;</w:t>
      </w:r>
    </w:p>
    <w:p w14:paraId="1E2069B8" w14:textId="77777777" w:rsidR="004E4A8E" w:rsidRPr="009F760A" w:rsidRDefault="004E4A8E" w:rsidP="004E4A8E">
      <w:pPr>
        <w:pStyle w:val="NormalHanging12a"/>
      </w:pPr>
      <w:r w:rsidRPr="009F760A">
        <w:t>AH.</w:t>
      </w:r>
      <w:r w:rsidRPr="009F760A">
        <w:tab/>
        <w:t xml:space="preserve">der henviser til, at gennemførelsen af ligestilling mellem kønnene og dagsorden for kvinder, fred og sikkerhed (WPS-dagsorden) kræver initiativer, der fremmer kønsorienteret lederskab, beskytter kvinders rettigheder og bekæmper seksuel og kønsbaseret vold i konflikt- og postkonfliktsituationer; der henviser til, at finansieringen af disse initiativer er afgørende for at støtte lokale civilsamfundsorganisationer og yde støtte med fokus på de overlevende; </w:t>
      </w:r>
    </w:p>
    <w:p w14:paraId="5C8467B9" w14:textId="77777777" w:rsidR="004E4A8E" w:rsidRPr="009F760A" w:rsidRDefault="004E4A8E" w:rsidP="004E4A8E">
      <w:pPr>
        <w:pStyle w:val="NormalHanging12a"/>
      </w:pPr>
      <w:r w:rsidRPr="009F760A">
        <w:t>AI.</w:t>
      </w:r>
      <w:r w:rsidRPr="009F760A">
        <w:tab/>
        <w:t xml:space="preserve">der henviser til, at menneskerettighedsforkæmpere er EU's vigtigste allierede for så vidt angår at forsvare og fremme menneskerettigheder i udlandet; der henviser til, at menneskerettighedsforkæmpere i stigende grad risikerer angreb og trusler fra statslige og ikkestatslige aktørers side; der henviser til, at Parlamentet konsekvent har opfordret til en korrekt og koordineret gennemførelse af EU's retningslinjer vedrørende menneskerettighedsforkæmpere (2008); der henviser til, at medlemsstaterne, sammen med EU's institutioner, bør gennemføre disse retningslinjer, der omfatter en række særlige forpligtelser såsom regelmæssig rapportering, koordinering og tiltag til støtte for menneskerettighedsforkæmpere; </w:t>
      </w:r>
    </w:p>
    <w:p w14:paraId="5E8C00AB" w14:textId="77777777" w:rsidR="004E4A8E" w:rsidRPr="009F760A" w:rsidRDefault="004E4A8E" w:rsidP="004E4A8E">
      <w:pPr>
        <w:pStyle w:val="NormalHanging12a"/>
      </w:pPr>
      <w:r w:rsidRPr="009F760A">
        <w:t>AJ.</w:t>
      </w:r>
      <w:r w:rsidRPr="009F760A">
        <w:tab/>
        <w:t>der henviser til, at konsekvenserne af klimaændringer vil få en stadigt voksende indvirkning på forskellige aspekter af menneskelivet, herunder den geopolitiske orden og den globale stabilitet; der henviser til, at det er af afgørende betydning, at en af hjørnestene i FUSP bliver bekæmpelse af klimaændringer, hvilket nødvendiggør klimahandling, og hjælp til de mennesker, der rammes hårdest af følgerne af klimaændringer; der henviser til og understreger den afgørende rolle, som Kommissionen og medlemsstaterne i en fælles tilgang må spille globalt med hensyn til fremme af klimadiplomati;</w:t>
      </w:r>
    </w:p>
    <w:p w14:paraId="3C027F81" w14:textId="77777777" w:rsidR="004E4A8E" w:rsidRPr="009F760A" w:rsidRDefault="004E4A8E" w:rsidP="004E4A8E">
      <w:pPr>
        <w:pStyle w:val="NormalHanging12a"/>
      </w:pPr>
      <w:r w:rsidRPr="009F760A">
        <w:t>AK.</w:t>
      </w:r>
      <w:r w:rsidRPr="009F760A">
        <w:tab/>
        <w:t>der henviser til, at rapporten "Safer together – strengthening Europe’s civilian and military preparedness and readiness" (Stærkere sammen – styrkelse af Europas civile og militære beredskab og parathed), som blev fremlagt af Sauli Niinistö, særlig rådgiver for Kommissionen, indeholder strategiske anbefalinger til styrkelse af Europas civile og militære beredskab i lyset af eskalerende og komplekse sikkerhedstrusler;</w:t>
      </w:r>
    </w:p>
    <w:p w14:paraId="46E25A78" w14:textId="77777777" w:rsidR="004E4A8E" w:rsidRPr="009F760A" w:rsidRDefault="004E4A8E" w:rsidP="004E4A8E">
      <w:pPr>
        <w:pStyle w:val="NormalHanging12a"/>
      </w:pPr>
      <w:r w:rsidRPr="009F760A">
        <w:t>AL.</w:t>
      </w:r>
      <w:r w:rsidRPr="009F760A">
        <w:tab/>
        <w:t>der henviser til, at denne rapport først gennemgår NF/HR's årlige FUSP-rapport og efterfølgende supplerer den med Parlamentets holdninger til FUSP-målene i 2025; der henviser til, at rapporten i den forbindelse navnlig går i dybden med 1) de globale konsekvenser af Ruslands angrebskrig mod Ukraine, 2) konflikter og fred i Mellemøsten, 3) samarbejde med ligesindede partnere og 4) den generelle synlighed og indvirkning af EU's indsats i udlandet; der henviser til, at Parlamentets fremadrettede FUSP-holdning i sidste ende understreges af centrale krav vedrørende den næste flerårige finansielle ramme (FFR) og det parlamentariske tilsyn med FFR; der henviser til, at der er behov for at forsvare og styrke den regelbaserede internationale orden, de universelle normer, værdier og principper i FN-pagten såsom menneskerettigheder og international retfærdighed, multilateralisme og Helsingforsslutakten, navnlig for så vidt angår ikkekrænkelse af internationale grænser;</w:t>
      </w:r>
    </w:p>
    <w:p w14:paraId="74B588EE" w14:textId="19D7D4BE" w:rsidR="004E4A8E" w:rsidRDefault="004E4A8E" w:rsidP="004E4A8E">
      <w:pPr>
        <w:pStyle w:val="NormalHanging12a"/>
      </w:pPr>
      <w:r w:rsidRPr="009F760A">
        <w:lastRenderedPageBreak/>
        <w:t>1.</w:t>
      </w:r>
      <w:r w:rsidRPr="009F760A">
        <w:tab/>
        <w:t>fremhæver, at dets beslutninger om gennemførelsen af FUSP er en central del af dets bidrag til formuleringen af EU's udenrigspolitik; understreger, at disse beslutninger er praktiske resultater af den styrkede ret til indsigelse på det udenrigspolitiske område, som Lissabontraktaten giver Europa-Parlamentet; erindrer om, at 2024-beslutningen er den første af sin art i denne valgperiode og har til formål at fungere som en vejledning for EU's udøvende magt, når denne fastsætter udenrigspolitiske prioriteter for denne valgperiode; fremhæver, at EU i et til stadighed ustabilt internationalt miljø er nødt til at tackle talrige udenrigspolitiske udfordringer, som påvirker Unionen direkte og indirekte, samtidig, f.eks. den igangværende russiske angrebskrig mod Ukraine, konflikterne i Mellemøsten, en tiltagende konkurrence mellem stormagterne, konstante forsøg på at underminere den multilaterale regelbaserede internationale orden og en stigende årsagssammenhæng mellem kriser uden for og inden for EU; er stærkt overbevist om, at EU for at kunne forblive relevant på den internationale scene er nødt til at føre en beslutsom, disciplineret og selvhævdende udenrigspolitik, der opfylder EU's egne strategiske målsætninger, og fortsætte med at fastlægge, hævde og forsvare sine interesser i verden; minder om, at EU i sin optræden udadtil skal lade sig lede af de værdier og principper, der er omhandlet i artikel 2, artikel 3, stk. 5, og artikel 21 i TEU, og som har ligget til grund for EU's egen oprettelse, udvikling og udvidelse, herunder demokrati, retsstatsprincippet, menneskerettighedernes og de grundlæggende frihedsrettigheders universalitet og udelelighed, respekten for den menneskelige værdighed og principperne om lighed og solidaritet; mener endvidere, at FUSP bør sikre gennemførelsen af FN's 2030-dagsorden og verdensmålene for bæredygtig udvikling;</w:t>
      </w:r>
    </w:p>
    <w:p w14:paraId="08092B8F" w14:textId="1E261758" w:rsidR="004B3078" w:rsidRPr="009F760A" w:rsidRDefault="00AB1B4D" w:rsidP="004E4A8E">
      <w:pPr>
        <w:pStyle w:val="NormalHanging12a"/>
      </w:pPr>
      <w:r>
        <w:t>2</w:t>
      </w:r>
      <w:r w:rsidR="004B3078" w:rsidRPr="0001789B">
        <w:t>.</w:t>
      </w:r>
      <w:r w:rsidR="004B3078" w:rsidRPr="0001789B">
        <w:tab/>
        <w:t>understreger, at de centrale principper i EU's FUSP er forankret i EU's urokkelige engagement i en regelbaseret, multilateral international orden som nedfældet i FN-pagten og i EU's klare præference for et fredeligt, diplomatisk samarbejde mellem alle FN's medlemsstater; opfordrer alle parter til at løse tvister gennem dialog med gensidig respekt for folkeretten, suverænitet og territorial integritet; bekræfter på ny sit engagement i at fremme global fred og stabilitet ved at fremme diplomatiske initiativer, der tager sigte på konfliktforebyggelse og tvistbilæggelse, og som fremmer internationalt samarbejde om centrale globale udfordringer såsom klimaændringer, menneskerettigheder og bæredygtig økonomisk udvikling; opfordrer til at opretholde eksisterende partnerskaber med internationale aktører for at sikre effektiviteten af den globale fredsbevarende og fredsopbyggende indsats;</w:t>
      </w:r>
    </w:p>
    <w:p w14:paraId="7352FC68" w14:textId="77777777" w:rsidR="004E4A8E" w:rsidRPr="009F760A" w:rsidRDefault="004E4A8E" w:rsidP="004E4A8E">
      <w:pPr>
        <w:pStyle w:val="NormalHanging12a"/>
        <w:rPr>
          <w:b/>
          <w:i/>
        </w:rPr>
      </w:pPr>
      <w:bookmarkStart w:id="8" w:name="_Hlk144544239"/>
      <w:r w:rsidRPr="009F760A">
        <w:rPr>
          <w:b/>
          <w:i/>
        </w:rPr>
        <w:t xml:space="preserve">I. </w:t>
      </w:r>
      <w:bookmarkStart w:id="9" w:name="_Hlk179196202"/>
      <w:r w:rsidRPr="009F760A">
        <w:rPr>
          <w:b/>
          <w:i/>
        </w:rPr>
        <w:t>NF/HR's årlige rapport 2024</w:t>
      </w:r>
      <w:bookmarkEnd w:id="9"/>
    </w:p>
    <w:bookmarkEnd w:id="8"/>
    <w:p w14:paraId="51AA1BFD" w14:textId="365A4963" w:rsidR="004E4A8E" w:rsidRPr="009F760A" w:rsidRDefault="00AB1B4D" w:rsidP="004E4A8E">
      <w:pPr>
        <w:pStyle w:val="NormalHanging12a"/>
        <w:ind w:left="570" w:hanging="570"/>
      </w:pPr>
      <w:r>
        <w:t>3</w:t>
      </w:r>
      <w:r w:rsidR="004E4A8E" w:rsidRPr="009F760A">
        <w:t>.</w:t>
      </w:r>
      <w:r w:rsidR="004E4A8E" w:rsidRPr="009F760A">
        <w:tab/>
        <w:t xml:space="preserve">bemærker, at rapporten blev forelagt Europa-Parlamentet den 20. juni 2024; minder om, at rapporten bør være fremadskuende; kommenterer herefter på en række udviklinger, som HR/NF har fremhævet i sin rapport; </w:t>
      </w:r>
    </w:p>
    <w:p w14:paraId="06009CA5" w14:textId="40BE1A34" w:rsidR="004E4A8E" w:rsidRPr="009F760A" w:rsidRDefault="00AB1B4D" w:rsidP="004E4A8E">
      <w:pPr>
        <w:pStyle w:val="NormalHanging12a"/>
        <w:ind w:left="570" w:hanging="570"/>
      </w:pPr>
      <w:r>
        <w:t>4</w:t>
      </w:r>
      <w:r w:rsidR="004E4A8E" w:rsidRPr="009F760A">
        <w:t>.</w:t>
      </w:r>
      <w:r w:rsidR="004E4A8E" w:rsidRPr="009F760A">
        <w:tab/>
        <w:t xml:space="preserve">glæder sig navnlig over: </w:t>
      </w:r>
    </w:p>
    <w:p w14:paraId="60861059" w14:textId="6639228C" w:rsidR="004E4A8E" w:rsidRPr="009F760A" w:rsidRDefault="00874618" w:rsidP="004E4A8E">
      <w:pPr>
        <w:pStyle w:val="NormalHanging12a"/>
        <w:ind w:left="993" w:hanging="284"/>
      </w:pPr>
      <w:r w:rsidRPr="009F760A">
        <w:t>–</w:t>
      </w:r>
      <w:r w:rsidR="004E4A8E" w:rsidRPr="009F760A">
        <w:tab/>
        <w:t>de lokale, dynamiske civilsamfund i udvidelseslandene, der spiller en konstruktiv rolle i EU's integrationsprocesser, samtidig med at det understreges, at civilsamfundet er afgørende for at fremme demokrati og pluralisme og fremme god regeringsførelse samt sociale fremskridt, og at udvidelseslandene bør tilvejebringe et gunstigt rum og en passende ramme for samarbejde for at sikre en meningsfuld inddragelse af dem</w:t>
      </w:r>
    </w:p>
    <w:p w14:paraId="122E1F32" w14:textId="0E6C266A" w:rsidR="004E4A8E" w:rsidRPr="009F760A" w:rsidRDefault="00874618" w:rsidP="004E4A8E">
      <w:pPr>
        <w:pStyle w:val="NormalHanging12a"/>
        <w:ind w:left="993" w:hanging="284"/>
      </w:pPr>
      <w:r w:rsidRPr="009F760A">
        <w:t>–</w:t>
      </w:r>
      <w:r w:rsidR="004E4A8E" w:rsidRPr="009F760A">
        <w:tab/>
        <w:t xml:space="preserve">den vellykkede afslutning af screeningsprocessen for Albanien ved udgangen af 2023 og indledningen af den første klynge af forhandlingskapitler om </w:t>
      </w:r>
      <w:r w:rsidR="0001789B" w:rsidRPr="0001789B">
        <w:lastRenderedPageBreak/>
        <w:t xml:space="preserve">grundprincipper og om </w:t>
      </w:r>
      <w:r w:rsidR="004E4A8E" w:rsidRPr="009F760A">
        <w:t>eksterne forbindelser (Klynge 6)</w:t>
      </w:r>
      <w:r w:rsidR="0001789B">
        <w:t xml:space="preserve"> </w:t>
      </w:r>
      <w:r w:rsidR="0001789B" w:rsidRPr="0001789B">
        <w:t>i 2024</w:t>
      </w:r>
      <w:r w:rsidR="004E4A8E" w:rsidRPr="009F760A">
        <w:t xml:space="preserve">; glæder sig over Albaniens ambition om at afslutte tiltrædelsesforhandlingerne hurtigt; fremhæver behovet for yderligere at intensivere reformerne for at afhjælpe de vedvarende mangler med hensyn til "grundprincipperne", navnlig vedrørende retsstatsprincippet, bekæmpelse af korruption og organiseret kriminalitet; advarer mod at underminere arbejdet i uafhængige institutioner som f.eks. den særlige struktur til bekæmpelse af korruption og organiseret kriminalitet; understreger, at det er vigtigt at have en levedygtig politisk pluralisme og en konkurrencedygtig opposition og opfordrer til dialog og konstruktivt engagement mellem flertallet og oppositionen for at overvinde den stærke politiske polarisering i landet og fremme inklusive demokratiske processer, der respekterer alle parter, herunder det græske mindretal, romamindretallet og det egyptiske mindretal i landet; bifalder landets konsekvente, fulde tilpasning til EU's udenrigs- og sikkerhedspolitik, herunder EU's restriktive foranstaltninger mod Rusland og Belarus </w:t>
      </w:r>
    </w:p>
    <w:p w14:paraId="0E6F741E" w14:textId="5C56B66E" w:rsidR="004E4A8E" w:rsidRPr="009F760A" w:rsidRDefault="00874618" w:rsidP="004E4A8E">
      <w:pPr>
        <w:pStyle w:val="NormalHanging12a"/>
        <w:ind w:left="993" w:hanging="284"/>
      </w:pPr>
      <w:r w:rsidRPr="009F760A">
        <w:t>–</w:t>
      </w:r>
      <w:r w:rsidR="004E4A8E" w:rsidRPr="009F760A">
        <w:tab/>
        <w:t xml:space="preserve">beslutningen om indledning af tiltrædelsesforhandlinger med Bosnien-Hercegovina; opfordrer myndighederne til at tage alle de relevante skridt, der er fastsat i Kommissionens henstilling af 12. oktober 2022; opfordrer indtrængende landets politiske ledere til at gennemføre et betydeligt antal reformer, herunder valgreformer, i overensstemmelse med de indenlandske og internationale domstoles afgørelser for at sikre principperne om lighed og forbud mod forskelsbehandling for alle borgere og konstituerende folkeslag som nedfældet i forfatningen og med fuld efterlevelse af dommene fra de indenlandske og internationale domstole, herunder alle Den Europæiske Menneskerettighedsdomstols afgørelser vedrørende Bosnien-Hercegovina; fordømmer den tilbagevendende opildnende retorik fra ledelsen af enheden Republika Srpska og deres separatistiske love og politikker, herunder fejringen af den forfatningsstridige Republika Srpska-dag den 9. januar 2025; opfordrer medlemsstaterne og repræsentanterne for det internationale samfund i Bosnien-Hercegovina til at fremme og støtte gennemførelsen af disse afgørelser; </w:t>
      </w:r>
      <w:r w:rsidR="0001789B" w:rsidRPr="0001789B">
        <w:t xml:space="preserve">noterer sig dommen af 26. februar 2025 fra Bosnien-Hercegovinas domstol i sagen mod Milorad Dodik og fordømmer hans hidtil usete angreb på Bosnien-Hercegovinas institutioner sammen med ledelsen af Republika Srpska og intimideringen af oppositionen i Republika Srpska; </w:t>
      </w:r>
      <w:r w:rsidR="004E4A8E" w:rsidRPr="009F760A">
        <w:t xml:space="preserve">gentager sin opfordring til målrettede sanktioner mod destabiliserende aktører i Bosnien-Hercegovina, navnlig Milorad Dodik, samt andre højtstående embedsmænd i Republika Srpska og serbiske embedsmænd, der yder politisk og materiel støtte til separatistiske politikker; </w:t>
      </w:r>
      <w:r w:rsidR="0001789B" w:rsidRPr="0001789B">
        <w:t xml:space="preserve">bifalder erklæringen fra NATO's generalsekretær Mark Rutte den 10. marts 2025 i Sarajevo og opfordrer til dialog mellem alle parter for at sikre stabiliteten i landet; </w:t>
      </w:r>
      <w:r w:rsidR="004E4A8E" w:rsidRPr="009F760A">
        <w:t xml:space="preserve">opfordrer alle medlemsstaterne til at sikre, at sådanne sanktioner kan vedtages af Rådet, og til at pålægge dem bilateralt eller i samråd med andre medlemsstater, hvis det ikke er muligt at vedtage dem i Rådet; glæder sig over den indgåede aftale om at forlænge mandatet til EU-styrkerne i Bosnien-Hercegovinas operation Althea frem til november 2025 og minder om, at denne mission stadig spiller en afgørende rolle for sikkerheden og stabiliteten i Bosnien-Hercegovina; </w:t>
      </w:r>
      <w:r w:rsidR="0001789B" w:rsidRPr="0001789B">
        <w:t xml:space="preserve">glæder sig over ankomsten af EUFOR ALTHEA's reservestyrker; </w:t>
      </w:r>
      <w:r w:rsidR="004E4A8E" w:rsidRPr="009F760A">
        <w:t>opfordrer indtrængende EU's militære mission til aktivt at forebygge ulovlige parader og andre provokationer samt trusler mod alle, der arbejder for at hjælpe ofrene for folkedrab og investerer i forsoning mellem etniske grupper og en fredelig fremtid for landet</w:t>
      </w:r>
      <w:r w:rsidR="0001789B">
        <w:t xml:space="preserve">; </w:t>
      </w:r>
      <w:r w:rsidR="0001789B" w:rsidRPr="0001789B">
        <w:t>opfordrer til, at mindecentret Srebrenica-Potočaris sikkerhed garanteres</w:t>
      </w:r>
    </w:p>
    <w:p w14:paraId="64C66A27" w14:textId="5B786C4D" w:rsidR="004E4A8E" w:rsidRPr="009F760A" w:rsidRDefault="00874618" w:rsidP="004E4A8E">
      <w:pPr>
        <w:pStyle w:val="NormalHanging12a"/>
        <w:ind w:left="993" w:hanging="284"/>
      </w:pPr>
      <w:r w:rsidRPr="009F760A">
        <w:t>–</w:t>
      </w:r>
      <w:r w:rsidR="004E4A8E" w:rsidRPr="009F760A">
        <w:tab/>
        <w:t xml:space="preserve">fremskridtene i dialogen mellem Beograd og Pristina, navnlig på områderne fri </w:t>
      </w:r>
      <w:r w:rsidR="004E4A8E" w:rsidRPr="009F760A">
        <w:lastRenderedPageBreak/>
        <w:t>bevægelighed og energi; opfordrer Kosovo og Serbien til fortsat at indgå i denne dialog i god tro og i kompromisets ånd med henblik på at opnå en omfattende, juridisk bindende aftale om normalisering af deres forbindelser, baseret på gensidig anerkendelse i overensstemmelse med international ret og uden yderligere forsinkelse; beklager i denne forbindelse de manglende fremskridt i gennemførelsen af vejen mod normalisering og opfordrer til, at der gøres en indsats og sættes kapacitet af til den EU-faciliterede dialog; forpligter sig derfor til at arbejde tæt sammen med den afgående såvel som den tiltrædende særlige EU-repræsentant for dialogen mellem Beograd og Pristina og for andre regionale spørgsmål vedrørende det vestlige Balkan; opfordrer NF/HR til at udnytte Kommissionens nye mandatperiode til at overvinde dødvandet og sætte nyt skub i dialogen og til at udarbejde en ny, innovativ og afbalanceret tilgang til mæglingen</w:t>
      </w:r>
    </w:p>
    <w:p w14:paraId="2AE35068" w14:textId="197958BF" w:rsidR="004E4A8E" w:rsidRPr="009F760A" w:rsidRDefault="00874618" w:rsidP="004E4A8E">
      <w:pPr>
        <w:pStyle w:val="NormalHanging12a"/>
        <w:ind w:left="993" w:hanging="284"/>
      </w:pPr>
      <w:r w:rsidRPr="009F760A">
        <w:t>–</w:t>
      </w:r>
      <w:r w:rsidR="004E4A8E" w:rsidRPr="009F760A">
        <w:tab/>
        <w:t xml:space="preserve">udvidelsesrapporten 2024 om Serbien, forelagt af Kommissionen den 31. oktober 2024; gentager sin holdning om, at tiltrædelsesforhandlinger med Serbien kun bør gå videre, hvis landet gør mærkbare fremskridt med sine EU-relaterede reformer, navnlig med hensyn til "grundprincipperne"; minder de serbiske myndigheder om, at det i forbindelse med Serbiens EU-tiltrædelsesproces og metoden for EU-tiltrædelse er af central betydning, at landets demokratiske institutioner er velfungerende; minder i denne forbindelse om sin holdning om, at de serbiske parlaments- og lokalvalg, der blev afholdt den 17. december 2023, afveg fra internationale standarder og Serbiens tilsagn om frie og retfærdige valg; giver igen udtryk for sine alvorlige bekymringer over disse uregelmæssigheder og valgmiljøet i det hele taget, som ikke levede op til de standarder, der forventes af et EU-kandidatland; opfordrer indtrængende Serbiens politiske lederskab til at sikre en konstruktiv og inklusiv dialog på tværs af det politiske spektrum og til at gennemføre de reformer, der er nødvendige for, at Serbien kan gøre fremskridt på vejen mod tiltrædelse af EU; </w:t>
      </w:r>
      <w:r w:rsidR="0001789B" w:rsidRPr="0001789B">
        <w:t xml:space="preserve">har nøje fulgt den omfattende mobilisering af studerende med tilslutning fra andre grupper af borgere efter den tragiske hændelse på banegården i Novi Sad; minder om, at forsamlingsfrihed er en grundlæggende rettighed, og slår til lyd for en nultolerancepolitik over for vold mod fredelige demonstranter; fordømmer de rapporterede tilfælde af voldelige angreb mod samt digital overvågning af og chikane mod journalister, menneskerettighedsaktivister og civilsamfundsorganisationer i Serbien, herunder senest en politirazzia mod fire førende civilsamfundsorganisationer den 25. februar 2025, angiveligt på grund af deres misbrug af USAID-midler; opfordrer til en grundig, upartisk og hurtig undersøgelse af påstandene om vold mod demonstranter og politiets forseelser under protesterne; udtrykker sin solidaritet med deltagerne i de fredelige demonstrationer, navnlig dem, der deltog i demonstrationen den 15. marts 2025, som var den største masseprotest i Serbiens nyere historie; </w:t>
      </w:r>
      <w:r w:rsidR="004E4A8E" w:rsidRPr="009F760A">
        <w:t xml:space="preserve">beklager </w:t>
      </w:r>
      <w:r w:rsidR="0001789B" w:rsidRPr="0001789B">
        <w:t xml:space="preserve">Kommissionens forsonende </w:t>
      </w:r>
      <w:r w:rsidR="004E4A8E" w:rsidRPr="009F760A">
        <w:t>tilgang til Serbien på trods af landets årelange tilbageskridt med hensyn til retsstatsprincippet, demokratiet og de grundlæggende rettigheder samt dets destabiliserende indflydelse på hele regionen</w:t>
      </w:r>
      <w:r w:rsidR="0001789B">
        <w:t xml:space="preserve">; </w:t>
      </w:r>
      <w:r w:rsidR="0001789B" w:rsidRPr="0001789B">
        <w:t>opfordrer indtrængende Kommissionen til, herunder på højeste niveau, at anvende et tydeligere sprog over for Serbien og til konsekvent at afhjælpe landets betydelige problemer, manglende fremskridt og endda tilbageskridt og dermed værne om EU's grundlæggende værdier</w:t>
      </w:r>
    </w:p>
    <w:p w14:paraId="6D907162" w14:textId="2EA09B90" w:rsidR="004E4A8E" w:rsidRPr="009F760A" w:rsidRDefault="00874618" w:rsidP="004E4A8E">
      <w:pPr>
        <w:pStyle w:val="NormalHanging12a"/>
        <w:ind w:left="993" w:hanging="284"/>
      </w:pPr>
      <w:r w:rsidRPr="009F760A">
        <w:t>–</w:t>
      </w:r>
      <w:r w:rsidR="004E4A8E" w:rsidRPr="009F760A">
        <w:tab/>
        <w:t xml:space="preserve">Kosovos ansøgning om EU-medlemskab og Kosovorapporten 2024 </w:t>
      </w:r>
      <w:r w:rsidR="0001789B" w:rsidRPr="0001789B">
        <w:t>og gentager sin opfordring til medlemsstaterne i Det Europæiske Råd om at give</w:t>
      </w:r>
      <w:r w:rsidR="0001789B">
        <w:t xml:space="preserve"> </w:t>
      </w:r>
      <w:r w:rsidR="004E4A8E" w:rsidRPr="009F760A">
        <w:t xml:space="preserve">Kommissionen </w:t>
      </w:r>
      <w:r w:rsidR="0001789B" w:rsidRPr="0001789B">
        <w:t>mandat til at fremlægge spørgeskemaet og afgive udtalelse om, hvorvidt landet har gjort sig fortjent til at få sin ansøgning behandlet</w:t>
      </w:r>
      <w:r w:rsidR="004E4A8E" w:rsidRPr="009F760A">
        <w:t xml:space="preserve">; minder om, at Kosovos </w:t>
      </w:r>
      <w:r w:rsidR="004E4A8E" w:rsidRPr="009F760A">
        <w:lastRenderedPageBreak/>
        <w:t>ansøgning om at blive betragtet som et kandidatland vil blive vurderet på grundlag af landets egne resultater og dets succes med hensyn til at opfylde Københavnskriterierne for EU-medlemskab; glæder sig dog over visumfritagelsen for Kosovos borgere; beklager de restriktive foranstaltninger, som Rådet har truffet over for Kosovo, og opfordrer til, at de omgående ophæves som foreslået af NF/HR</w:t>
      </w:r>
    </w:p>
    <w:p w14:paraId="595AA101" w14:textId="26612F88" w:rsidR="004E4A8E" w:rsidRPr="009F760A" w:rsidRDefault="00874618" w:rsidP="004E4A8E">
      <w:pPr>
        <w:pStyle w:val="NormalHanging12a"/>
        <w:ind w:left="993" w:hanging="284"/>
      </w:pPr>
      <w:r w:rsidRPr="009F760A">
        <w:t>–</w:t>
      </w:r>
      <w:r w:rsidR="004E4A8E" w:rsidRPr="009F760A">
        <w:tab/>
        <w:t>Montenegros fremskridt med hensyn til at opfylde de foreløbige benchmarks for kapitel 23 og 24 i gældende EU-ret; opfordrer landet til fortsat at gøre fremskridt med og hurtigt gennemføre EU-relaterede reformer; udtrykker ikke desto mindre sin bekymring over kontroversielle idéer til lovgivningsforslag om statsborgerskab og udenlandske agenter, som fremsat offentligt; understreger vigtigheden af, at den nye regering er i stand til og engageret i at gøre fremskridt med de EU-relaterede reformer og holde Montenegro solidt på EU's strategiske vej; forventer, at landet begynder at lukke kapitler i tiltrædelsesforhandlingerne og er klar til at tiltræde EU inden for de næste par år</w:t>
      </w:r>
    </w:p>
    <w:p w14:paraId="04DF8C7E" w14:textId="29119DE4" w:rsidR="004E4A8E" w:rsidRPr="009F760A" w:rsidRDefault="00874618" w:rsidP="004E4A8E">
      <w:pPr>
        <w:pStyle w:val="NormalHanging12a"/>
        <w:ind w:left="993" w:hanging="284"/>
      </w:pPr>
      <w:r w:rsidRPr="009F760A">
        <w:t>–</w:t>
      </w:r>
      <w:r w:rsidR="004E4A8E" w:rsidRPr="009F760A">
        <w:tab/>
        <w:t>den vellykkede afslutning af screeningsprocessen for Nordmakedonien ved udgangen af 2023; opfordrer indtrængende Nordmakedoniens regering til at opnå håndgribelige resultater med hensyn til at opfylde sin forpligtelse i henhold til EU's forhandlingsramme</w:t>
      </w:r>
      <w:r w:rsidR="0001789B">
        <w:t xml:space="preserve"> </w:t>
      </w:r>
      <w:r w:rsidR="0001789B" w:rsidRPr="0001789B">
        <w:t>og konklusionerne fra Det Europæiske Råds møde den 18. juli 2022</w:t>
      </w:r>
      <w:r w:rsidR="004E4A8E" w:rsidRPr="009F760A">
        <w:t>, herunder relevante forfatningsmæssige ændringer, i overensstemmelse med landets forpligtelser</w:t>
      </w:r>
    </w:p>
    <w:p w14:paraId="0F1D6B2F" w14:textId="5492FF19" w:rsidR="004E4A8E" w:rsidRPr="009F760A" w:rsidRDefault="00874618" w:rsidP="004E4A8E">
      <w:pPr>
        <w:pStyle w:val="NormalHanging12a"/>
        <w:ind w:left="993" w:hanging="284"/>
      </w:pPr>
      <w:r w:rsidRPr="009F760A">
        <w:t>–</w:t>
      </w:r>
      <w:r w:rsidR="004E4A8E" w:rsidRPr="009F760A">
        <w:tab/>
        <w:t>den vellykkede genoptagelse af FUSP-dialogen mellem EU og dets partnere på Vestbalkan og betydningen af disse partnerskaber for fred og sikkerhed; minder om, at EU's udvidelse er en geostrategisk investering, som kræver tilsagn fra både EU og udvidelseslandene om deres vej til tiltrædelse; minder i denne forbindelse om det fortsatte behov for reformer vedrørende retsstatsprincippet, grundlæggende rettigheder og offentlig forvaltning og for tilpasning til FUSP, herunder sanktioner og EU's visumpolitik; fremhæver desuden truslerne fra ondsindet udenlandsk indblanding i regionen og understreger vigtigheden af at bekæmpe desinformation for at dæmme op for antivestlig og splittelsesskabende retorik, der søger at udnytte og forværre etniske spændinger i regionen; advarer mod engagement med EU's systemiske rivaler, som kan underminere den fremgangsrige, bæredygtige og sikre fremtid, som en EU-tiltrædelse tilbyder; minder i denne forbindelse om merværdien af de investeringer, som EU har foretaget under instrument til førtiltrædelsesbistand III, den nyligt oprettede reform- og vækstfacilitet for Vestbalkan og investeringsrammen for Vestbalkan; opfordrer landene på Vestbalkan til at anvende alle de ressourcer, der stilles til rådighed, til at støtte deres tilpasning til gældende EU-ret; opfordrer kommissæren med ansvar for udvidelse til at gøre EU's tiltag på Vestbalkan mere synlige</w:t>
      </w:r>
    </w:p>
    <w:p w14:paraId="76A5A065" w14:textId="26513BEC" w:rsidR="004E4A8E" w:rsidRPr="009F760A" w:rsidRDefault="00874618" w:rsidP="004E4A8E">
      <w:pPr>
        <w:pStyle w:val="NormalHanging12a"/>
        <w:ind w:left="993" w:hanging="284"/>
      </w:pPr>
      <w:r w:rsidRPr="009F760A">
        <w:t>–</w:t>
      </w:r>
      <w:r w:rsidR="004E4A8E" w:rsidRPr="009F760A">
        <w:tab/>
        <w:t>beslutningen om at indlede tiltrædelsesforhandlinger med Ukraine og Moldova; glæder sig over, at Moldovas FUSP-tilpasningsgrad er steget betydeligt fra 54 % i 2022 til 86 % i 2024, og opfordrer Ukraine og Moldova til at fortsætte denne positive tendens i retning af fuld tilpasning; opfordrer til en fremskyndelse af screeningsprocessen og rettidig afholdelse af de efterfølgende regeringskonferencer</w:t>
      </w:r>
    </w:p>
    <w:p w14:paraId="4B0736FB" w14:textId="15749E69" w:rsidR="004E4A8E" w:rsidRPr="009F760A" w:rsidRDefault="00874618" w:rsidP="004E4A8E">
      <w:pPr>
        <w:pStyle w:val="NormalHanging12a"/>
        <w:ind w:left="993" w:hanging="284"/>
      </w:pPr>
      <w:r w:rsidRPr="009F760A">
        <w:t>–</w:t>
      </w:r>
      <w:r w:rsidR="004E4A8E" w:rsidRPr="009F760A">
        <w:tab/>
        <w:t xml:space="preserve">Armeniens beslutning om at suspendere sin deltagelse i Den Kollektive Sikkerhedspagt og indstille alle betalinger til dens budget i 2024, efter at Rusland ikke har hjulpet Armenien mod Aserbajdsjans militære aggression, og om at søge en mere pålidelig sikkerhedsstruktur; støtter Armeniens officielle anmodning om, at </w:t>
      </w:r>
      <w:r w:rsidR="004E4A8E" w:rsidRPr="009F760A">
        <w:lastRenderedPageBreak/>
        <w:t>Den Russiske Føderation trækker sine grænsevagter fra Ruslands Føderale Sikkerhedsbureau tilbage fra landets internationale lufthavn og grænsen mellem Armenien og Iran; glæder sig over de regelmæssige møder under den politiske og sikkerhedsmæssige dialog mellem EU og Armenien og Partnerskabsrådet EU-Armenien og roser beslutningen om at vedtage bistandsforanstaltningerne under den europæiske fredsfacilitet til støtte for armenske væbnede styrker henholdsvis den 13. juni og den 22. juli 2024</w:t>
      </w:r>
    </w:p>
    <w:p w14:paraId="6ED5116C" w14:textId="1B263C02" w:rsidR="004E4A8E" w:rsidRPr="009F760A" w:rsidRDefault="00874618" w:rsidP="004E4A8E">
      <w:pPr>
        <w:pStyle w:val="NormalHanging12a"/>
        <w:ind w:left="993" w:hanging="284"/>
      </w:pPr>
      <w:r w:rsidRPr="009F760A">
        <w:t>–</w:t>
      </w:r>
      <w:r w:rsidR="004E4A8E" w:rsidRPr="009F760A">
        <w:tab/>
      </w:r>
      <w:r w:rsidR="0001789B" w:rsidRPr="0001789B">
        <w:t xml:space="preserve">den vellykkede afslutning af forhandlingerne mellem Armenien og Aserbajdsjan om hele teksten til udkastet til aftale om fred og etablering af mellemstatslige </w:t>
      </w:r>
      <w:r w:rsidR="004E4A8E" w:rsidRPr="009F760A">
        <w:t>forbindelser</w:t>
      </w:r>
      <w:r w:rsidR="0001789B">
        <w:t xml:space="preserve">; </w:t>
      </w:r>
      <w:r w:rsidR="0001789B" w:rsidRPr="0001789B">
        <w:t xml:space="preserve">roser Armenien for at have banet vejen for færdiggørelsen af teksten og opfordrer indtrængende de aserbajdsjanske ledere til at undertegne og gennemføre fredsaftalen i god tro, som den blev indgået under forhandlingerne; tilskynder til yderligere </w:t>
      </w:r>
      <w:r w:rsidR="004E4A8E" w:rsidRPr="009F760A">
        <w:t xml:space="preserve">fremskridt inden for rammerne af grænsedragningsprocessen mellem Armenien og Aserbajdsjan, som har ført til en aftale om en række grænsestrækninger </w:t>
      </w:r>
      <w:r w:rsidR="0001789B" w:rsidRPr="0001789B">
        <w:t>og åbning for regional kommunikation på grundlag af begge landes suverænitet og jurisdiktion samt gensidighed og lighed som en vigtig foranstaltning med henblik på at åbne op for regional udvikling, øge konnektiviteten og skabe bæredygtig fred og velstand samt fremme forsoning mellem lokalsamfund på grundlag af øgede mellemfolkelige kontakter</w:t>
      </w:r>
      <w:r w:rsidR="004E4A8E" w:rsidRPr="009F760A">
        <w:t>; understreger atter sin støtte til både Armeniens og Aserbajdsjans suverænitet og territoriale integritet og støtter i høj grad en normalisering af deres relationer baseret på principperne om gensidig anerkendelse af territorial integritet og grænsernes ukrænkelighed i overensstemmelse med Alma-Ata-erklæringen fra 1991; gentager sit krav om tilbagetrækning af Aserbajdsjans styrker fra hele Armeniens suveræne territorium og om løsladelse af de resterende 23 armenske gidsler</w:t>
      </w:r>
    </w:p>
    <w:p w14:paraId="7F0A5F0E" w14:textId="0017C737" w:rsidR="004E4A8E" w:rsidRPr="009F760A" w:rsidRDefault="00874618" w:rsidP="004E4A8E">
      <w:pPr>
        <w:pStyle w:val="NormalHanging12a"/>
        <w:ind w:left="993" w:hanging="284"/>
      </w:pPr>
      <w:r w:rsidRPr="009F760A">
        <w:t>–</w:t>
      </w:r>
      <w:r w:rsidR="004E4A8E" w:rsidRPr="009F760A">
        <w:tab/>
        <w:t>de aktiviteter, som gennemføres af den civile EU-mission i Armenien inden for rammerne af den fælles sikkerheds- og forsvarspolitik (FSFP), der bidrager til sikkerheden i regionen ved i væsentlig grad at reducere antallet af hændelser i konfliktramte områder og grænseområder, og sænker risikoniveauet for befolkningen i disse områder; bifalder Armeniens støtte til EU-missionens aktiviteter på landets territorium; glæder sig over Rådets beslutning om at øge antallet af eksperter, der udsendes, samt missionens kapacitet og til at forlænge dens deployeringsperiode; opfordrer til yderligere udvidelse og tilstedeværelse i regionen; opfordrer Kommissionen til at yde støtte til Armenien til minerydning</w:t>
      </w:r>
    </w:p>
    <w:p w14:paraId="4BEDA1FB" w14:textId="24F9BE7E" w:rsidR="004E4A8E" w:rsidRPr="009F760A" w:rsidRDefault="00874618" w:rsidP="004E4A8E">
      <w:pPr>
        <w:pStyle w:val="NormalHanging12a"/>
        <w:ind w:left="993" w:hanging="284"/>
      </w:pPr>
      <w:r w:rsidRPr="009F760A">
        <w:t>–</w:t>
      </w:r>
      <w:r w:rsidR="004E4A8E" w:rsidRPr="009F760A">
        <w:tab/>
        <w:t xml:space="preserve">EU-Udenrigstjenestens fortsatte arbejde med at forholde sig til og bekæmpe udenlandsk informationsmanipulation og indblanding (FIMI) ved hjælp af EU's FIMI-værktøjskasse, oprettelsen af en StratCom-taskforce og gennem tæt samarbejde med medlemsstaterne, internationale partnere, civilsamfund og øvrige relevante interessenter; gentager sin opfordring til kontinuerlig udveksling af efterretninger fra medlemsstaterne til EU-Udenrigstjenesten om udenrigs- og sikkerhedsspørgsmål, der opstår uden for EU; opfordrer i den henseende til, at EU INTCEN, EU-Udenrigstjenestens kriseberedskabscenter og EU-Satellitcentret styrkes, ved at øge deres menneskelige og finansielle ressourcer og deres kapaciteter </w:t>
      </w:r>
    </w:p>
    <w:p w14:paraId="766C0ACC" w14:textId="1C0DAFEF" w:rsidR="004E4A8E" w:rsidRPr="009F760A" w:rsidRDefault="00874618" w:rsidP="004E4A8E">
      <w:pPr>
        <w:pStyle w:val="NormalHanging12a"/>
        <w:ind w:left="993" w:hanging="284"/>
      </w:pPr>
      <w:r w:rsidRPr="009F760A">
        <w:t>–</w:t>
      </w:r>
      <w:r w:rsidR="004E4A8E" w:rsidRPr="009F760A">
        <w:tab/>
        <w:t>NF/HR's forslag om en sanktionsordning til bekæmpelse af korruption, som kan gøre det muligt for EU målrettet at skride ind over for alvorlige korruptionshandlinger på verdensplan; opfordrer til hurtig vedtagelse i Rådet;</w:t>
      </w:r>
    </w:p>
    <w:p w14:paraId="29E7348A" w14:textId="5800226B" w:rsidR="004E4A8E" w:rsidRPr="009F760A" w:rsidRDefault="00AB1B4D" w:rsidP="004E4A8E">
      <w:pPr>
        <w:pStyle w:val="NormalHanging12a"/>
      </w:pPr>
      <w:r>
        <w:lastRenderedPageBreak/>
        <w:t>5</w:t>
      </w:r>
      <w:r w:rsidR="004E4A8E" w:rsidRPr="009F760A">
        <w:t>.</w:t>
      </w:r>
      <w:r w:rsidR="004E4A8E" w:rsidRPr="009F760A">
        <w:tab/>
        <w:t>fordømmer navnlig:</w:t>
      </w:r>
    </w:p>
    <w:p w14:paraId="25D75280" w14:textId="24D8C769" w:rsidR="004E4A8E" w:rsidRPr="009F760A" w:rsidRDefault="00874618" w:rsidP="004E4A8E">
      <w:pPr>
        <w:pStyle w:val="NormalHanging12a"/>
        <w:ind w:left="993" w:hanging="284"/>
      </w:pPr>
      <w:r w:rsidRPr="009F760A">
        <w:t>–</w:t>
      </w:r>
      <w:r w:rsidR="004E4A8E" w:rsidRPr="009F760A">
        <w:tab/>
        <w:t xml:space="preserve">den igangværende ulovlige og uberettigede russiske angrebskrig mod Ukraine og de stigende russiske angreb på civile mål og civil infrastruktur i Ukraine; forlanger, at Rusland og dets stedfortræderstyrker standser al militær aktion, og at Den Russiske Føderation øjeblikkeligt og betingelsesløst trækker sine tropper og sit udstyr tilbage fra Ukraine og ethvert andet land, hvis territorium eller dele deraf det </w:t>
      </w:r>
      <w:r w:rsidR="004F0248" w:rsidRPr="004F0248">
        <w:t xml:space="preserve">besætter </w:t>
      </w:r>
      <w:r w:rsidR="004E4A8E" w:rsidRPr="009F760A">
        <w:t xml:space="preserve">ulovligt; </w:t>
      </w:r>
      <w:r w:rsidR="004F0248" w:rsidRPr="004F0248">
        <w:t xml:space="preserve">gentager sin politik om ikke at anerkende de områder i Ukraine, som Rusland midlertidigt besætter, herunder, men ikke begrænset til, Krimhalvøen; </w:t>
      </w:r>
      <w:r w:rsidR="004E4A8E" w:rsidRPr="009F760A">
        <w:t>fordømmer alle hybridangreb, som Rusland foretager i Ukraine, og fordømmer udtrykkeligt udbredelsen af Ruslands propaganda om landets krig i Ukraine</w:t>
      </w:r>
    </w:p>
    <w:p w14:paraId="5084AD19" w14:textId="4AE7DAA8" w:rsidR="004E4A8E" w:rsidRPr="009F760A" w:rsidRDefault="00874618" w:rsidP="004E4A8E">
      <w:pPr>
        <w:pStyle w:val="NormalHanging12a"/>
        <w:ind w:left="993" w:hanging="284"/>
      </w:pPr>
      <w:r w:rsidRPr="009F760A">
        <w:t>–</w:t>
      </w:r>
      <w:r w:rsidR="004E4A8E" w:rsidRPr="009F760A">
        <w:tab/>
        <w:t xml:space="preserve">den rolle, som Aljaksandr Lukasjenkas illegitime regime spiller ved at lade landet fungere som en russisk militærbase, reelt at overgive national suverænitet til Kreml for at fastholde sit greb om Belarus, og samtidig brutalt at undertrykke det belarusiske folk for at forblive ved magten; beklager </w:t>
      </w:r>
      <w:r w:rsidR="004F0248" w:rsidRPr="004F0248">
        <w:t xml:space="preserve">at der blev begået alvorlige menneskerettighedskrænkelser forud for det proformavalg, der blev afholdt den 26. januar 2025; er stærkt foruroliget over Putinregimets og </w:t>
      </w:r>
      <w:r w:rsidR="004E4A8E" w:rsidRPr="009F760A">
        <w:t xml:space="preserve">Lukasjenkaregimets instrumentalisering af migration, navnlig i lyset af den indstrømning af tusindvis af migranter til Polen, </w:t>
      </w:r>
      <w:r w:rsidR="004F0248" w:rsidRPr="004F0248">
        <w:t xml:space="preserve">Litauen og Letland, </w:t>
      </w:r>
      <w:r w:rsidR="004E4A8E" w:rsidRPr="009F760A">
        <w:t xml:space="preserve">som </w:t>
      </w:r>
      <w:r w:rsidR="004F0248" w:rsidRPr="004F0248">
        <w:t xml:space="preserve">Rusland og </w:t>
      </w:r>
      <w:r w:rsidR="004E4A8E" w:rsidRPr="009F760A">
        <w:t>Belarus står bag for at gennemtvinge, at de får adgang til Den Europæiske Union</w:t>
      </w:r>
      <w:r w:rsidR="004F0248">
        <w:t xml:space="preserve">; </w:t>
      </w:r>
      <w:r w:rsidR="004F0248" w:rsidRPr="004F0248">
        <w:t>beklager Putinregimets politiske instrumentalisering af migration, som har ført til lukningen af den finske grænse til Rusland</w:t>
      </w:r>
      <w:r w:rsidR="004E4A8E" w:rsidRPr="009F760A">
        <w:t xml:space="preserve"> </w:t>
      </w:r>
    </w:p>
    <w:p w14:paraId="0CF1858E" w14:textId="07C1BBD1" w:rsidR="004E4A8E" w:rsidRPr="009F760A" w:rsidRDefault="00874618" w:rsidP="004E4A8E">
      <w:pPr>
        <w:pStyle w:val="NormalHanging12a"/>
        <w:ind w:left="993" w:hanging="284"/>
      </w:pPr>
      <w:r w:rsidRPr="009F760A">
        <w:t>–</w:t>
      </w:r>
      <w:r w:rsidR="004E4A8E" w:rsidRPr="009F760A">
        <w:tab/>
        <w:t>Nordkoreas ulovlige indblanding i Ruslands angrebskrig mod Ukraine ved at sende militært udstyr og ammunition til Rusland samt ved at sende tusindvis af soldater afsted for at føre krig mod Ukraine</w:t>
      </w:r>
    </w:p>
    <w:p w14:paraId="289D5A86" w14:textId="2E4EFFCB" w:rsidR="004E4A8E" w:rsidRPr="009F760A" w:rsidRDefault="00874618" w:rsidP="004E4A8E">
      <w:pPr>
        <w:pStyle w:val="NormalHanging12a"/>
        <w:ind w:left="993" w:hanging="284"/>
      </w:pPr>
      <w:r w:rsidRPr="009F760A">
        <w:t>–</w:t>
      </w:r>
      <w:r w:rsidR="004E4A8E" w:rsidRPr="009F760A">
        <w:tab/>
        <w:t>Nordkoreas fortsatte våbenafprøvning og udvikling af sit atomprogram i strid med FN's resolution, hvilket yderligere optrapper spændingerne i den indopacifiske region; kræver, at Nordkorea fuldstændigt og uigenkaldeligt opgiver sine programmer for masseødelæggelsesvåben og ballistiske missiler på en verificerbar måde; opfordrer indtrængende de nordkoreanske myndigheder til at standse deres igangværende forbrydelser mod menneskeheden og til at iværksætte en reformproces, hvor alle menneskerettigheder respekteres og beskyttes</w:t>
      </w:r>
    </w:p>
    <w:p w14:paraId="37A69A86" w14:textId="27B7D16F" w:rsidR="004E4A8E" w:rsidRPr="009F760A" w:rsidRDefault="00874618" w:rsidP="004E4A8E">
      <w:pPr>
        <w:pStyle w:val="NormalHanging12a"/>
        <w:ind w:left="993" w:hanging="284"/>
      </w:pPr>
      <w:r w:rsidRPr="009F760A">
        <w:t>–</w:t>
      </w:r>
      <w:r w:rsidR="004E4A8E" w:rsidRPr="009F760A">
        <w:tab/>
        <w:t>de tiltagende ondsindede aktiviteter, den indblanding og hybride krigsførelse, som Den Russiske Føderation, dens institutioner og stedfortrædere har anvendt for at undergrave og nedbryde Georgiens og Republikken Moldovas demokratiske stabilitet og suverænitet, og navnlig den seneste indblanding i den forfatningsmæssige folkeafstemning om EU-tiltrædelse og præsidentvalget</w:t>
      </w:r>
    </w:p>
    <w:p w14:paraId="0D82EA56" w14:textId="51EA5C20" w:rsidR="004E4A8E" w:rsidRPr="009F760A" w:rsidRDefault="00874618" w:rsidP="004E4A8E">
      <w:pPr>
        <w:pStyle w:val="NormalHanging12a"/>
        <w:ind w:left="993" w:hanging="284"/>
      </w:pPr>
      <w:r w:rsidRPr="009F760A">
        <w:t>–</w:t>
      </w:r>
      <w:r w:rsidR="004E4A8E" w:rsidRPr="009F760A">
        <w:tab/>
        <w:t>angrebet på kosovoske politifolk fra velorganiserede serbiske paramilitære styrkers side i Banjska/Banjskë i den nordlige del af Kosovo den 24. september 2023, som resulterede i, at den kosovoske politibetjent Afrim Bunjaku døde, og at yderligere to kosovoske politibetjente kom til skade; fordømmer det frygtelige terrorangreb på kritisk infrastruktur nær Zubin Potok; understreger, at gerningsmændene bag disse afskyvækkende angreb hurtigst muligt skal drages til ansvar og stilles for retten</w:t>
      </w:r>
    </w:p>
    <w:p w14:paraId="6415CFBE" w14:textId="233B1CDE" w:rsidR="008C0BC2" w:rsidRDefault="008C0BC2" w:rsidP="004E4A8E">
      <w:pPr>
        <w:pStyle w:val="NormalHanging12a"/>
        <w:ind w:left="993" w:hanging="284"/>
      </w:pPr>
      <w:r w:rsidRPr="009F760A">
        <w:t>–</w:t>
      </w:r>
      <w:r w:rsidRPr="009F760A">
        <w:tab/>
      </w:r>
      <w:r w:rsidRPr="008C0BC2">
        <w:t>Tyrkiets, et NATO-medlemslands, fortsatte og i henhold til folkeretten ulovlige besættelse af 37 % af Cypern, en EU-medlemsstat</w:t>
      </w:r>
    </w:p>
    <w:p w14:paraId="7264AF0B" w14:textId="2B66C0D7" w:rsidR="004E4A8E" w:rsidRPr="009F760A" w:rsidRDefault="00874618" w:rsidP="004E4A8E">
      <w:pPr>
        <w:pStyle w:val="NormalHanging12a"/>
        <w:ind w:left="993" w:hanging="284"/>
      </w:pPr>
      <w:r w:rsidRPr="009F760A">
        <w:lastRenderedPageBreak/>
        <w:t>–</w:t>
      </w:r>
      <w:r w:rsidR="004E4A8E" w:rsidRPr="009F760A">
        <w:tab/>
        <w:t>de brutale og vilkårlige terrorangreb begået af Hamas i hele Israel den 7. oktober 2023, som udløste en israelsk militær reaktion og en konflikt i Gaza, som har en ødelæggende indvirkning på civile og forårsagede en katastrofal humanitær situation</w:t>
      </w:r>
    </w:p>
    <w:p w14:paraId="1B9C35FB" w14:textId="0AFF27E1" w:rsidR="004E4A8E" w:rsidRPr="009F760A" w:rsidRDefault="00874618" w:rsidP="004E4A8E">
      <w:pPr>
        <w:pStyle w:val="NormalHanging12a"/>
        <w:ind w:left="993" w:hanging="284"/>
      </w:pPr>
      <w:r w:rsidRPr="009F760A">
        <w:t>–</w:t>
      </w:r>
      <w:r w:rsidR="004E4A8E" w:rsidRPr="009F760A">
        <w:tab/>
        <w:t>det forhold, at Hamas har taget og stadig holder uskyldige mennesker, herunder kvinder og børn, som gidsler, hvorfor der opfordres til betingelsesløs og øjeblikkelig løsladelse af gidsler</w:t>
      </w:r>
    </w:p>
    <w:p w14:paraId="52CF90C2" w14:textId="79A99623" w:rsidR="004E4A8E" w:rsidRPr="009F760A" w:rsidRDefault="00874618" w:rsidP="004E4A8E">
      <w:pPr>
        <w:pStyle w:val="NormalHanging12a"/>
        <w:ind w:left="993" w:hanging="284"/>
      </w:pPr>
      <w:r w:rsidRPr="009F760A">
        <w:t>–</w:t>
      </w:r>
      <w:r w:rsidR="004E4A8E" w:rsidRPr="009F760A">
        <w:tab/>
        <w:t>den bevidste og ondsindede optrapning af en ekstraordinært anspændt situation ved gentagne angreb mod Israel siden den 7. oktober 2023 begået af statslige og ikkestatslige aktører i regionen, hvor Iran er hovedanstifteren i lighed med houthierne i Yemen og Hizbollah i Libanon, der agerer som nogle af Irans stedfortrædere</w:t>
      </w:r>
    </w:p>
    <w:p w14:paraId="7FF1539D" w14:textId="79F1ADC7" w:rsidR="004E4A8E" w:rsidRPr="009F760A" w:rsidRDefault="00874618" w:rsidP="004E4A8E">
      <w:pPr>
        <w:pStyle w:val="NormalHanging12a"/>
        <w:ind w:left="993" w:hanging="284"/>
      </w:pPr>
      <w:r w:rsidRPr="009F760A">
        <w:t>–</w:t>
      </w:r>
      <w:r w:rsidR="004E4A8E" w:rsidRPr="009F760A">
        <w:tab/>
        <w:t>Irans vedvarende manglende overholdelse af landets retlige kontrolkrav i henhold til den generelle kontrolaftale og dets forpligtelser i henhold til den fælles omfattende handlingsplan (JCPOA), Irans udvidelse af sit atomprogram ud over, hvad der troværdigt kan begrundes i civile hensyn, og den destabilisering af Mellemøsten, dette forårsager, bl.a. gennem stedfortrædere, såsom angreb mod Israel og sponsering af terrorisme og civile konflikter; de angreb, der er foretaget eller forsøgt foretaget i EU af terrororganisationer og -netværk, som har tilknytning til Iran</w:t>
      </w:r>
    </w:p>
    <w:p w14:paraId="6821B8E0" w14:textId="49396B03" w:rsidR="004E4A8E" w:rsidRPr="009F760A" w:rsidRDefault="00874618" w:rsidP="004E4A8E">
      <w:pPr>
        <w:pStyle w:val="NormalHanging12a"/>
        <w:ind w:left="993" w:hanging="284"/>
      </w:pPr>
      <w:r w:rsidRPr="009F760A">
        <w:t>–</w:t>
      </w:r>
      <w:r w:rsidR="004E4A8E" w:rsidRPr="009F760A">
        <w:tab/>
        <w:t>den ulovlige tilbageholdelse af europæiske statsborgere i Iran, henrettelsen af den europæiske statsborger med dobbelt tysk-iransk statsborgerskab Jamshid Sharmahd den 29. oktober 2024 og den brutale undertrykkelse af det iranske folk, navnlig kvinderne; gentager sin urokkelige støtte til kvinderne i Iran, som, to år efter at bevægelsen "Kvinder, liv, frihed" brutalt blev undertrykt, stadig udsættes for grove indskrænkninger af deres grundlæggende rettigheder; opfordrer indtrængende NF/HR til at gøre sit yderste for at befri disse borgere og sætte en stopper for praksis med iransk gidseldiplomati, hvor udenlandske civile og borgere med dobbelt statsborgerskab tilbageholdes</w:t>
      </w:r>
      <w:r w:rsidR="008C0BC2" w:rsidRPr="008C0BC2">
        <w:t>, herunder ved at tilskynde medlemsstaterne til at anbefale, at deres statsborgere afholder sig fra at rejse til Iran</w:t>
      </w:r>
    </w:p>
    <w:p w14:paraId="70BE598A" w14:textId="13E3B26C" w:rsidR="004E4A8E" w:rsidRPr="009F760A" w:rsidRDefault="00874618" w:rsidP="004E4A8E">
      <w:pPr>
        <w:pStyle w:val="NormalHanging12a"/>
        <w:ind w:left="993" w:hanging="284"/>
      </w:pPr>
      <w:r w:rsidRPr="009F760A">
        <w:t>–</w:t>
      </w:r>
      <w:r w:rsidR="004E4A8E" w:rsidRPr="009F760A">
        <w:tab/>
        <w:t>det voksende militære samarbejde mellem Iran og Rusland, navnlig hensigten om at underskrive en traktat om et omfattende strategisk partnerskab, og Irans levering af droner og ballistiske missiler til Rusland til at bruge mod Ukraine og dets befolkning</w:t>
      </w:r>
    </w:p>
    <w:p w14:paraId="517E001D" w14:textId="214084FF" w:rsidR="004E4A8E" w:rsidRPr="009F760A" w:rsidRDefault="00874618" w:rsidP="004E4A8E">
      <w:pPr>
        <w:pStyle w:val="NormalHanging12a"/>
        <w:ind w:left="993" w:hanging="284"/>
      </w:pPr>
      <w:r w:rsidRPr="009F760A">
        <w:t>–</w:t>
      </w:r>
      <w:r w:rsidR="004E4A8E" w:rsidRPr="009F760A">
        <w:tab/>
        <w:t xml:space="preserve">den nylige vedtagelse af loven om sædelighed i Afghanistan ("promotion of virtue and prevention of vice") samt den systematiske krænkelse af menneskerettighederne og de grundlæggende frihedsrettigheder, navnlig den ekstreme fortolkning af sharia, som fjerner kvinder fra det offentlige liv, forhindrer dem i at arbejde, hindrer dem i at få adgang til alle offentlige steder uden at blive ledsaget af en mandlig slægtning og til uddannelse ud over sjette klasse, hvilket svarer til kønsapartheid; kræver, at Afghanistans de facto-myndigheder ophæver alle kønsbaserede restriktioner for kvinder, og understreger, at dette skal være en central betingelse for ethvert engagement med Taliban fra det internationale samfunds side; insisterer på at opretholde et strengt, betinget samarbejde med Taliban på grundlag af de fem benchmarks, som Rådet har fastsat for samarbejdet med de facto-myndighederne, idet gerningsmændene til disse alvorlige krænkelser </w:t>
      </w:r>
      <w:r w:rsidR="004E4A8E" w:rsidRPr="009F760A">
        <w:lastRenderedPageBreak/>
        <w:t>af pigers og kvinders rettigheder holdes ansvarlige, herunder gennem restriktive foranstaltninger</w:t>
      </w:r>
    </w:p>
    <w:p w14:paraId="69D73179" w14:textId="433AE11C" w:rsidR="004E4A8E" w:rsidRPr="009F760A" w:rsidRDefault="00874618" w:rsidP="004E4A8E">
      <w:pPr>
        <w:pStyle w:val="NormalHanging12a"/>
        <w:ind w:left="993" w:hanging="284"/>
      </w:pPr>
      <w:r w:rsidRPr="009F760A">
        <w:t>–</w:t>
      </w:r>
      <w:r w:rsidR="004E4A8E" w:rsidRPr="009F760A">
        <w:tab/>
        <w:t xml:space="preserve">den stigende bredde og intensitet af operationer, herunder cyberangreb og informationsmanipulation fra den kinesiske regerings side, samt fartøjer og fly, der forsøger at intimidere Kinas naboer, hvilket krænker freden og stabiliteten i Taiwanstrædet og de omgivende internationale farvande samt hindrer alle øvrige parters ret til fri sejlads; fordømmer i stærke vendinger udtalelser fra Kinas præsident om, at Folkerepublikken Kina under ingen omstændigheder vil give afkald på retten til at bruge magt over for Taiwan, og fastholder, at anvendelsen af tvangsforanstaltninger til at opnå forening med Taiwan er i modstrid med international ret </w:t>
      </w:r>
    </w:p>
    <w:p w14:paraId="7F91E018" w14:textId="48861BA0" w:rsidR="004E4A8E" w:rsidRPr="009F760A" w:rsidRDefault="00874618" w:rsidP="004E4A8E">
      <w:pPr>
        <w:pStyle w:val="NormalHanging12a"/>
        <w:ind w:left="993" w:hanging="284"/>
      </w:pPr>
      <w:r w:rsidRPr="009F760A">
        <w:t>–</w:t>
      </w:r>
      <w:r w:rsidR="004E4A8E" w:rsidRPr="009F760A">
        <w:tab/>
        <w:t>det regeringsledede system med tvangsarbejde og de vedvarende krænkelser af menneskerettighederne, navnlig den systematiske undertrykkelse af uighurer i Xinjiang-provinsen; noterer sig med bekymring den intense undertrykkelse af etniske minoriteter i Tibet, Hongkong og Macao og den tværnationale undertrykkelse af kinesiske dissidenter samt den vedvarende tilstedeværelse af kinesisk politi på EU's territorium; har taget til efterretning og beklager, at Folkerepublikken Kina ikke gennemfører henstillingerne fra FN's Højkommissariat for Menneskerettigheder (OHCHR); opfordrer Folkerepublikken Kina til at give OHCHR uafhængig adgang til Den Autonome Region Xinjiang Uighur og opfordrer OHCHR til at udsende en fyldestgørende situationsorientering og en handlingsplan for at holde Folkerepublikken Kina ansvarlig</w:t>
      </w:r>
      <w:r w:rsidR="008C0BC2" w:rsidRPr="008C0BC2">
        <w:t>; opfordrer alle EU's medlemsstater til at suspendere udleveringsaftaler med Hongkong og Folkerepublikken Kina og til at beskytte de personer, der chikaneres og forfølges</w:t>
      </w:r>
    </w:p>
    <w:p w14:paraId="1A4F0390" w14:textId="18ABE646" w:rsidR="004E4A8E" w:rsidRPr="009F760A" w:rsidRDefault="00874618" w:rsidP="004E4A8E">
      <w:pPr>
        <w:pStyle w:val="NormalHanging12a"/>
        <w:ind w:left="993" w:hanging="284"/>
      </w:pPr>
      <w:r w:rsidRPr="009F760A">
        <w:t>–</w:t>
      </w:r>
      <w:r w:rsidR="004E4A8E" w:rsidRPr="009F760A">
        <w:tab/>
        <w:t>forværringen af stabiliteten i Sahel, som er blevet forværret af de mange militærkup i regionen i de seneste år; minder om, at stabiliteten i Sahel har direkte indvirkning på Europas eksterne grænsers sikkerhed og på forvaltningen af irregulære migrationsstrømme fra det afrikanske kontinent; understreger, at EU straks bør revurdere sin regionale strategi for Sahel</w:t>
      </w:r>
    </w:p>
    <w:p w14:paraId="6448751D" w14:textId="15ADC248" w:rsidR="004E4A8E" w:rsidRPr="009F760A" w:rsidRDefault="00874618" w:rsidP="004E4A8E">
      <w:pPr>
        <w:pStyle w:val="NormalHanging12a"/>
        <w:ind w:left="993" w:hanging="284"/>
      </w:pPr>
      <w:r w:rsidRPr="009F760A">
        <w:t>–</w:t>
      </w:r>
      <w:r w:rsidR="004E4A8E" w:rsidRPr="009F760A">
        <w:tab/>
        <w:t xml:space="preserve">kuppene i Burkina Faso og i Niger, hvor præsident Bazoum tilbageholdes, og forfatningen er sat ud af kraft; er i stigende grad bekymret over den beslutning, militærregimerne i det centrale Sahel i Burkina Faso, Mali og Niger har truffet, om at forlade Det Økonomiske Fællesskab af Vestafrikanske Stater (ECOWAS) og dermed kaste ECOWAS ud i en dyb politisk krise; fordømmer desuden det fysiske angreb den 29. september 2024 på et ECOWAS-medlemsparlament og andre deltagere ved et officielt bekendtgjort oppositionsvælgermøde i Lomé; opfordrer de togolesiske myndigheder til at sikre fremme og beskyttelse af de grundlæggende principper for menneskerettigheder og befolkningsgruppers rettigheder, som nedfældet i artikel 4 i den reviderede ECOWAS-traktat, f.eks. forsamlings-, forenings-, tros- og ytringsfrihed; opfordrer ECOWAS-myndighederne og -medlemsstaterne til at bakke op om den indsats, der er nødvendig for at beskytte principperne for det afrikanske charter om menneskers og folks rettigheder i underregionen; noterer sig nedlukningen af Den Europæiske Unions militære partnerskabsmission i Niger (EUMPM Niger) og den kapacitetsopbyggende mission i Niger (EUCAP Sahel Niger) og den manglende fornyelse af Den Europæiske Unions uddannelsesmission i Mali (EUTM); konstaterer med bekymring, hvordan Rusland har intensiveret udviklingen af stat-til-stat-relationer og samarbejdsinitiativer med afrikanske stater igennem militært samarbejde og en </w:t>
      </w:r>
      <w:r w:rsidR="004E4A8E" w:rsidRPr="009F760A">
        <w:lastRenderedPageBreak/>
        <w:t>forpligtelse til at samarbejde om udviklingen af atomkraft; fordømmer stigningen i antallet af terrorangreb og de voldsomme civile tab i Sahel samt russiske paramilitære styrkers tilstedeværelse og angreb, som har ført til, at befolkningen er blevet fordrevet, og til en tilstrømning af flygtninge, også forårsaget af ustabiliteten i regionen; beklager, at det tomrum, som FN's fredsbevarende styrker har efterladt, reelt er blevet fyldt op af Wagnergruppens lejesoldater samt russisk og tyrkisk militær, hvis industrier forsyner hovedstæderne i Sahel med våben</w:t>
      </w:r>
    </w:p>
    <w:p w14:paraId="4AC1D684" w14:textId="4602F622" w:rsidR="004E4A8E" w:rsidRPr="009F760A" w:rsidRDefault="00874618" w:rsidP="004E4A8E">
      <w:pPr>
        <w:pStyle w:val="NormalHanging12a"/>
        <w:ind w:left="993" w:hanging="284"/>
      </w:pPr>
      <w:r w:rsidRPr="009F760A">
        <w:t>–</w:t>
      </w:r>
      <w:r w:rsidR="004E4A8E" w:rsidRPr="009F760A">
        <w:tab/>
        <w:t>borgerkrigen i Sudan, de ødelæggende konsekvenser for civilbefolkningen, de grusomheder, der er begået mod dem, og navnlig den foragtelige omfattende brug af voldtægt som krigsvåben</w:t>
      </w:r>
    </w:p>
    <w:p w14:paraId="094F5EE6" w14:textId="7AA9561B" w:rsidR="004E4A8E" w:rsidRPr="009F760A" w:rsidRDefault="00874618" w:rsidP="004E4A8E">
      <w:pPr>
        <w:pStyle w:val="NormalHanging12a"/>
        <w:ind w:left="993" w:hanging="284"/>
      </w:pPr>
      <w:r w:rsidRPr="009F760A">
        <w:t>–</w:t>
      </w:r>
      <w:r w:rsidR="004E4A8E" w:rsidRPr="009F760A">
        <w:tab/>
        <w:t>de taktiske og tekniske begrænsninger, som blev pålagt i sidste øjeblik af myndighederne i Den Demokratiske Republik Congo, hvilket forhindrede EU's valgobservationsmission i at overvåge præsidentvalget; fordømmer den vold, der begås af den Rwanda-støttede oprørsbevægelse M23, som destabiliserer den østlige del af Den Demokratiske Republik Congo; opfordrer til at revurdere EU's strategi for De Store Søers Område i Afrika</w:t>
      </w:r>
    </w:p>
    <w:p w14:paraId="44F841F8" w14:textId="4D594F41" w:rsidR="004E4A8E" w:rsidRPr="009F760A" w:rsidRDefault="00874618" w:rsidP="004E4A8E">
      <w:pPr>
        <w:pStyle w:val="NormalHanging12a"/>
        <w:ind w:left="993" w:hanging="284"/>
      </w:pPr>
      <w:r w:rsidRPr="009F760A">
        <w:t>–</w:t>
      </w:r>
      <w:r w:rsidR="004E4A8E" w:rsidRPr="009F760A">
        <w:tab/>
        <w:t>Daniel Ortegas og Rosario Murillos autoritære regime, som systematisk undergraver Nicaraguas demokratiske strukturer; minder om, at regimet i Nicaragua opretholder stærke forbindelser med andre autokrater såsom dem i Iran, Venezuela og Cuba; fordømmer de systematiske krænkelser af menneskerettighederne, som det cubanske regime har begået; fordømmer på det kraftigste og afviser fuldt ud den valgsvindel, som regimet i Venezuela har iværksat, og kræver, at Maduros regering indstiller sin undertrykkelsespolitik og sine angreb på civilsamfundet og oppositionen; minder om, at Parlamentet den 19. september 2024 anerkendte Edmundo González Urrutia som Venezuelas legitime og demokratisk valgte præsident og María Corina Machado som leder af de demokratiske kræfter i Venezuela; der henviser til, at adskillige demokratiske stater i regionen og i hele verden har anerkendt González som den valgte præsident; minder om, at han skulle have været taget i ed den 10. januar 2025; der henviser til, at Parlamentet den 17. december 2024 tildelte Sakharovprisen for tankefrihed 2024 til María Corina Machado som lederen af de demokratiske kræfter i Venezuela og til den valgte præsident, Edmundo González Urrutia, som repræsentanter for alle venezuelanere i og uden for landet, som kæmper for genindførelse af frihed og demokrati</w:t>
      </w:r>
    </w:p>
    <w:p w14:paraId="0307AB94" w14:textId="76425DC8" w:rsidR="004E4A8E" w:rsidRPr="009F760A" w:rsidRDefault="00874618" w:rsidP="004E4A8E">
      <w:pPr>
        <w:pStyle w:val="NormalHanging12a"/>
        <w:ind w:left="993" w:hanging="284"/>
      </w:pPr>
      <w:r w:rsidRPr="009F760A">
        <w:t>–</w:t>
      </w:r>
      <w:r w:rsidR="004E4A8E" w:rsidRPr="009F760A">
        <w:tab/>
        <w:t xml:space="preserve">udnyttelsen af den såkaldte "cubanske medicinske brigade" i visse europæiske lande som en form for krænkelse af grundlæggende rettigheder og frihedsrettigheder og som en form for slaveri og tvangsarbejde </w:t>
      </w:r>
    </w:p>
    <w:p w14:paraId="584DF021" w14:textId="6B14B472" w:rsidR="004E4A8E" w:rsidRPr="009F760A" w:rsidRDefault="00874618" w:rsidP="004E4A8E">
      <w:pPr>
        <w:pStyle w:val="NormalHanging12a"/>
        <w:ind w:left="993" w:hanging="284"/>
      </w:pPr>
      <w:r w:rsidRPr="009F760A">
        <w:t>–</w:t>
      </w:r>
      <w:r w:rsidR="004E4A8E" w:rsidRPr="009F760A">
        <w:tab/>
        <w:t>risikoen for kollaps af de statslige strukturer og den vanskelige humanitære situation i Haiti på grund af galopperende bandevold</w:t>
      </w:r>
    </w:p>
    <w:p w14:paraId="41021801" w14:textId="145B5DBF" w:rsidR="004E4A8E" w:rsidRPr="009F760A" w:rsidRDefault="00874618" w:rsidP="004E4A8E">
      <w:pPr>
        <w:pStyle w:val="NormalHanging12a"/>
        <w:ind w:left="993" w:hanging="284"/>
      </w:pPr>
      <w:r w:rsidRPr="009F760A">
        <w:t>–</w:t>
      </w:r>
      <w:r w:rsidR="004E4A8E" w:rsidRPr="009F760A">
        <w:tab/>
        <w:t xml:space="preserve">den kendsgerning, at Folkerepublikken Kina, Rusland, Iran og andre totalitære eller autoritære regimer bruger informationsmanipulation og ondsindet indblanding som gængse instrumenter til at lægge pres på multilaterale institutioner og demokratiske værdier og normer, til at misbruge magt, øge antallet og alvoren af menneskerettighedskrænkelser, begrænse civilsamfundets, uafhængige mediers og demokratiske oppositionsbevægelsers råderum og sprede antivestlig desinformation samt til at bruge forskellige former for tværnational undertrykkelse til at true og begrænse råderummet for civilsamfund, uafhængige medier og demokratiske </w:t>
      </w:r>
      <w:r w:rsidR="004E4A8E" w:rsidRPr="009F760A">
        <w:lastRenderedPageBreak/>
        <w:t>oppositionsbevægelser i indvandrersamfundene</w:t>
      </w:r>
    </w:p>
    <w:p w14:paraId="085FAC11" w14:textId="10282442" w:rsidR="004E4A8E" w:rsidRPr="009F760A" w:rsidRDefault="00874618" w:rsidP="004E4A8E">
      <w:pPr>
        <w:pStyle w:val="NormalHanging12a"/>
        <w:ind w:left="993" w:hanging="284"/>
      </w:pPr>
      <w:r w:rsidRPr="009F760A">
        <w:t>–</w:t>
      </w:r>
      <w:r w:rsidR="004E4A8E" w:rsidRPr="009F760A">
        <w:tab/>
        <w:t>det stigende antal angreb, chikane, vilkårlig frihedsberøvelse, tortur og drab på menneskerettighedsforkæmpere på verdensplan, navnlig dem, der er fortalere for miljørettigheder, oprindelige folks rettigheder, kvinders rettigheder, LGBTQI+-rettigheder og antikorruptionsrettigheder; noterer sig endvidere de stadig mere avancerede taktikker, som anvendes af statslige og ikkestatslige aktører, herunder digital overvågning og smædekampagner, rettet imod at lukke munden på menneskerettighedsforkæmpere; understreger, at der er et presserende behov for at beskytte menneskerettighedsforkæmpere, som også spiller en kritisk rolle i at opretholde demokratiet og retsstaten globalt; opfordrer til forbedrede støtte- og beskyttelsesmekanismer for menneskerettighedsforkæmpere, der udsættes for trusler, chikane og vold, navnlig dem, der befinder sig i højrisikoområder eller arbejder på følsomme problemstillinger, f.eks. miljørettigheder, oprindelige folks rettigheder og kvinders rettigheder</w:t>
      </w:r>
    </w:p>
    <w:p w14:paraId="5958C983" w14:textId="77777777" w:rsidR="004E4A8E" w:rsidRPr="009F760A" w:rsidRDefault="004E4A8E" w:rsidP="004E4A8E">
      <w:pPr>
        <w:pStyle w:val="NormalHanging12a"/>
        <w:ind w:left="993" w:hanging="284"/>
      </w:pPr>
      <w:r w:rsidRPr="009F760A">
        <w:t>–</w:t>
      </w:r>
      <w:r w:rsidRPr="009F760A">
        <w:tab/>
        <w:t>forsøg på at omgå EU-sanktioner og internationale sanktioner, hvilket det anser for at være direkte trusler mod den internationale regelbaserede orden</w:t>
      </w:r>
    </w:p>
    <w:p w14:paraId="3E378F6A" w14:textId="47C61989" w:rsidR="004E4A8E" w:rsidRPr="009F760A" w:rsidRDefault="00874618" w:rsidP="004E4A8E">
      <w:pPr>
        <w:pStyle w:val="NormalHanging12a"/>
        <w:ind w:left="993" w:hanging="284"/>
      </w:pPr>
      <w:r w:rsidRPr="009F760A">
        <w:t>–</w:t>
      </w:r>
      <w:r w:rsidR="004E4A8E" w:rsidRPr="009F760A">
        <w:tab/>
        <w:t xml:space="preserve">Aserbajdsjans forsømmelse af at overholde påbuddet af 17. november 2023 fra Den Internationale Domstol om midlertidige foranstaltninger vedrørende sikker, uhindret og hurtig tilbagesendelse af de 100 000 etniske armeniere, som flygtede fra Nagorno-Karabakh efter Aserbajdsjans planlagte og ubegrundede angreb i september 2023, samt de aserbajdsjanske myndigheders afvisning af at løslade alle 23 armenske krigsfanger, som landet i dag tilbageholder; støtter alle initiativer og aktiviteter, der kan føre til etablering af </w:t>
      </w:r>
      <w:r w:rsidR="009B7EB2">
        <w:t xml:space="preserve">varig </w:t>
      </w:r>
      <w:r w:rsidR="004E4A8E" w:rsidRPr="009F760A">
        <w:t>fred mellem Armenien og Aserbajdsjan</w:t>
      </w:r>
      <w:r w:rsidR="009B7EB2">
        <w:t>;</w:t>
      </w:r>
      <w:r w:rsidR="004E4A8E" w:rsidRPr="009F760A">
        <w:t xml:space="preserve">  </w:t>
      </w:r>
      <w:r w:rsidR="009B7EB2" w:rsidRPr="009B7EB2">
        <w:t xml:space="preserve">kræver med henblik herpå, at Aserbajdsjans tropper trækkes tilbage fra hele Armeniens suveræne territorium, og </w:t>
      </w:r>
      <w:r w:rsidR="004E4A8E" w:rsidRPr="009F760A">
        <w:t xml:space="preserve">advarer </w:t>
      </w:r>
      <w:r w:rsidR="009B7EB2" w:rsidRPr="009B7EB2">
        <w:t xml:space="preserve">samtidig </w:t>
      </w:r>
      <w:r w:rsidR="004E4A8E" w:rsidRPr="009F760A">
        <w:t xml:space="preserve">om, at enhver </w:t>
      </w:r>
      <w:r w:rsidR="009B7EB2" w:rsidRPr="009B7EB2">
        <w:t xml:space="preserve">yderligere </w:t>
      </w:r>
      <w:r w:rsidR="004E4A8E" w:rsidRPr="009F760A">
        <w:t xml:space="preserve">militær aktion mod Armenien vil være uacceptabel og have alvorlige konsekvenser for partnerskabet mellem Aserbajdsjan og EU; fremhæver, at Aserbajdsjans konnektivitetsproblemer med sin eksklave Nakhitjevan bør løses med fuld respekt for Armeniens suverænitet og territoriale integritet; gentager sin holdning om, at EU bør være parat til at indføre sanktioner over for alle personer og enheder, der truer Armeniens suverænitet, uafhængighed og territoriale integritet; fremhæver, at de mange advarsler fra Europa-Parlamentet om situationen ikke har ført til nogen ændring af EU's standpunkt vedrørende Aserbajdsjan; opfordrer EU til at bringe sin afhængighed af gaseksport fra Aserbajdsjan til ophør; opfordrer Kommissionen til at sætte aftalememorandummet fra 2022 om det strategiske partnerskab på energiområdet ud af kraft og til at handle i overensstemmelse hermed; </w:t>
      </w:r>
      <w:r w:rsidR="009B7EB2" w:rsidRPr="009B7EB2">
        <w:t xml:space="preserve">insisterer på, at enhver fremtidig partnerskabsaftale gøres betinget af, at alle politiske fanger løslades, og at den generelle menneskerettighedssituation i landet forbedres; </w:t>
      </w:r>
      <w:r w:rsidR="004E4A8E" w:rsidRPr="009F760A">
        <w:t xml:space="preserve">fordømmer den russiske "hvidvask af gas" igennem Aserbajdsjan og de aserbajdsjanske myndigheders muliggørelse af Ruslands omgåelse af EU-sanktioner; opfordrer EU til at indstille al teknisk og finansiel bistand til Aserbajdsjan, der kan bidrage til at styrke landets militære eller sikkerhedsmæssige kapacitet; opfordrer medlemsstaterne til at fastfryse eksporten af alt militært udstyr og sikkerhedsudstyr til Aserbajdsjan; fordømmer Aserbajdsjans gentagne forsøg på at nedgøre og destabilisere medlemsstater, herunder gennem den såkaldte Baku-initiativgruppe; fordømmer den fortsatte forværring af menneskerettighedssituationen i landet; </w:t>
      </w:r>
    </w:p>
    <w:p w14:paraId="7485B3C4" w14:textId="1835416F" w:rsidR="004E4A8E" w:rsidRPr="009F760A" w:rsidRDefault="00AB1B4D" w:rsidP="004E4A8E">
      <w:pPr>
        <w:pStyle w:val="NormalHanging12a"/>
      </w:pPr>
      <w:r>
        <w:t>6</w:t>
      </w:r>
      <w:r w:rsidR="004E4A8E" w:rsidRPr="009F760A">
        <w:t>.</w:t>
      </w:r>
      <w:r w:rsidR="004E4A8E" w:rsidRPr="009F760A">
        <w:tab/>
        <w:t xml:space="preserve">er enig i: </w:t>
      </w:r>
    </w:p>
    <w:p w14:paraId="484E5360" w14:textId="7B95EA25" w:rsidR="004E4A8E" w:rsidRPr="009F760A" w:rsidRDefault="00874618" w:rsidP="004E4A8E">
      <w:pPr>
        <w:pStyle w:val="NormalHanging12a"/>
        <w:ind w:left="993" w:hanging="284"/>
      </w:pPr>
      <w:r w:rsidRPr="009F760A">
        <w:lastRenderedPageBreak/>
        <w:t>–</w:t>
      </w:r>
      <w:r w:rsidR="004E4A8E" w:rsidRPr="009F760A">
        <w:tab/>
        <w:t>at der er behov for at forbedre forbindelserne med Tyrkiet; glæder sig over den delvise nedtrapning af spændingerne i det østlige Middelhavsområde og Det Ægæiske Hav, men giver igen udtryk for sin bekymring over, at Tyrkiets udenrigspolitik fortsat er i strid med EU's prioriteter i henhold til FUSP; minder i denne forbindelse om undertegnelsen og hentydningerne til aftalememorandummet mellem Tyrkiet og Libyen om omfattende sikkerhedssamarbejde og militært samarbejde og om en afgrænsning af havområder</w:t>
      </w:r>
    </w:p>
    <w:p w14:paraId="7FE15660" w14:textId="5C07C839" w:rsidR="004E4A8E" w:rsidRPr="009F760A" w:rsidRDefault="00874618" w:rsidP="004E4A8E">
      <w:pPr>
        <w:pStyle w:val="NormalHanging12a"/>
        <w:ind w:left="993" w:hanging="284"/>
      </w:pPr>
      <w:r w:rsidRPr="009F760A">
        <w:t>–</w:t>
      </w:r>
      <w:r w:rsidR="004E4A8E" w:rsidRPr="009F760A">
        <w:tab/>
        <w:t>opfordringen til Tyrkiet om at arbejde på en konstruktiv og ikke-selvhævdende eller aggressiv tilgang i sine nabolande, herunder landene i Sydkaukasus; beklager, at Tyrkiet fortsat anfægter en EU-medlemsstats suverænitet og suveræne rettigheder; understreger, at Tyrkiets tiltrædelsesproces er betinget af landets fulde overensstemmelse med Københavnskriterierne og dets normalisering af forbindelserne med alle EU's medlemsstater, herunder Republikken Cypern; opfordrer til, at stødpudezonens status og mandatet for FN's fredsbevarende styrke i Cypern respekteres; opfordrer indtrængende Tyrkiet og de tyrkisk-cypriotiske ledere til at ophøre med og til at omgøre alle sådanne unilaterale aktiviteter samt til at afholde sig fra alle yderligere handlinger og provokationer; opfordrer til at indgå i fredelige FN-ledede forhandlinger og til, at der gøres reelle fremskridt i forhandlingerne om en løsning på Cypern</w:t>
      </w:r>
      <w:r w:rsidR="009B7EB2" w:rsidRPr="009B7EB2">
        <w:t>, helt inden for de aftalte FN-rammer, som er de eneste rammer, der accepteres af EU og det internationale samfund, og i overensstemmelse med EU's lovgivning, værdier og principper</w:t>
      </w:r>
    </w:p>
    <w:p w14:paraId="02BB8C2D" w14:textId="2C0F7E0D" w:rsidR="004E4A8E" w:rsidRPr="009F760A" w:rsidRDefault="00874618" w:rsidP="004E4A8E">
      <w:pPr>
        <w:pStyle w:val="NormalHanging12a"/>
        <w:ind w:left="993" w:hanging="284"/>
      </w:pPr>
      <w:r w:rsidRPr="009F760A">
        <w:t>–</w:t>
      </w:r>
      <w:r w:rsidR="004E4A8E" w:rsidRPr="009F760A">
        <w:tab/>
        <w:t>vurderingen af, at Tyrkiets EU-tiltrædelsesproces ikke kan genoptages uden en drastisk kursændring fra den tyrkiske regerings side</w:t>
      </w:r>
      <w:r w:rsidR="009B7EB2">
        <w:t xml:space="preserve"> </w:t>
      </w:r>
      <w:r w:rsidR="009B7EB2" w:rsidRPr="009B7EB2">
        <w:t>og uden anerkendelse af Republikken Cypern som en suveræn stat</w:t>
      </w:r>
      <w:r w:rsidR="009B7EB2">
        <w:t>;</w:t>
      </w:r>
      <w:r w:rsidR="009B7EB2" w:rsidRPr="009B7EB2">
        <w:t xml:space="preserve"> er stærkt foruroliget over den nylige anholdelse af det republikanske folkepartis (CHP's) borgmester i Istanbul, Ekrem İmamoğlu, dagen før han blev valgt af CHP som dets kandidat ved det næste præsidentvalg, og beklager dybt, at den politiske opposition konstant udsættes for angreb</w:t>
      </w:r>
    </w:p>
    <w:p w14:paraId="6FFD5204" w14:textId="6F309BE2" w:rsidR="004E4A8E" w:rsidRPr="009F760A" w:rsidRDefault="00874618" w:rsidP="004E4A8E">
      <w:pPr>
        <w:pStyle w:val="NormalHanging12a"/>
        <w:ind w:left="993" w:hanging="284"/>
      </w:pPr>
      <w:r w:rsidRPr="009F760A">
        <w:t>–</w:t>
      </w:r>
      <w:r w:rsidR="004E4A8E" w:rsidRPr="009F760A">
        <w:tab/>
        <w:t>det presserende behov for, at EU og den tyrkiske regering bevæger sig i retning af en gensidig refleksionsproces, herunder en moderniseret associeringsaftale, som vil føre til et gensidigt fordelagtigt, mere dynamisk og strategisk partnerskab med streng konditionalitet med hensyn til overholdelse af retsstatsprincippet, grundlæggende rettigheder, international ret, herunder De Forenede Nationers havretskonvention, og gode naboskabsforbindelser i betragtning af den centrale rolle, som Tyrkiet spiller, f.eks. i Sortehavsregionen, og landets betydning som NATO-allieret</w:t>
      </w:r>
    </w:p>
    <w:p w14:paraId="64406215" w14:textId="36D91C39" w:rsidR="004E4A8E" w:rsidRPr="009F760A" w:rsidRDefault="00874618" w:rsidP="004E4A8E">
      <w:pPr>
        <w:pStyle w:val="NormalHanging12a"/>
        <w:ind w:left="993" w:hanging="284"/>
      </w:pPr>
      <w:r w:rsidRPr="009F760A">
        <w:t>–</w:t>
      </w:r>
      <w:r w:rsidR="004E4A8E" w:rsidRPr="009F760A">
        <w:tab/>
        <w:t>det forhold, at Tyrkiet gør en utilstrækkelig indsats for at tilpasse sig EU's FUSP, herunder med hensyn til sanktioner og bekæmpelse af omgåelse af sanktioner, samt med behovet for, at Tyrkiet arbejder tæt sammen med EU's sanktionsudsending; beklager den uacceptable karakter af den solidaritet og støtte, som Tyrkiets præsident offentligt har ydet terrororganisationen Hamas; gentager sine bekymringer over den løbende forværring af demokratiske standarder i Tyrkiet; minder om, at Tyrkiet også retter skytset mod EU med udenlandsk informationsmanipulation og indblanding, og at landets regering overvejer at indføre en lov om udenlandske agenter i lighed med Rusland; understreger, at der er uforenelighed mellem Tyrkiets kandidatur til BRIKS+ og EU's FUSP</w:t>
      </w:r>
    </w:p>
    <w:p w14:paraId="14FFAF80" w14:textId="10EC3BEE" w:rsidR="004E4A8E" w:rsidRPr="009F760A" w:rsidRDefault="00874618" w:rsidP="004E4A8E">
      <w:pPr>
        <w:pStyle w:val="NormalHanging12a"/>
        <w:ind w:left="993" w:hanging="284"/>
      </w:pPr>
      <w:r w:rsidRPr="009F760A">
        <w:t>–</w:t>
      </w:r>
      <w:r w:rsidR="004E4A8E" w:rsidRPr="009F760A">
        <w:tab/>
      </w:r>
      <w:r w:rsidR="009B7EB2" w:rsidRPr="009B7EB2">
        <w:t xml:space="preserve">bekymringen over det demokratiske tilbageskridt i Georgien, der kom til udtryk </w:t>
      </w:r>
      <w:r w:rsidR="009B7EB2" w:rsidRPr="009B7EB2">
        <w:lastRenderedPageBreak/>
        <w:t xml:space="preserve">ved, at det parlamentsvalg, der blev afholdt den 26. oktober 2024, hverken overholdt de internationale standarder for demokratiske valg eller landets tilsagn som medlem af OSCE om at afholde frie og retfærdige valg og således undergravede legitimiteten af resultatet og offentlighedens tillid til regeringen; understreger, at krænkelser af valgintegriteten er uforenelige med de standarder, der forventes af et EU-kandidatland; afviser enhver anerkendelse af parlamentsvalget og anser Georgien for at være en stat, der er erobret af partiet Den Georgiske Drøms illegitime regime, og afviser derfor alle afgørelser truffet af det organ, der har taget kontrol over landet, såsom den forhastede vedtagelse af ændringer af loven om administrative lovovertrædelser, straffeloven og loven om forsamlinger og demonstrationer; opfordrer indtrængende til, at der afholdes tidlige valg i et forbedret valgmiljø, der forvaltes af en uafhængig og upartisk valgadministration med udbredt international observation, for at sikre en virkelig fri, retfærdig og gennemsigtig proces, der vil repræsentere det georgiske folks vilje; er enigt i Det Europæiske Råds konklusioner af 27. juni 2024 om, at manglende ændring af den nuværende fremgangsmåde, herunder loven om "gennemsigtighed i udenlandsk indflydelse", loven om "familiens værdier og beskyttelse af mindreårige" samt ændringerne af valgloven, bringer Georgiens vej mod EU i fare og de facto fører til en standsning af tiltrædelsesprocessen; anerkender fortsat Salome Zourabichvili som Georgiens legitime præsident og repræsentant for det georgiske folk; roser hendes indsats for på fredelig vis at styre landet tilbage mod en demokratisk og europæisk udviklingsvej; opfordrer formanden for Det Europæiske Råd til at indbyde præsident Zourabichvili til at repræsentere Georgien på et kommende møde i Det Europæiske Råd og på det næste topmøde i det europæiske politiske fællesskab; gentager sin urokkelige støtte til det georgiske folks legitime europæiske ambitioner, som svigtes af den georgiske regering; kræver øjeblikkelig løsladelse af alle personer, der tilbageholdes for fredeligt at protestere mod Georgiens nylige afgørelser om en suspension af EU-integrationen; opfordrer til, at EU's finansieringsmekanismer tilpasses, så de tager højde for de behov, der opstår i et mere fjendtligt og antidemokratisk miljø; fremhæver, at der i lyset af den tiltagende undertrykkelse og suspenderingen af US Agency for International Developments (USAID's) aktiviteter er et akut behov for at støtte civilsamfundet, og opfordrer derfor indtrængende Kommissionen til hurtigst muligt at øge sin støtte; fastholder det synspunkt, at de foranstaltninger, som EU hidtil har truffet som reaktion på de åbenlyse demokratiske tilbageskridt og den manglende overholdelse af tidligere forpligtelser, endnu ikke fuldt ud afspejler alvoren af situationen i Georgien og den seneste udvikling; glæder sig over Rådets beslutning om at suspendere visumfri indrejse for georgiske diplomater og embedsmænd, men mener, at det er nødvendigt at begynde at overveje en eventuel suspension af Georgiens visumfri status på grundlag af manglende overholdelse af benchmarks vedrørende grundlæggende rettigheder; beklager dybt, at den ungarske og den slovakiske regering lægger hindringer i vejen for Rådets afgørelser om indførelse af sanktioner mod enkeltpersoner, der er ansvarlige for demokratiske tilbageskridt i Georgien; opfordrer Kommissionen til at anvende de indefrosne 120 mio. EUR, der oprindeligt var tiltænkt som støtte til de georgiske myndigheder, til at øge EU's støtte til Georgiens civilsamfund, navnlig den ikkestatslige sektor og uafhængige medier, som i stigende grad er under upassende pres fra det regerende politiske parti og myndighederne, samt til at støtte programmer, der støtter demokratisk modstandsdygtighed og valgintegritet; opfordrer kraftigt EU og dets medlemsstater til at indføre personlige sanktioner mod alle nøglepersoner i det politiske regime samt deres familiemedlemmer og regimets katalysatorer inden for forvaltning, </w:t>
      </w:r>
      <w:r w:rsidR="009B7EB2" w:rsidRPr="009B7EB2">
        <w:lastRenderedPageBreak/>
        <w:t>erhvervsliv, medier, retssystemet og retshåndhævende myndigheder; opfordrer EU til i samarbejde med andre jurisdiktioner, navnlig Det Forenede Kongerige, at indefryse Bidzina Ivanishvilis finansielle aktiver; opfordrer de enkelte medlemsstater og relevante regionale organisationer til at undgå aktivt at legitimere de selvudnævnte myndigheder fra Den Georgiske Drøm og opfordrer i denne forbindelse til, at Associeringsrådet EU-Georgien suspenderes</w:t>
      </w:r>
    </w:p>
    <w:p w14:paraId="2FFC7C3F" w14:textId="594A45EA" w:rsidR="004E4A8E" w:rsidRPr="009F760A" w:rsidRDefault="00874618" w:rsidP="004E4A8E">
      <w:pPr>
        <w:pStyle w:val="NormalHanging12a"/>
        <w:ind w:left="993" w:hanging="284"/>
      </w:pPr>
      <w:r w:rsidRPr="009F760A">
        <w:t>–</w:t>
      </w:r>
      <w:r w:rsidR="004E4A8E" w:rsidRPr="009F760A">
        <w:tab/>
        <w:t>iagttagelsen af, at Rusland og Kina er blevet betydningsfulde aktører i de sydlige nabolande, navnlig Nordafrika, mens Tyrkiet og Golfstaterne, primært Kongeriget Saudi-Arabien, Qatar og De Forenede Arabiske Emirater, er vokset som regionale magter; fremfører, at idéen om ét "naboskabsområde" for både Øst- og Sydeuropa udelader disses markante udfordringer; er endvidere enig i den strategiske relevans af det sydlige naboskab, dets stabilitet, økonomiske udvikling og velstand; minder om, at ustabiliteten og usikkerheden i det sydlige naboskab fortsat er en vedvarende udfordring for forvaltningen af EU's ydre grænser; understreger, at der foregår en indblanding i regionen fra strategiske konkurrenters side, og opfordrer kraftigt EU til at sende et solidt og klart politisk budskab til fordel for et fornyet samarbejde med lande i det sydlige naboskab; opfordrer NF/HR og Kommissionen til hurtigst muligt at frigive den nye Middelhavspagt og sikre tilstrækkelige ressourcer til en rettidig og effektiv gennemførelse heraf; gentager, at et dynamisk netværk af strategiske partnerskaber, der er udformet til de særlige behov og ambitioner i hvert af landene i det sydlige naboskab, bør stå i centrum for den nye pagt; mener i denne forbindelse, at EU bør foretage en grundig gennemgang af den nuværende incitamentsstruktur, der kombinerer tilsagnet om økonomisk bistand og handelsfordele til gengæld for politiske og økonomiske reformer, og sikre, at den er i overensstemmelse med bredere EU-målsætninger, herunder fremme af menneskerettigheder og demokratiske værdier; understreger, at EU, ud over prioritering af bilateralt samarbejde, også fortsat bør fremme regionalt samarbejde gennem eksisterende rammer såsom Middelhavsunionen, der udgør en værdifuld platform til at fremme dialog og fælles tiltag til at tackle fælles problemstillinger</w:t>
      </w:r>
    </w:p>
    <w:p w14:paraId="04373FF4" w14:textId="116909C9" w:rsidR="004E4A8E" w:rsidRPr="009F760A" w:rsidRDefault="00874618" w:rsidP="004E4A8E">
      <w:pPr>
        <w:pStyle w:val="NormalHanging12a"/>
        <w:ind w:left="993" w:hanging="284"/>
      </w:pPr>
      <w:r w:rsidRPr="009F760A">
        <w:t>–</w:t>
      </w:r>
      <w:r w:rsidR="004E4A8E" w:rsidRPr="009F760A">
        <w:tab/>
        <w:t xml:space="preserve">bekymringen over det russiske og kinesiske pres, der udøves i Centralasien; fremhæver, at der er behov for at øge EU's tilstedeværelse i regionen som en reaktion på dette i betragtning af dens geostrategiske betydning; fremhæver de centralasiatiske staters tøven med at støtte Ruslands krig mod Ukraine som følge af den indvirkning, som krigen har på regionen; fremhæver EU's interesse i øgede økonomiske forbindelser og forstærkede politiske bånd med landene i Centralasien, bl.a. for at tackle omgåelsen af sanktioner mod Rusland og Belarus; opfordrer myndighederne i de centralasiatiske stater, navnlig Kasakhstan, Kirgisistan og Usbekistan, til at arbejde tæt sammen med EU, navnlig med dets sanktionsudsending; opfordrer Kommissionen og medlemsstaterne til fortsat at fremme politiske og økonomiske reformer, der styrker retsstatsprincippet, demokratiet, god regeringsførelse og respekten for menneskerettighederne </w:t>
      </w:r>
    </w:p>
    <w:p w14:paraId="569D168E" w14:textId="05A92D74" w:rsidR="004E4A8E" w:rsidRPr="009F760A" w:rsidRDefault="00874618" w:rsidP="004E4A8E">
      <w:pPr>
        <w:pStyle w:val="NormalHanging12a"/>
        <w:ind w:left="993" w:hanging="284"/>
      </w:pPr>
      <w:r w:rsidRPr="009F760A">
        <w:t>–</w:t>
      </w:r>
      <w:r w:rsidR="004E4A8E" w:rsidRPr="009F760A">
        <w:tab/>
        <w:t xml:space="preserve">det faktum, at Arktis er af geostrategisk betydning med hensyn til udvidelse af mulige maritime ruter, adgang til naturressourcer, klimabevarelse og territoriale krav; understreger, at denne betydning fremhæves ikke blot af Ruslands militære ekspansion i Det Høje Nord, men også af Kinas stadig større tilstedeværelse og interesse i regionen og landets udnævnelse af sig selv til en "næsten arktisk stat"; understreger, at der er behov for at sikre frihed og sikkerhed i forbindelse med sejlads i en tid med voksende indflydelse og militarisering fra disse to staters side; understreger vigtigheden af at opretholde sikkerheden, stabiliteten og samarbejdet i </w:t>
      </w:r>
      <w:r w:rsidR="004E4A8E" w:rsidRPr="009F760A">
        <w:lastRenderedPageBreak/>
        <w:t>Arktis; understreger, at regionen skal forblive fri for militære spændinger og udnyttelse af naturressourcer, og at de oprindelige folks rettigheder skal respekteres; gentager, at der er behov for at medtage EU's politik for Arktis i FUSP og indgå i et effektivt samarbejde med NATO; opfordrer til, at Arktis regelmæssigt tages op på møder i Den Udenrigs- og Sikkerhedspolitiske Komité og i Rådet</w:t>
      </w:r>
    </w:p>
    <w:p w14:paraId="63773826" w14:textId="63207C40" w:rsidR="004E4A8E" w:rsidRPr="009F760A" w:rsidRDefault="00874618" w:rsidP="004E4A8E">
      <w:pPr>
        <w:pStyle w:val="NormalHanging12a"/>
        <w:ind w:left="993" w:hanging="284"/>
      </w:pPr>
      <w:r w:rsidRPr="009F760A">
        <w:t>–</w:t>
      </w:r>
      <w:r w:rsidR="004E4A8E" w:rsidRPr="009F760A">
        <w:tab/>
        <w:t xml:space="preserve">den strategiske betydning af Taiwanstrædet og den indopacifiske region i lyset af stigende kinesisk intimidering i regionen, herunder gennem militære og hybride midler, og understreger, at der er behov for at opskalere EU's tilstedeværelse i </w:t>
      </w:r>
      <w:r w:rsidR="00207651" w:rsidRPr="00207651">
        <w:t>regionen</w:t>
      </w:r>
      <w:r w:rsidR="004E4A8E" w:rsidRPr="009F760A">
        <w:t>; understreger EU's interesse i styrkede økonomiske relationer og intensivering af væsentlige bånd med ligesindede partnere i regionen, bl.a. Taiwan</w:t>
      </w:r>
      <w:r w:rsidR="00207651">
        <w:t xml:space="preserve">; </w:t>
      </w:r>
      <w:r w:rsidR="00207651" w:rsidRPr="00207651">
        <w:t>anmoder Kommissionen og medlemsstaterne om at følge en koordineret strategi for en beredskabsunion og foregribelse af mulige scenarier i Taiwanstrædet og samtidig regelmæssigt underrette Parlamentet og fremlægge en konsekvensanalyse</w:t>
      </w:r>
    </w:p>
    <w:p w14:paraId="6FB1FF97" w14:textId="5748F48D" w:rsidR="004E4A8E" w:rsidRPr="009F760A" w:rsidRDefault="00874618" w:rsidP="004E4A8E">
      <w:pPr>
        <w:pStyle w:val="NormalHanging12a"/>
        <w:ind w:left="993" w:hanging="284"/>
      </w:pPr>
      <w:r w:rsidRPr="009F760A">
        <w:t>–</w:t>
      </w:r>
      <w:r w:rsidR="004E4A8E" w:rsidRPr="009F760A">
        <w:tab/>
        <w:t>effektiviteten af gennemførelsen af en Golfstrategi, der tager form af et strategisk partnerskab med hvert enkelt Golfland, og hvor man samarbejder om at fremme global og regional sikkerhed og velstand</w:t>
      </w:r>
    </w:p>
    <w:p w14:paraId="1AA73261" w14:textId="24DAB47E" w:rsidR="004E4A8E" w:rsidRPr="009F760A" w:rsidRDefault="00874618" w:rsidP="004E4A8E">
      <w:pPr>
        <w:pStyle w:val="NormalHanging12a"/>
        <w:ind w:left="993" w:hanging="284"/>
      </w:pPr>
      <w:r w:rsidRPr="009F760A">
        <w:t>–</w:t>
      </w:r>
      <w:r w:rsidR="004E4A8E" w:rsidRPr="009F760A">
        <w:tab/>
        <w:t>fokus på at tilvejebringe ansvarliggørelse i cyberspace igennem operationalisering af EU's digitale diplomativærktøjskasse og med vægt på at styrke global cyberrobusthed; opfordrer til et større fokus på at opbygge cyberrobusthedskapacitet i nye demokratier, idet de står over for hybride udfordringer mod deres valgsystemer; opfordrer til at øge antallet af fælles cyberforsvarsøvelser mellem EU og NATO for at forbedre interoperabiliteten og beredskabet til at imødegå hybride trusler</w:t>
      </w:r>
    </w:p>
    <w:p w14:paraId="1B4463B8" w14:textId="754B157F" w:rsidR="004E4A8E" w:rsidRPr="009F760A" w:rsidRDefault="00874618" w:rsidP="004E4A8E">
      <w:pPr>
        <w:pStyle w:val="NormalHanging12a"/>
        <w:ind w:left="993" w:hanging="284"/>
      </w:pPr>
      <w:r w:rsidRPr="009F760A">
        <w:t>–</w:t>
      </w:r>
      <w:r w:rsidR="004E4A8E" w:rsidRPr="009F760A">
        <w:tab/>
        <w:t>tilsagnet om at placere demokratifremme i forreste linje af FUSP og sikre EU's proaktive rolle i den henseende ved at bygge på erfaringerne fra tidligere demokratistøtteaktiviteter, navnlig til støtte for civilsamfundet, menneskerettighedsforkæmpere, kritiske røster, den demokratiske opposition og medierne</w:t>
      </w:r>
    </w:p>
    <w:p w14:paraId="29B25154" w14:textId="0DD3B5AC" w:rsidR="004E4A8E" w:rsidRPr="009F760A" w:rsidRDefault="00874618" w:rsidP="004E4A8E">
      <w:pPr>
        <w:pStyle w:val="NormalHanging12a"/>
        <w:ind w:left="993" w:hanging="284"/>
      </w:pPr>
      <w:r w:rsidRPr="009F760A">
        <w:t>–</w:t>
      </w:r>
      <w:r w:rsidR="004E4A8E" w:rsidRPr="009F760A">
        <w:tab/>
        <w:t xml:space="preserve">behovet for at bekæmpe straffrihed og styrke indsatsen for ansvarliggørelse globalt, herunder igennem ICC, og for at kæmpe for international ret og humanitær folkeret; er fortsat dybt bekymret over tendensen med statslige embedsmænd, der undergraver beslutninger truffet af internationale institutioner og deres ansatte; </w:t>
      </w:r>
      <w:r w:rsidR="00652321" w:rsidRPr="00652321">
        <w:t xml:space="preserve">udtrykker sin dybeste bekymring over USA's sanktioner mod ICC, dens anklagere, dommere og personale, som udgør et alvorligt angreb på det internationale retssystem; opfordrer Kommissionen til hurtigst muligt at aktivere statutten om spærring og opfordrer medlemsstaterne til hurtigst muligt at øge deres diplomatiske indsats for at beskytte og bevare ICC som en uundværlig hjørnesten i det internationale retssystem; </w:t>
      </w:r>
      <w:r w:rsidR="004E4A8E" w:rsidRPr="009F760A">
        <w:t>beklager, at nogle ICC-medlemsstater ikke udsteder ICC-arrestordrer, hvorved de undergraver domstolens arbejde</w:t>
      </w:r>
    </w:p>
    <w:p w14:paraId="38E6C1EF" w14:textId="642870FA" w:rsidR="004E4A8E" w:rsidRPr="009F760A" w:rsidRDefault="00874618" w:rsidP="004E4A8E">
      <w:pPr>
        <w:pStyle w:val="NormalHanging12a"/>
        <w:ind w:left="993" w:hanging="284"/>
      </w:pPr>
      <w:r w:rsidRPr="009F760A">
        <w:t>–</w:t>
      </w:r>
      <w:r w:rsidR="004E4A8E" w:rsidRPr="009F760A">
        <w:tab/>
        <w:t xml:space="preserve">det presserende og løbende behov for at fremme ligestilling mellem kønnene og styrkelse af kvinders indflydelse i al EU's optræden udadtil og en udenrigspolitik, der tager hensyn til integration af ligestillingsaspektet i overensstemmelse med kønshandlingsplanen for 2021-2025, navnlig i lyset af den nuværende globale tilbagegang hvad angår kvinders rettigheder; pointerer, at det i det nuværende tempo vil tage yderligere 131 år at opnå kønsligestilling på verdensplan, hvilket understreger den kritiske vigtighed af at sætte tempoet i vejret for at beskytte og </w:t>
      </w:r>
      <w:r w:rsidR="004E4A8E" w:rsidRPr="009F760A">
        <w:lastRenderedPageBreak/>
        <w:t>fremme kvinders rettigheder og muligheder;</w:t>
      </w:r>
    </w:p>
    <w:p w14:paraId="07AAAD11" w14:textId="77777777" w:rsidR="004E4A8E" w:rsidRPr="009F760A" w:rsidRDefault="004E4A8E" w:rsidP="004E4A8E">
      <w:pPr>
        <w:pStyle w:val="NormalHanging12a"/>
        <w:rPr>
          <w:b/>
          <w:i/>
        </w:rPr>
      </w:pPr>
      <w:r w:rsidRPr="009F760A">
        <w:rPr>
          <w:b/>
          <w:i/>
        </w:rPr>
        <w:t>II. FUSP-mål i 2025</w:t>
      </w:r>
    </w:p>
    <w:p w14:paraId="39BE2457" w14:textId="4E1BFBA4" w:rsidR="004E4A8E" w:rsidRPr="009F760A" w:rsidRDefault="00AB1B4D" w:rsidP="004E4A8E">
      <w:pPr>
        <w:pStyle w:val="NormalHanging12a"/>
      </w:pPr>
      <w:r>
        <w:t>7</w:t>
      </w:r>
      <w:r w:rsidR="004E4A8E" w:rsidRPr="009F760A">
        <w:t>.</w:t>
      </w:r>
      <w:r w:rsidR="004E4A8E" w:rsidRPr="009F760A">
        <w:tab/>
        <w:t>udpeger i det følgende afsnit Parlamentets FUSP-mål i 2025 og supplerer således de synspunkter, der kommer til udtryk i NF/HR's årlige FUSP-rapport;</w:t>
      </w:r>
    </w:p>
    <w:p w14:paraId="4E84FC2A" w14:textId="77777777" w:rsidR="004E4A8E" w:rsidRPr="009F760A" w:rsidRDefault="004E4A8E" w:rsidP="004E4A8E">
      <w:pPr>
        <w:pStyle w:val="NormalHanging12a"/>
        <w:rPr>
          <w:i/>
          <w:u w:val="single"/>
        </w:rPr>
      </w:pPr>
      <w:r w:rsidRPr="009F760A">
        <w:rPr>
          <w:i/>
          <w:u w:val="single"/>
        </w:rPr>
        <w:t xml:space="preserve">Håndtering af de globale konsekvenser af Ruslands angrebskrig mod Ukraine </w:t>
      </w:r>
    </w:p>
    <w:p w14:paraId="5ECAB9F0" w14:textId="2291A4E3" w:rsidR="004E4A8E" w:rsidRPr="009F760A" w:rsidRDefault="00AB1B4D" w:rsidP="004E4A8E">
      <w:pPr>
        <w:pStyle w:val="NormalHanging12a"/>
      </w:pPr>
      <w:r>
        <w:t>8</w:t>
      </w:r>
      <w:r w:rsidR="004E4A8E" w:rsidRPr="009F760A">
        <w:t>.</w:t>
      </w:r>
      <w:r w:rsidR="004E4A8E" w:rsidRPr="009F760A">
        <w:tab/>
        <w:t>understreger, at Ruslands angrebskrig mod Ukraine og følgerne heraf, herunder økonomisk usikkerhed, manglende fødevaresikring og høje energipriser, i kombination med Den Russiske Føderations revisionistiske adfærd over for en række nabostater til Sortehavet destabiliserer og truer det østlige naboskab og det vestlige Balkan, hvilket igen underminerer den europæiske sikkerhedsorden; understreger i denne forbindelse behovet for at styrke EU's kapacitet til at støtte demokratiske institutioner i vores umiddelbare naboskabsområde;</w:t>
      </w:r>
      <w:r w:rsidR="00E723EA">
        <w:t xml:space="preserve"> </w:t>
      </w:r>
      <w:r w:rsidR="00E723EA" w:rsidRPr="00E723EA">
        <w:t>understreger også betydningen af at beskytte EU's østlige grænse, som bidrager til sikkerheden i hele EU; understreger, at East Shield og Baltic Defence Line bør være EU's flagskibsprojekter til fremme af afskrækkelse og overvindelse af potentielle trusler fra øst og vil etablere et integreret landgrænseforvaltningssystem, der har til formål at styrke EU's ydre landgrænser til Rusland og Belarus mod militære og hybride trusler;</w:t>
      </w:r>
    </w:p>
    <w:p w14:paraId="224C0E7F" w14:textId="486F57EE" w:rsidR="004E4A8E" w:rsidRPr="009F760A" w:rsidRDefault="00AB1B4D" w:rsidP="004E4A8E">
      <w:pPr>
        <w:pStyle w:val="NormalHanging12a"/>
      </w:pPr>
      <w:r>
        <w:t>9</w:t>
      </w:r>
      <w:r w:rsidR="004E4A8E" w:rsidRPr="009F760A">
        <w:t>.</w:t>
      </w:r>
      <w:r w:rsidR="004E4A8E" w:rsidRPr="009F760A">
        <w:tab/>
        <w:t>bemærker, at EU's reaktion på den russiske angrebskrig mod Ukraine bliver overvåget nøje af autokratiske aktører over hele verden og vil have en afgørende indflydelse på, hvordan deres adfærd udformes på den internationale scene; er bekymret over den stigende grad af samarbejde og koordinering blandt autokratiske regimer, herunder igennem deres materielle eller anden støtte til Ruslands angrebskrig mod Ukraine; opfordrer indtrængende Rådet til at indføre restriktive foranstaltninger over for lande, der leverer militære produkter såsom ubemandede luftfartøjer og jord til jord-missiler til Den Russiske Føderation til brug mod civile mål; minder om, at anvendelsen af sådanne militære produkter mod civile mål er en krigsforbrydelse; bemærker med alvorlig bekymring det stigende samarbejde mellem Den Russiske Føderation og Den Demokratiske Folkerepublik Korea (Nordkorea) og understreger, at Ruslands anvendelse af nordkoreanske tropper øger konfliktens omfang; understreger ligeledes det presserende behov for yderligere sanktioner mod Belarus, der afspejler alle sanktioner mod Rusland;</w:t>
      </w:r>
    </w:p>
    <w:p w14:paraId="5AD4DD9A" w14:textId="728D1987" w:rsidR="004E4A8E" w:rsidRDefault="00AB1B4D" w:rsidP="004E4A8E">
      <w:pPr>
        <w:pStyle w:val="NormalHanging12a"/>
      </w:pPr>
      <w:r>
        <w:t>10</w:t>
      </w:r>
      <w:r w:rsidR="004E4A8E" w:rsidRPr="009F760A">
        <w:t>.</w:t>
      </w:r>
      <w:r w:rsidR="004E4A8E" w:rsidRPr="009F760A">
        <w:tab/>
      </w:r>
      <w:r w:rsidR="00E723EA" w:rsidRPr="00E723EA">
        <w:t xml:space="preserve">er af den opfattelse, at EU og dets medlemsstater nu er Ukraines eneste strategiske allierede, og opfordrer derfor EU og dets medlemsstater til i meningsfuldt omfang at øge og fremskynde militær og økonomisk støtte, humanitær bistand og finansiel bistand på enhver mulig måde for at sætte Ukraine i en magtposition med henblik på at befri hele sit folk og afskrække fra enhver yderligere aggression fra Ruslands side efter en potentiel våbenhvileaftale; foreslår til dette formål at styrke Den Europæiske Unions militære bistandsmission til støtte for Ukraine, som har uddannet ca. 75 000 ukrainske tropper, og </w:t>
      </w:r>
      <w:r w:rsidR="004E4A8E" w:rsidRPr="009F760A">
        <w:t>understreger navnlig det presserende behov for at give Ukraine øget luftforsvarskapacitet og jord til jord-kapacitet til at forsvare sin kritiske energiinfrastruktur, og opfordrer medlemsstaterne til straks at ophæve restriktionerne for anvendelse af vestlige våbensystemer såsom langtrækkende Taurus-missiler, der leveres til Ukraine, mod legitime militære mål på russisk territorium, hvilket ville være i fuld overensstemmelse med Ukraines ret til selvforsvar i henhold til FN-pagten;</w:t>
      </w:r>
    </w:p>
    <w:p w14:paraId="57A8ED75" w14:textId="2A19489B" w:rsidR="00A915E0" w:rsidRDefault="00AB1B4D" w:rsidP="004E4A8E">
      <w:pPr>
        <w:pStyle w:val="NormalHanging12a"/>
      </w:pPr>
      <w:r>
        <w:t>11</w:t>
      </w:r>
      <w:r w:rsidR="00A915E0">
        <w:t>.</w:t>
      </w:r>
      <w:r w:rsidR="00A915E0">
        <w:tab/>
      </w:r>
      <w:r w:rsidR="00A915E0" w:rsidRPr="00A915E0">
        <w:t xml:space="preserve">bekræfter på ny sit tilsagn om at støtte Ukraines ønske om en retfærdig og varig fred og </w:t>
      </w:r>
      <w:r w:rsidR="00A915E0" w:rsidRPr="00A915E0">
        <w:lastRenderedPageBreak/>
        <w:t>sin støtte til fredsformlen og sejrsplanen, som Ukraines præsident, Volodymyr Zelenskyj, har fremlagt; minder om, at ethvert initiativ, navnlig diplomatiske løsninger, der har til formål at bringe den russiske angrebskrig til ophør og opnå en retfærdig og varig fred, skal være baseret på betingelser og input fra Ukraine og i sidste ende være accepteret af det ukrainske folk; udtrykker i denne forbindelse dyb bekymring over det åbenlyse skift i USA's holdning til Ruslands angrebskrig, som har omfattet åbenlys beskyldning af Ukraine for den igangværende krig, suspension af USA's militære bistand og forsøg på at tvinge Ukraine til at give afkald på sin legitime ret til selvforsvar; beklager kraftigt ethvert forsøg på at presse Ukraines lederskab til at overgive sig over for den russiske aggressor med det ene formål at bekendtgøre en såkaldt "fredsaftale" og mener, at det aktuelle forsøg fra den amerikanske regerings side på at forhandle en våbenhvile- og fredsaftale uden inddragelse af europæiske stater, som i sidste ende vil skulle håndtere konsekvenserne, er kontraproduktivt, da det styrker den russiske krigsførende part, hvilket viser, at aggressiv politik belønnes snarere end straffes; udtrykker forsigtig optimisme med hensyn til forslaget om en 30-dages våbenhvileaftale; minder om, at en våbenhvile kan være et effektivt redskab til at indstille fjendtlighederne, men kun hvis aggressoren fuldt ud overholder den; forventer derfor, at Rusland accepterer den og følger den ved at indstille alle angreb på Ukraine, dets militære stillinger, dets civilbefolkning, dets infrastruktur og dets territorium; konkluderer ikke desto mindre, at der i betragtning af Ruslands krænkelser af tidligere aftaler kun kan opnås fred ved at styrke Ukraine gennem solide sikkerhedsgarantier; er omvendt af den opfattelse, at enhver løsning, der underminerer Ukraines legitime forhåbninger, f.eks. dets ret til at vælge sine egne sikkerhedsordninger, eller som er uden troværdige sikkerhedsgarantier, vil medføre en risiko for, at Ukraine og andre europæiske lande udsættes for nye angreb fra Rusland; insisterer derfor på, at EU skal indgå sikkerhedsforpligtelser over for Ukraine som anbefalet i Kyiv Security Compact for at afskrække fra yderligere russisk aggression;</w:t>
      </w:r>
    </w:p>
    <w:p w14:paraId="15762191" w14:textId="27031FD4" w:rsidR="00A915E0" w:rsidRPr="009F760A" w:rsidRDefault="00AB1B4D" w:rsidP="004E4A8E">
      <w:pPr>
        <w:pStyle w:val="NormalHanging12a"/>
      </w:pPr>
      <w:r>
        <w:t>12</w:t>
      </w:r>
      <w:r w:rsidR="00A915E0">
        <w:t>.</w:t>
      </w:r>
      <w:r w:rsidR="00A915E0">
        <w:tab/>
      </w:r>
      <w:r w:rsidR="00A915E0" w:rsidRPr="00A915E0">
        <w:t>fremhæver, at den finansielle støtte, som EU og dets medlemsstater yder til Ukraine, overstiger ethvert andet enkelt lands støtte, hvilket afspejler EU's uforlignelige engagement i Ukraine; understreger, at EU's rolle i alle forhandlinger, der påvirker Europas sikkerhed, skal stå i et rimeligt forhold til dets politiske og økonomiske vægt; erklærer endnu en gang, at der ikke kan være forhandlinger, som har betydning for europæisk sikkerhed, uden at EU sidder med ved forhandlingsbordet;</w:t>
      </w:r>
    </w:p>
    <w:p w14:paraId="33463104" w14:textId="3DE8C05D" w:rsidR="004E4A8E" w:rsidRPr="009F760A" w:rsidRDefault="00AB1B4D" w:rsidP="004E4A8E">
      <w:pPr>
        <w:pStyle w:val="NormalHanging12a"/>
      </w:pPr>
      <w:r>
        <w:t>13</w:t>
      </w:r>
      <w:r w:rsidR="004E4A8E" w:rsidRPr="009F760A">
        <w:t>.</w:t>
      </w:r>
      <w:r w:rsidR="004E4A8E" w:rsidRPr="009F760A">
        <w:tab/>
      </w:r>
      <w:r w:rsidR="00A915E0" w:rsidRPr="00A915E0">
        <w:t xml:space="preserve">forventer, at medlemsstaterne fastholder sine sanktioner mod Rusland, så længe det er nødvendigt for at sikre en retfærdig og varig fred, og indtil der er opnået ansvarlighed; </w:t>
      </w:r>
      <w:r w:rsidR="004E4A8E" w:rsidRPr="009F760A">
        <w:t xml:space="preserve">opfordrer </w:t>
      </w:r>
      <w:r w:rsidR="00A915E0" w:rsidRPr="00A915E0">
        <w:t>i mellemtiden</w:t>
      </w:r>
      <w:r w:rsidR="00A915E0">
        <w:t xml:space="preserve"> </w:t>
      </w:r>
      <w:r w:rsidR="004E4A8E" w:rsidRPr="009F760A">
        <w:t xml:space="preserve">EU og medlemsstaterne til at styrke effektiviteten </w:t>
      </w:r>
      <w:r w:rsidR="00A915E0" w:rsidRPr="00A915E0">
        <w:t xml:space="preserve">og virkningerne </w:t>
      </w:r>
      <w:r w:rsidR="00A915E0">
        <w:t xml:space="preserve"> </w:t>
      </w:r>
      <w:r w:rsidR="004E4A8E" w:rsidRPr="009F760A">
        <w:t xml:space="preserve">af de sanktionspakker, der hidtil er vedtaget, og til at vedtage nye, så snart behovet opstår; </w:t>
      </w:r>
      <w:r w:rsidR="00A915E0" w:rsidRPr="00A915E0">
        <w:t xml:space="preserve">peger i denne forbindelse på sektorer af særlig betydning for den russiske økonomi, navnlig bankvæsen, metalindustrien, den nukleare sektor, den kemiske sektor og landbrugssektoren samt råstoffer såsom aluminium, stål, uran, titan og nikkel; opfordrer til et forbud mod eller målrettede toldsatser på russisk import til EU med henblik på fuldt ud at lukke strømmen af korn, kaliumchlorid og gødning; </w:t>
      </w:r>
      <w:r w:rsidR="004E4A8E" w:rsidRPr="009F760A">
        <w:t>minder om, at en konsekvent og ensartet anvendelse af restriktive foranstaltninger i alle medlemsstater er en forudsætning for troværdigheden og effektiviteten af EU's optræden udadtil; understreger derfor betydningen af at sætte en stopper for al EU-import af russisk energi</w:t>
      </w:r>
      <w:r w:rsidR="00A915E0">
        <w:t xml:space="preserve"> </w:t>
      </w:r>
      <w:r w:rsidR="00A915E0" w:rsidRPr="00A915E0">
        <w:t>og støtte G7's bestræbelser på at sænke olieprisloftet</w:t>
      </w:r>
      <w:r w:rsidR="004E4A8E" w:rsidRPr="009F760A">
        <w:t>; opfordrer Kommissionen til at pålægge alle europæiske virksomheder, der fortsat handler med Den Russiske Føderation, sanktioner samt til yderligere at vurdere og bekæmpe omgåelse af sanktioner;</w:t>
      </w:r>
    </w:p>
    <w:p w14:paraId="26D338A7" w14:textId="25287A0B" w:rsidR="004E4A8E" w:rsidRPr="009F760A" w:rsidRDefault="00AB1B4D" w:rsidP="004E4A8E">
      <w:pPr>
        <w:pStyle w:val="NormalHanging12a"/>
      </w:pPr>
      <w:r>
        <w:lastRenderedPageBreak/>
        <w:t>14</w:t>
      </w:r>
      <w:r w:rsidR="004E4A8E" w:rsidRPr="009F760A">
        <w:t>.</w:t>
      </w:r>
      <w:r w:rsidR="004E4A8E" w:rsidRPr="009F760A">
        <w:tab/>
        <w:t xml:space="preserve">opfordrer indtrængende til et proaktivt diplomati med lande uden for EU for at minimere omgåelsen af disse sanktioner; anmoder Kommissionen om kritisk at vurdere EU's bistand til lande uden for EU, som aktivt støtter Ruslands aggression mod Ukraine, og opfordrer indtrængende Rådet til at indføre restriktive foranstaltninger over for lande uden for EU, der muliggør Ruslands angrebskrig, hvad enten det sker ved at lette omgåelsen af sanktioner eller ved at yde direkte militær bistand, som i tilfældet </w:t>
      </w:r>
      <w:r w:rsidR="003E71D5" w:rsidRPr="003E71D5">
        <w:t xml:space="preserve">Belarus, </w:t>
      </w:r>
      <w:r w:rsidR="004E4A8E" w:rsidRPr="009F760A">
        <w:t>Iran eller Nordkorea; opfordrer alle lande til fuldt ud at tilpasse deres politikker til alle EU's sanktionspakker;</w:t>
      </w:r>
    </w:p>
    <w:p w14:paraId="10311C1D" w14:textId="1CDEABB3" w:rsidR="004E4A8E" w:rsidRPr="009F760A" w:rsidRDefault="00AB1B4D" w:rsidP="004E4A8E">
      <w:pPr>
        <w:pStyle w:val="NormalHanging12a"/>
      </w:pPr>
      <w:r>
        <w:t>15</w:t>
      </w:r>
      <w:r w:rsidR="004E4A8E" w:rsidRPr="009F760A">
        <w:t>.</w:t>
      </w:r>
      <w:r w:rsidR="004E4A8E" w:rsidRPr="009F760A">
        <w:tab/>
        <w:t>beklager det "grænseløse partnerskab" mellem Rusland og Kina, navnlig det fornyede tilsagn om at styrke deres militære bånd; glæder sig over Rådets beslutning om at pålægge kinesiske virksomheder sanktioner for deres støtte til Ruslands krig mod Ukraine;</w:t>
      </w:r>
    </w:p>
    <w:p w14:paraId="471035EA" w14:textId="256DB23E" w:rsidR="004E4A8E" w:rsidRPr="009F760A" w:rsidRDefault="00AB1B4D" w:rsidP="004E4A8E">
      <w:pPr>
        <w:pStyle w:val="NormalHanging12a"/>
      </w:pPr>
      <w:r>
        <w:t>16</w:t>
      </w:r>
      <w:r w:rsidR="004E4A8E" w:rsidRPr="009F760A">
        <w:t>.</w:t>
      </w:r>
      <w:r w:rsidR="004E4A8E" w:rsidRPr="009F760A">
        <w:tab/>
        <w:t>udtrykker sin alvorligste bekymring over Ruslands og Kinas overvågning og sabotage af kritisk maritim infrastruktur såsom kommunikationskabler på havbunden og offshoreenergianlæg; udtrykker navnlig sin stærke bekymring over skaderne på to undersøiske kommunikationskabler, hvoraf det ene forbinder Finland og Tyskland, og det andet forbinder Sverige med Litauen, inden for mindre end 24 timer den 17. og 18. november 2024, og over den skade, som et tankskib fra den russiske skyggeflåde forårsagede på EstLink2-elkablet, der forbinder Estland og Finland, den 25. december 2024; opfordrer EU til at indføre effektive kontrol- og overvågningssystemer og regionalt kystvagtsamarbejde for at sikre forebyggelse og hurtig opdagelse af angreb på sådanne infrastrukturer; glæder sig i denne forbindelse over NATO's iværksættelse af operation "Baltic Sentry" med deltagelse af flere medlemsstater for at forbedre sikkerheden for kritiske undersøiske infrastrukturer i Østersøen; opfordrer medlemsstaterne til fuldt ud at overholde forpligtelserne i den fælles erklæring fra New York om undersøiske kablers sikkerhed og modstandsdygtighed;</w:t>
      </w:r>
      <w:r w:rsidR="00906C33">
        <w:t xml:space="preserve"> </w:t>
      </w:r>
      <w:r w:rsidR="00906C33" w:rsidRPr="00906C33">
        <w:t>minder også om, at lignende sabotageaktiviteter rettet mod kritisk undervandsinfrastruktur finder sted i Taiwanstrædet;</w:t>
      </w:r>
    </w:p>
    <w:p w14:paraId="53F12062" w14:textId="7C5BC18C" w:rsidR="004E4A8E" w:rsidRPr="009F760A" w:rsidRDefault="00AB1B4D" w:rsidP="004E4A8E">
      <w:pPr>
        <w:pStyle w:val="NormalHanging12a"/>
      </w:pPr>
      <w:r>
        <w:t>17</w:t>
      </w:r>
      <w:r w:rsidR="004E4A8E" w:rsidRPr="009F760A">
        <w:t>.</w:t>
      </w:r>
      <w:r w:rsidR="004E4A8E" w:rsidRPr="009F760A">
        <w:tab/>
        <w:t>opfordrer EU og dets medlemsstater til at udøve streng kontrol med, forhindre og begrænse Ruslands "skyggeflåders" aktiviteter, som ud over at overtræde EU's og G7's sanktioner udgør en enorm økologisk trussel mod økosystemer som følge af deres tekniske mangler og hyppige nedbrud; opfordrer indtrængende Kommissionen til at træffe hurtige foranstaltninger inden for rammerne af EU's samarbejde med Den Internationale Søfartsorganisation og til at udforme mere målrettede sanktioner mod skyggeflåden i den næste sanktionspakke mod Rusland; præciserer, at sådanne sanktioner bør omfatte alle mulige individuelle skyggeflådefartøjer samt deres ejere, operatører, forvaltere osv.; anbefaler forbud mod salg af tankskibe til lande, der fremmer handel med Rusland; bemærker, at de flagstater, der bidrager til den russiske skyggeflåde, dermed også hjælper den russiske krigsindsats;</w:t>
      </w:r>
    </w:p>
    <w:p w14:paraId="6474294A" w14:textId="671D0D92" w:rsidR="004E4A8E" w:rsidRPr="009F760A" w:rsidRDefault="00AB1B4D" w:rsidP="004E4A8E">
      <w:pPr>
        <w:pStyle w:val="NormalHanging12a"/>
      </w:pPr>
      <w:r>
        <w:t>18</w:t>
      </w:r>
      <w:r w:rsidR="004E4A8E" w:rsidRPr="009F760A">
        <w:t>.</w:t>
      </w:r>
      <w:r w:rsidR="004E4A8E" w:rsidRPr="009F760A">
        <w:tab/>
        <w:t xml:space="preserve">gentager sin opfordring til, at der træffes de nødvendige foranstaltninger til at sende tvangsudviste og ulovligt adopterede ukrainske børn tilbage fra Rusland eller besat ukrainsk territorium; </w:t>
      </w:r>
    </w:p>
    <w:p w14:paraId="5760E5FB" w14:textId="609E81AA" w:rsidR="004E4A8E" w:rsidRPr="009F760A" w:rsidRDefault="00AB1B4D" w:rsidP="004E4A8E">
      <w:pPr>
        <w:pStyle w:val="NormalHanging12a"/>
      </w:pPr>
      <w:r>
        <w:t>19</w:t>
      </w:r>
      <w:r w:rsidR="004E4A8E" w:rsidRPr="009F760A">
        <w:t>.</w:t>
      </w:r>
      <w:r w:rsidR="004E4A8E" w:rsidRPr="009F760A">
        <w:tab/>
        <w:t xml:space="preserve">opfordrer Kommissionen og Rådet til at udpege den russiske statsfinansierede private militære Wagnergruppe som en terrororganisation; henleder opmærksomheden på det såkaldte "Afrikakorps", der blev oprettet efter Wagnergruppens tidligere leder Yevgeny Prigozhins død i august 2023, og som er placeret direkte under det russiske forsvarsministeriums kontrol i et forsøg på at samle Wagnergruppens elementer under </w:t>
      </w:r>
      <w:r w:rsidR="004E4A8E" w:rsidRPr="009F760A">
        <w:lastRenderedPageBreak/>
        <w:t>regeringens kontrol;</w:t>
      </w:r>
    </w:p>
    <w:p w14:paraId="7A5CB266" w14:textId="3BE1389D" w:rsidR="004E4A8E" w:rsidRPr="009F760A" w:rsidRDefault="00AB1B4D" w:rsidP="004E4A8E">
      <w:pPr>
        <w:pStyle w:val="NormalHanging12a"/>
      </w:pPr>
      <w:r>
        <w:t>20</w:t>
      </w:r>
      <w:r w:rsidR="004E4A8E" w:rsidRPr="009F760A">
        <w:t>.</w:t>
      </w:r>
      <w:r w:rsidR="004E4A8E" w:rsidRPr="009F760A">
        <w:tab/>
        <w:t>gentager, at Ukraine som offer for en angrebskrig har legitim ret til at forsvare sig selv i overensstemmelse med artikel 51 i FN-pagten; opfordrer NF/HR, Kommissionen, Rådet og de berørte medlemsstater til at muliggøre effektive ukrainske modforanstaltninger mod Rusland; minder om, at Rusland har overtrådt den internationale ret, og at en fuld beslaglæggelse af de indefrosne russiske aktiver er et passende skridt i retning af at håndhæve Ruslands forpligtelse til at overholde den internationale ret og til at kompensere Ukraine og andre skadelidte parter for de tab, der er forårsaget af Ruslands angrebskrig; opfordrer Kommissionen til at skabe en solid retlig ordning for konfiskation af de russiske statsaktiver, som EU har indefrosset; minder Kommissionen om, at et sådant forslag ikke fjerner behovet for fortsat finansiel, politisk, militær og humanitær støtte; opfordrer til, at alle aktiver tilhørende den russiske stat, russiske lokale myndigheder, russiske statsejede virksomheder og enkeltpersoner opføres på EU's sanktionsliste, og til, at disse aktiver anvendes til at kompensere Ukraine for den skade, som denne krig har forårsaget;</w:t>
      </w:r>
    </w:p>
    <w:p w14:paraId="5134EC37" w14:textId="4A45C16A" w:rsidR="004E4A8E" w:rsidRPr="009F760A" w:rsidRDefault="00AB1B4D" w:rsidP="004E4A8E">
      <w:pPr>
        <w:pStyle w:val="NormalHanging12a"/>
      </w:pPr>
      <w:r>
        <w:t>21</w:t>
      </w:r>
      <w:r w:rsidR="004E4A8E" w:rsidRPr="009F760A">
        <w:t>.</w:t>
      </w:r>
      <w:r w:rsidR="004E4A8E" w:rsidRPr="009F760A">
        <w:tab/>
      </w:r>
      <w:r w:rsidR="00F22DEF" w:rsidRPr="00F22DEF">
        <w:t xml:space="preserve">henviser til den seneste skades- og behovshastevurdering, hvori det anslås, at der vil blive behov for mindst 506 mia. EUR i løbet af det næste årti til Ukraines genopretning og genopbygning; glæder sig over EU's Ukrainefacilitet, som har et budget på næsten 50 mia. EUR, og EU's lånesamarbejdsmekanisme, som tilbyder lån til Ukraine på op til 45 mia. EUR, og som </w:t>
      </w:r>
      <w:r w:rsidR="004E4A8E" w:rsidRPr="009F760A">
        <w:t xml:space="preserve">imødekommer Parlamentets opfordring og bygger på Rådets afgørelse om at kanalisere ekstraordinære indtægter fra indefrosne russiske statsaktiver til bistandsfonden for Ukraine og Ukrainefaciliteten samt på G7's beslutning om at tilbyde Ukraine et lån på 50 mia. USD mod sikkerhed i indefrosne russiske statsaktiver; tilkendegiver sin overbevisning om, at den nye lånesamarbejdsmekanisme for Ukraine udgør et væsentligt skridt hen imod at gennemtvinge Ruslands økonomiske erstatningspligt for de massive skader, som landet fortsat forårsager i Ukraine; </w:t>
      </w:r>
    </w:p>
    <w:p w14:paraId="7656C8E1" w14:textId="7119EC4D" w:rsidR="004E4A8E" w:rsidRPr="009F760A" w:rsidRDefault="00AB1B4D" w:rsidP="004E4A8E">
      <w:pPr>
        <w:pStyle w:val="NormalHanging12a"/>
      </w:pPr>
      <w:r>
        <w:t>22</w:t>
      </w:r>
      <w:r w:rsidR="004E4A8E" w:rsidRPr="009F760A">
        <w:t>.</w:t>
      </w:r>
      <w:r w:rsidR="004E4A8E" w:rsidRPr="009F760A">
        <w:tab/>
        <w:t>fordømmer den ungarske regerings misbrug af sin vetoret til at forsinke eller effektivt blokere EU's vigtige bistand til Ukraine</w:t>
      </w:r>
      <w:r w:rsidR="00AD6B48" w:rsidRPr="00AD6B48">
        <w:t>, hvilket er et forsøg på at undergave EU's fælles holdning til Ukraine; opfordrer NF/HR og Rådets formand samt medlemsstaterne til at anvende alle tilgængelige værktøjer til at forhindre den ungarske regering i at blokere yderligere</w:t>
      </w:r>
      <w:r w:rsidR="004E4A8E" w:rsidRPr="009F760A">
        <w:t xml:space="preserve">; </w:t>
      </w:r>
    </w:p>
    <w:p w14:paraId="7A6543D7" w14:textId="0A8B3C4A" w:rsidR="004E4A8E" w:rsidRPr="009F760A" w:rsidRDefault="00AB1B4D" w:rsidP="004E4A8E">
      <w:pPr>
        <w:pStyle w:val="NormalHanging12a"/>
      </w:pPr>
      <w:r>
        <w:t>23</w:t>
      </w:r>
      <w:r w:rsidR="004E4A8E" w:rsidRPr="009F760A">
        <w:t>.</w:t>
      </w:r>
      <w:r w:rsidR="004E4A8E" w:rsidRPr="009F760A">
        <w:tab/>
        <w:t>opfordrer indtrængende NF/HR og de øvrige medlemsstater til at imødegå den ungarske regerings blokade af den europæiske fredsfacilitets finansierings- og udbetalingsafgørelse</w:t>
      </w:r>
      <w:r w:rsidR="00A3098D" w:rsidRPr="00A3098D">
        <w:t>, dvs. den på 450 mio. EUR til Polen, som er kompensation for udstyr leveret til Ukraine; opfordrer dem indtrængende</w:t>
      </w:r>
      <w:r w:rsidR="004E4A8E" w:rsidRPr="009F760A">
        <w:t xml:space="preserve"> til at garantere, at EU's eneste instrument til støtte for militær bistand til Ukraine igen bliver fuldt funktionsdygtigt; opfordrer NF/HR til at fremsætte forslag til forebyggelse af sådanne blokader i fremtiden eller til at finde en alternativ mekanisme, der er fuldt ud pålidelig;</w:t>
      </w:r>
    </w:p>
    <w:p w14:paraId="19E882B9" w14:textId="1A948F2B" w:rsidR="004E4A8E" w:rsidRPr="009F760A" w:rsidRDefault="00AB1B4D" w:rsidP="004E4A8E">
      <w:pPr>
        <w:pStyle w:val="NormalHanging12a"/>
      </w:pPr>
      <w:r>
        <w:t>24</w:t>
      </w:r>
      <w:r w:rsidR="004E4A8E" w:rsidRPr="009F760A">
        <w:t>.</w:t>
      </w:r>
      <w:r w:rsidR="004E4A8E" w:rsidRPr="009F760A">
        <w:tab/>
        <w:t xml:space="preserve">understreger nødvendigheden af, at EU og dets medlemsstater stiller sig i spidsen for oprettelsen af en særlig international domstol til </w:t>
      </w:r>
      <w:r w:rsidR="00A3098D" w:rsidRPr="00A3098D">
        <w:t xml:space="preserve">efterforskning og </w:t>
      </w:r>
      <w:r w:rsidR="004E4A8E" w:rsidRPr="009F760A">
        <w:t xml:space="preserve">retsforfølgning af den aggressionsforbrydelse, som er begået mod Ukraine af Den Russiske Føderations politiske og militære ledelse og deres forbundsfæller; </w:t>
      </w:r>
      <w:r w:rsidR="00A3098D" w:rsidRPr="00A3098D">
        <w:t xml:space="preserve">fordømmer russiske styrkers henrettelse af ukrainske krigsfanger; understreger, at ingen fred vil være holdbar uden retfærdighed; glæder sig over oprettelsen af Det Internationale Center for Retsforfølgning af Aggressionsforbrydelsen mod Ukraine i Haag; </w:t>
      </w:r>
      <w:r w:rsidR="004E4A8E" w:rsidRPr="009F760A">
        <w:t>udtrykker støtte til alle Den Internationale Straffedomstols og Den Internationale Domstols aktiviteter i forbindelse med retsforfølgelse af forbrydelser begået på ukrainsk område;</w:t>
      </w:r>
      <w:r w:rsidR="00A3098D">
        <w:t xml:space="preserve"> </w:t>
      </w:r>
      <w:r w:rsidR="00A3098D" w:rsidRPr="00A3098D">
        <w:t xml:space="preserve">glæder sig </w:t>
      </w:r>
      <w:r w:rsidR="00A3098D" w:rsidRPr="00A3098D">
        <w:lastRenderedPageBreak/>
        <w:t>over Ukraines ratifikation af Romstatutten for ICC, som gjorde det muligt for landet at blive part i Den Internationale Straffedomstol fra januar 2025;</w:t>
      </w:r>
    </w:p>
    <w:p w14:paraId="07EBB12D" w14:textId="50452582" w:rsidR="004E4A8E" w:rsidRPr="009F760A" w:rsidRDefault="00AB1B4D" w:rsidP="004E4A8E">
      <w:pPr>
        <w:pStyle w:val="NormalHanging12a"/>
      </w:pPr>
      <w:r>
        <w:t>25</w:t>
      </w:r>
      <w:r w:rsidR="004E4A8E" w:rsidRPr="009F760A">
        <w:t>.</w:t>
      </w:r>
      <w:r w:rsidR="004E4A8E" w:rsidRPr="009F760A">
        <w:tab/>
        <w:t xml:space="preserve">roser Ukraine for landets fremskridt inden for rammerne af screeningsprocessen for EU-tiltrædelse </w:t>
      </w:r>
      <w:r w:rsidR="00247575" w:rsidRPr="00247575">
        <w:t xml:space="preserve">på trods af krigsforholdene </w:t>
      </w:r>
      <w:r w:rsidR="004E4A8E" w:rsidRPr="009F760A">
        <w:t>og opfordrer Ukraine til at fortsætte sine fremskridt hen imod EU-medlemskab ved hjælp af alle de ressourcer, landet har fået stillet til rådighed under Ukrainefaciliteten, og til at sikre en meningsfuld inddragelse af dets civilsamfund i gennemførelses- og overvågningsfaserne; minder om, at EU-tiltrædelse er en strengt meritbaseret proces, der kræver opfyldelse af Københavnskriterierne for EU-medlemskab, herunder kriterierne vedrørende demokrati, retsstatsprincippet og grundlæggende værdier samt bekæmpelse af korruption;</w:t>
      </w:r>
    </w:p>
    <w:p w14:paraId="77F8C723" w14:textId="07BCD19C" w:rsidR="004E4A8E" w:rsidRPr="009F760A" w:rsidRDefault="00AB1B4D" w:rsidP="004E4A8E">
      <w:pPr>
        <w:pStyle w:val="NormalHanging12a"/>
      </w:pPr>
      <w:r>
        <w:t>26</w:t>
      </w:r>
      <w:r w:rsidR="004E4A8E" w:rsidRPr="009F760A">
        <w:t>.</w:t>
      </w:r>
      <w:r w:rsidR="004E4A8E" w:rsidRPr="009F760A">
        <w:tab/>
        <w:t xml:space="preserve">mener, at både Ukraines og Moldovas tiltrædelse af EU vil være en gensidigt fordelagtig investering i et forenet og stærkt Europa; </w:t>
      </w:r>
      <w:r w:rsidR="009D3CA6" w:rsidRPr="009D3CA6">
        <w:t xml:space="preserve">glæder sig over vækstplanen for Republikken Moldova og vedtagelsen af reform- og vækstfaciliteten </w:t>
      </w:r>
      <w:r w:rsidR="004E4A8E" w:rsidRPr="009F760A">
        <w:t>for Republikken Moldova</w:t>
      </w:r>
      <w:r w:rsidR="009D3CA6">
        <w:t xml:space="preserve"> </w:t>
      </w:r>
      <w:r w:rsidR="009D3CA6" w:rsidRPr="009D3CA6">
        <w:t>til en værdi af 1,9 mia. EUR, som</w:t>
      </w:r>
      <w:r w:rsidR="004E4A8E" w:rsidRPr="009F760A">
        <w:t xml:space="preserve"> har til formål at fremskynde EU-relaterede reformer; </w:t>
      </w:r>
      <w:r w:rsidR="009D3CA6" w:rsidRPr="009D3CA6">
        <w:t>udtrykker bekymring over de negative konsekvenser af suspensionen af USAID for Moldova; mener, at denne mangel så vidt muligt bør udlignes af EU-kilder, Den Eu</w:t>
      </w:r>
      <w:r w:rsidR="009D3CA6">
        <w:t>ropæiske Demokratifond og andre</w:t>
      </w:r>
      <w:r w:rsidR="004E4A8E" w:rsidRPr="009F760A">
        <w:t>; opfordrer NF/HR til yderligere at styrke FUSP-partnerskabet med Ukraine og Moldova og glæder sig i denne forbindelse over undertegnelsen af sikkerheds- og forsvarspartnerskabet mellem EU og Moldova i maj 2024; minder om, at Republikken Moldovas sikkerhed er uløseligt forbundet med Ukraines sikkerhed; understreger derfor behovet for at øge de finansielle bidrag fra den europæiske fredsfacilitet for yderligere at styrke Moldovas forsvarskapacitet;</w:t>
      </w:r>
    </w:p>
    <w:p w14:paraId="1DFC87F9" w14:textId="71C1F7EE" w:rsidR="004E4A8E" w:rsidRPr="009F760A" w:rsidRDefault="00AB1B4D" w:rsidP="004E4A8E">
      <w:pPr>
        <w:pStyle w:val="NormalHanging12a"/>
      </w:pPr>
      <w:r>
        <w:t>27</w:t>
      </w:r>
      <w:r w:rsidR="004E4A8E" w:rsidRPr="009F760A">
        <w:t>.</w:t>
      </w:r>
      <w:r w:rsidR="004E4A8E" w:rsidRPr="009F760A">
        <w:tab/>
        <w:t>roser Moldova for at have gennemført præsidentvalget og folkeafstemningen professionelt og med en ekstraordinær pligtfølelse og dedikation på trods af den fortsatte massive indblanding fra Rusland og dets stedfortrædere; glæder sig over resultatet af den moldoviske folkeafstemning i 2024 om medlemskab af Den Europæiske Union, som forankrede tilsagnet om at tiltræde EU i landets forfatning; udtrykker sin støtte til Moldova i forsvaret af landets demokrati; fordømmer på det kraftigste Den Russiske Føderations, prorussiske oligarkers og russisksponsorerede lokale stedfortræderes konstante og koordinerede forsøg på at destabilisere Republikken Moldova, så splittelse i det moldoviske samfund og afspore landets proeuropæiske retning gennem hybride angreb, anvendelse af energiforsyninger som våben, desinformation, bombetrusler og iscenesatte protester samt truslen om eller brugen af vold; påskønner Den Europæiske Unions partnerskabsmission i Moldova, som har øget de moldoviske myndigheders kapacitet med henblik på at imødegå russisk indblanding; opfordrer Rådet, Kommissionen og EU-Udenrigstjenesten til at stille de yderligere ressourcer til rådighed, herunder menneskelige og finansielle ressourcer, udstyr og de civile eksperter, der er nødvendige for at fortsætte gennemførelsen af missionens mandat efter maj 2025;</w:t>
      </w:r>
    </w:p>
    <w:p w14:paraId="7BF9117A" w14:textId="39515062" w:rsidR="004E4A8E" w:rsidRPr="009F760A" w:rsidRDefault="00AB1B4D" w:rsidP="004E4A8E">
      <w:pPr>
        <w:pStyle w:val="NormalHanging12a"/>
      </w:pPr>
      <w:r>
        <w:t>28</w:t>
      </w:r>
      <w:r w:rsidR="004E4A8E" w:rsidRPr="009F760A">
        <w:t>.</w:t>
      </w:r>
      <w:r w:rsidR="004E4A8E" w:rsidRPr="009F760A">
        <w:tab/>
        <w:t xml:space="preserve">understreger betydningen af EPF med henblik på at styrke EU's evne til at forhindre konflikter, opbygge fred og styrke international sikkerhed; </w:t>
      </w:r>
    </w:p>
    <w:p w14:paraId="1D20741A" w14:textId="7F85A13B" w:rsidR="004E4A8E" w:rsidRPr="009F760A" w:rsidRDefault="00AB1B4D" w:rsidP="004E4A8E">
      <w:pPr>
        <w:pStyle w:val="NormalHanging12a"/>
      </w:pPr>
      <w:r>
        <w:t>29</w:t>
      </w:r>
      <w:r w:rsidR="004E4A8E" w:rsidRPr="009F760A">
        <w:t>.</w:t>
      </w:r>
      <w:r w:rsidR="004E4A8E" w:rsidRPr="009F760A">
        <w:tab/>
        <w:t xml:space="preserve">glæder sig over oprettelsen af den rådgivende gruppe for Belarus-EU-anliggender, der skal muliggøre en fortsat dialog mellem EU og belarusiske demokratiske kræfter; gentager sin støtte til løsladelsen af alle politiske fanger og de modige aktivister og journalister i Belarus, som fortsætter med at yde modstand mod den illegitime leders regime på trods af den igangværende undertrykkelse, navnlig afvisningen af at forny pas for belarusere i udlandet, og som har udtrykt ønske om demokratisk udvikling i Belarus </w:t>
      </w:r>
      <w:r w:rsidR="004E4A8E" w:rsidRPr="009F760A">
        <w:lastRenderedPageBreak/>
        <w:t>og medlemskab af EU, bl.a. på konferencen om det nye Belarus, der blev afholdt i Warszawa i august 2023; understreger, at sådanne bestræbelser viser civilsamfundets grundlæggende rolle i styrkelsen af demokratiet;</w:t>
      </w:r>
    </w:p>
    <w:p w14:paraId="0112C9D0" w14:textId="77777777" w:rsidR="004E4A8E" w:rsidRPr="009F760A" w:rsidRDefault="004E4A8E" w:rsidP="004E4A8E">
      <w:pPr>
        <w:pStyle w:val="NormalHanging12a"/>
        <w:rPr>
          <w:i/>
          <w:u w:val="single"/>
        </w:rPr>
      </w:pPr>
      <w:r w:rsidRPr="009F760A">
        <w:rPr>
          <w:i/>
          <w:u w:val="single"/>
        </w:rPr>
        <w:t>Løsning af konflikter og støtte til fred i Mellemøsten</w:t>
      </w:r>
    </w:p>
    <w:p w14:paraId="48D4E529" w14:textId="44874846" w:rsidR="004E4A8E" w:rsidRDefault="00AB1B4D" w:rsidP="004E4A8E">
      <w:pPr>
        <w:pStyle w:val="NormalHanging12a"/>
      </w:pPr>
      <w:r>
        <w:t>30</w:t>
      </w:r>
      <w:r w:rsidR="004E4A8E" w:rsidRPr="009F760A">
        <w:t>.</w:t>
      </w:r>
      <w:r w:rsidR="004E4A8E" w:rsidRPr="009F760A">
        <w:tab/>
        <w:t>bekræfter Israels ret til at forsvare sig som nedfældet i og begrænset af den internationale ret; minder om, at Israel er forpligtet til at imødegå risikoen for hungersnød og udbruddet af sygdomsepidemier i Gaza; minder om, at Israel også er forpligtet til at beskytte civilbefolkningen, og at militære operationer skal være forholdsmæssige og i overensstemmelse med den humanitære internationale ret; udtrykker bekymring over de israelske forsvarsstyrkers militære aktion i Gazastriben og på Vestbredden og i Libanon; opfordrer til omgående og permanent våbenhvile, herunder betingelsesløs løsladelse af alle gidsler;</w:t>
      </w:r>
    </w:p>
    <w:p w14:paraId="61E60D8C" w14:textId="14EC7861" w:rsidR="00725BBE" w:rsidRDefault="00AB1B4D" w:rsidP="004E4A8E">
      <w:pPr>
        <w:pStyle w:val="NormalHanging12a"/>
      </w:pPr>
      <w:r>
        <w:t>31</w:t>
      </w:r>
      <w:r w:rsidR="00725BBE" w:rsidRPr="00725BBE">
        <w:t>.</w:t>
      </w:r>
      <w:r w:rsidR="00725BBE" w:rsidRPr="00725BBE">
        <w:tab/>
        <w:t>beklager dybt sammenbruddet i våbenhvilen i Gaza, som har forårsaget et stort antal civile ofre i de seneste luftangreb; beklager i denne sammenhæng, at Hamas nægter at udlevere de tilbageværende gidsler. opfordrer til en øjeblikkelig tilbagevenden til den fulde gennemførelse af aftalen om våbenhvile og løsladelse af gidsler og understreger behovet for fremskridt hen imod dens anden fase; roser bestræbelserne fra mæglere, herunder USA, Egypten og Qatar, hvis indsats var afgørende for aftalen om våbenhvile og løsladelse af gidsler; er rede til at deltage i drøftelser om fremtidige konkrete bidrag til støtte for en våbenhvile; mener, at det er afgørende, at alle forpligtelser i henhold til aftalen overholdes, idet det sikres, at alle gidsler løslades, og at volden bringes varigt til ophør, samt at der gives uhindret adgang til og vedholdende fordeling af humanitær og lægelig bistand til Gazastriben; glæder sig med henblik herpå over omfordelingen af EU BAM Rafah den 31. januar 2025 for at støtte Den Palæstinensiske Myndighed i at lette grænseovergange med henblik på medicinsk evakuering; udtrykker sin utilfredshed med den nylige lukning af grænseovergangen i Rafah indtil andet fastsættes, som følge af militære operationer i Gaza, der blev indledt den 18. marts 2025; opfordrer alle parter til fuldt ud at leve op til deres forpligtelser og til at prioritere beskyttelsen af civile; opfordrer indtrængende alle europæiske og internationale aktører til aktivt at føre tilsyn med gennemførelsen af våbenhvilen og drage dem, der ikke overholder våbenhvilen, til ansvar;</w:t>
      </w:r>
    </w:p>
    <w:p w14:paraId="736E98DF" w14:textId="4ED2D7A3" w:rsidR="00725BBE" w:rsidRPr="009F760A" w:rsidRDefault="00AB1B4D" w:rsidP="004E4A8E">
      <w:pPr>
        <w:pStyle w:val="NormalHanging12a"/>
      </w:pPr>
      <w:r>
        <w:t>32</w:t>
      </w:r>
      <w:r w:rsidR="00725BBE">
        <w:t>.</w:t>
      </w:r>
      <w:r w:rsidR="00725BBE">
        <w:tab/>
      </w:r>
      <w:r w:rsidR="00725BBE" w:rsidRPr="00725BBE">
        <w:t>mener, at associeringsrådet med Israel, der blev afholdt i Bruxelles den 24. februar 2025, var et første skridt i retning af at genoptage en ærlig og åben drøftelse med den israelske udenrigsminister, hvilket vil kræve opfølgning; anerkender værdien af at samarbejde med Israel for at styrke EU's rolle i Mellemøsten, men understreger samtidig, at partnerskabet skal være baseret på fuld respekt for rettigheder og værdier; minder om, at overholdelse af artikel 2 i associeringsaftalen er et afgørende element i partnerskabet, og opfordrer den israelske regering til fortsat at overvåge og vurdere dets gennemførelse; glæder sig over den forventede dialog på højt plan med den palæstinensiske premierminister i april 2025;</w:t>
      </w:r>
    </w:p>
    <w:p w14:paraId="2A68435E" w14:textId="09A75D1D" w:rsidR="004E4A8E" w:rsidRPr="009F760A" w:rsidRDefault="00AB1B4D" w:rsidP="004E4A8E">
      <w:pPr>
        <w:pStyle w:val="NormalHanging12a"/>
      </w:pPr>
      <w:r>
        <w:t>33</w:t>
      </w:r>
      <w:r w:rsidR="004E4A8E" w:rsidRPr="009F760A">
        <w:t>.</w:t>
      </w:r>
      <w:r w:rsidR="004E4A8E" w:rsidRPr="009F760A">
        <w:tab/>
        <w:t xml:space="preserve">gentager sin urokkelige støtte til en forhandlet tostatsløsning på grundlag af grænsedragningen fra 1967 med to suveræne, demokratiske stater som fredelige naboer og Jerusalem som hovedstad for begge, hvilket fortsat er den mest holdbare vej til varig fred og sikkerhed for både israelere og palæstinensere; opfordrer NF/HR til at støtte alle bestræbelser med henblik herpå og navnlig den globale alliance for gennemførelse af tostatsløsningen; opfordrer alle parter til at genoptage bestræbelserne på at fjerne hindringerne for denne løsning og til at indgå i en dialog med henblik på at opnå </w:t>
      </w:r>
      <w:r w:rsidR="004E4A8E" w:rsidRPr="009F760A">
        <w:lastRenderedPageBreak/>
        <w:t xml:space="preserve">gensidig forståelse og respekt; </w:t>
      </w:r>
      <w:r w:rsidR="00E2699C" w:rsidRPr="00E2699C">
        <w:t xml:space="preserve">glæder sig over udsigten til, at Den Palæstinensiske Myndighed vender tilbage til Gaza; </w:t>
      </w:r>
      <w:r w:rsidR="004E4A8E" w:rsidRPr="009F760A">
        <w:t xml:space="preserve">beklager, at Den Palæstinensiske Myndighed ikke har afholdt valg siden 2005, hvilket hæmmer dens troværdighed, og forventer, at der snart afholdes valg; er overbevist om, at der ikke kan være udsigt til fred, sikkerhed, stabilitet og velstand for Gaza og til forsoning mellem israelere og palæstinensere, så længe Hamas eller andre terrorgrupper spiller en rolle i Gazastriben; opfordrer derfor EU's særlige repræsentant for fredsprocessen i Mellemøsten til at støtte bestræbelserne på at modvirke yderligere radikalisering af unge i regionen; fordømmer accelerationen i den ulovlige israelske bosættelse på palæstinensisk område, som er en overtrædelse af den internationale ret, undergraver bestræbelserne på at opnå en tostatsløsning og udgør en betydelig hindring for varig fred; udtrykker bekymring over den stigende vold begået af israelske styrker og ekstremistiske bosættere på Vestbredden og i Østjerusalem og glæder sig over de sanktioner, der er vedtaget mod ekstremistiske israelske bosættere; </w:t>
      </w:r>
      <w:r w:rsidR="00E2699C" w:rsidRPr="00E2699C">
        <w:t xml:space="preserve">gentager Abraham-aftalernes vigtige rolle som en ramme for at opnå varig fred, stabilitet og velstand i Mellemøsten; glæder sig over den arabiske genopretnings- og genopbygningsplan, der blev fremlagt på topmødet i Kairo den 4. marts 2025, og som udgør et seriøst grundlag for drøftelserne om Gazastribens fremtid; opfordrer NF/HR og kommissæren med ansvar for Middelhavsområdet til at samarbejde konstruktivt med arabiske partnere for at tilvejebringe troværdige løsninger for genopbygning, regeringsførelse og sikkerhed i Gaza; afviser på den anden side "Trump-Gaza" -forslaget, som ignorerer de ustabile sikkerhedsforhold i hele Mellemøsten; er af den opfattelse, at omfanget af ødelæggelser og menneskelige lidelser i Gaza kræver et omfattende internationalt engagement med USA sammen med EU, FN, de arabiske stater og andre internationale partnere, der supplerer </w:t>
      </w:r>
      <w:r w:rsidR="004E4A8E" w:rsidRPr="009F760A">
        <w:t>hinandens bestræbelser for at få forhandlingerne genoptaget og sikre, at de bliver konstruktive; er engageret i den fremtidige indsats for normalisering mellem Israel og de arabiske stater i regionen;</w:t>
      </w:r>
    </w:p>
    <w:p w14:paraId="7CED3A8C" w14:textId="74ABCD4A" w:rsidR="004E4A8E" w:rsidRPr="009F760A" w:rsidRDefault="00AB1B4D" w:rsidP="004E4A8E">
      <w:pPr>
        <w:pStyle w:val="NormalHanging12a"/>
      </w:pPr>
      <w:r>
        <w:t>34</w:t>
      </w:r>
      <w:r w:rsidR="004E4A8E" w:rsidRPr="009F760A">
        <w:t>.</w:t>
      </w:r>
      <w:r w:rsidR="004E4A8E" w:rsidRPr="009F760A">
        <w:tab/>
        <w:t>støtter en retfærdig og varig løsning på spørgsmålet om palæstinensiske flygtninge; understreger, at De Forenede Nationers Hjælpeorganisation for Palæstinaflygtninge i Mellemøsten (UNRWA) spiller en vigtig rolle med hensyn til at yde humanitær bistand og væsentlige tjenester, som under de nuværende omstændigheder ikke må afbrydes, og mener, at alle FN-agenturer, der er aktive i regionen, skal støttes i deres bestræbelser; minder imidlertid om sin bekymring over alvorlige beskyldninger mod UNRWA's personale, som tyder på, at UNRWA har haft medlemmer af terrororganisationen Hamas ansat; glæder sig over de foranstaltninger, som FN har truffet efter påstandene vedrørende organisationens personale, og glæder sig over UNRWA's fulde tilsagn om at gennemføre henstillingerne i "Colonna-rapporten"; tilslutter sig Det Europæiske Råds konklusioner af 17. oktober 2024, der fordømmer ethvert forsøg på at ophæve aftalen fra 1967 mellem Israel og UNRWA; insisterer på, at Kommissionen sikrer, at ingen midler fra EU-budgettet finansierer, bidrager til eller støtter Hamas' eller Hizbollahs aktiviteter; understreger, at der kan være behov for yderligere foranstaltninger i fremtiden for at tilstræbe endnu større gennemsigtighed og ansvarlighed;</w:t>
      </w:r>
    </w:p>
    <w:p w14:paraId="7FA468AA" w14:textId="7DEF9314" w:rsidR="004E4A8E" w:rsidRPr="009F760A" w:rsidRDefault="00AB1B4D" w:rsidP="004E4A8E">
      <w:pPr>
        <w:pStyle w:val="NormalHanging12a"/>
      </w:pPr>
      <w:r>
        <w:t>35</w:t>
      </w:r>
      <w:r w:rsidR="004E4A8E" w:rsidRPr="009F760A">
        <w:t>.</w:t>
      </w:r>
      <w:r w:rsidR="004E4A8E" w:rsidRPr="009F760A">
        <w:tab/>
        <w:t xml:space="preserve">udtrykker bekymring over de stigende spændinger i Mellemøsten og opfordrer indtrængende alle involverede parter til at overholde den humanitære internationale ret, udvise størst mulig tilbageholdenhed og forpligte sig til nedtrapning, da en regional konflikt for enhver pris skal undgås; beklager tabet af tusindvis af civile menneskeliv; opfordrer indtrængende til afvæbning af Hizbollah som led i mere overordnede foranstaltninger for at mindske fjendtligheder og sikre regional stabilitet; opfordrer NF/HR til at fremlægge en omfattende EU-strategi for Mellemøsten, øge EU's effektive tilstedeværelse i regionen, fremme langsigtet stabilitet og fred i regionen og styrke partnerskaber med centrale regionale interessenter; understreger, at strategien skal </w:t>
      </w:r>
      <w:r w:rsidR="004E4A8E" w:rsidRPr="009F760A">
        <w:lastRenderedPageBreak/>
        <w:t xml:space="preserve">konkretiseres inden for de første måneder af den nye Kommissions mandat og bør afspejles i den kommende FFR, for at den kan få en konkret indvirkning på en hurtigt forværret situation; understreger behovet for, at medlemsstaterne intensiverer deres diplomatiske bestræbelser med internationale partnere, herunder med Golfstaterne, for at tilskynde til hurtig nedtrapning og meningsfuld dialog; understreger behovet for at prioritere og styrke civilsamfundsorganisationer i regionen, især organisationer, der arbejder med beskyttelse af menneskerettigheder og fredsopbygning; </w:t>
      </w:r>
    </w:p>
    <w:p w14:paraId="615044E1" w14:textId="6AEA6890" w:rsidR="004E4A8E" w:rsidRPr="009F760A" w:rsidRDefault="00AB1B4D" w:rsidP="004E4A8E">
      <w:pPr>
        <w:pStyle w:val="NormalHanging12a"/>
      </w:pPr>
      <w:r>
        <w:t>36</w:t>
      </w:r>
      <w:r w:rsidR="004E4A8E" w:rsidRPr="009F760A">
        <w:t>.</w:t>
      </w:r>
      <w:r w:rsidR="004E4A8E" w:rsidRPr="009F760A">
        <w:tab/>
        <w:t>fordømmer på det kraftigste den destabiliserende rolle, som det iranske regime og dets netværk af ikke-statslige aktører spiller i regionen; minder om, at Iran ikke længere gemmer sig bag sine stedfortrædere og fordømmer Irans to direkte og åbne angreb på Israels territorium i 2024, som Israel gengældte begge gange, hvilket udgør en hidtil uset optrapning af konflikten; fordømmer på det kraftigste Hizbollahs angreb på Israel, som førte til en israelsk landinvasion i Libanon, der forårsagede et stort antal civile ofre, tvangsfordrivelser og eskalerende vold i Libanon; noterer sig våbenhvilen mellem Israel og Hizbollah, der blev indgået den 27. november 2024 for en periode på 60 dage; opfordrer indtrængende Israel til at trække sig ud af det sydlige Libanon i overensstemmelse med FN's Sikkerhedsråds resolution 1701; minder om behovet for en permanent indstilling af fjendtlighederne så hurtigt som muligt for at skabe plads til en diplomatisk løsning langs den blå linje; kræver, at FN's Sikkerhedsråds resolution 1701 gennemføres i sin helhed som den eneste vej til at nedtrappe spændingerne og stabilisere grænsen mellem Israel og Libanon på en varig måde og fuldt ud genoprette Libanons suverænitet, territoriale integritet og stabilitet;</w:t>
      </w:r>
      <w:r w:rsidR="00976DD3">
        <w:t xml:space="preserve"> </w:t>
      </w:r>
      <w:r w:rsidR="00976DD3" w:rsidRPr="00976DD3">
        <w:t>glæder sig over Rådets afgørelse af 21. januar 2025 om at vedtage en tredje bistandsforanstaltning under den europæiske fredsfacilitet til en værdi af 60 mio. EUR til fordel for Libanons væbnede styrker;</w:t>
      </w:r>
    </w:p>
    <w:p w14:paraId="5F6F6725" w14:textId="3DBA57B8" w:rsidR="004E4A8E" w:rsidRPr="009F760A" w:rsidRDefault="00AB1B4D" w:rsidP="004E4A8E">
      <w:pPr>
        <w:pStyle w:val="NormalHanging12a"/>
      </w:pPr>
      <w:r>
        <w:t>37</w:t>
      </w:r>
      <w:r w:rsidR="004E4A8E" w:rsidRPr="009F760A">
        <w:t>.</w:t>
      </w:r>
      <w:r w:rsidR="004E4A8E" w:rsidRPr="009F760A">
        <w:tab/>
        <w:t>opfordrer Rådet og NF/HR til at tilføje Hizbollah i sin helhed til EU's liste over terrororganisationer;</w:t>
      </w:r>
    </w:p>
    <w:p w14:paraId="4FD4D680" w14:textId="30C40DFA" w:rsidR="004E4A8E" w:rsidRDefault="00AB1B4D" w:rsidP="004E4A8E">
      <w:pPr>
        <w:pStyle w:val="NormalHanging12a"/>
      </w:pPr>
      <w:r>
        <w:t>38</w:t>
      </w:r>
      <w:r w:rsidR="004E4A8E" w:rsidRPr="009F760A">
        <w:t>.</w:t>
      </w:r>
      <w:r w:rsidR="004E4A8E" w:rsidRPr="009F760A">
        <w:tab/>
        <w:t>noterer sig den arrestordre, der blev udstedt af ICC den 21. november 2024;</w:t>
      </w:r>
    </w:p>
    <w:p w14:paraId="13E418BB" w14:textId="6C590B61" w:rsidR="007F0931" w:rsidRPr="009F760A" w:rsidRDefault="00AB1B4D" w:rsidP="004E4A8E">
      <w:pPr>
        <w:pStyle w:val="NormalHanging12a"/>
      </w:pPr>
      <w:r>
        <w:t>39</w:t>
      </w:r>
      <w:r w:rsidR="007F0931">
        <w:t>.</w:t>
      </w:r>
      <w:r w:rsidR="007F0931">
        <w:tab/>
      </w:r>
      <w:r w:rsidR="007F0931" w:rsidRPr="007F0931">
        <w:t>tilslutter sig opfordringen fra præsidenten for Den Internationale Straffedomstol (ICC), dommer Tomoko Akane, til EU om at træffe øjeblikkelige foranstaltninger for at beskytte ICC og retsstatsprincippet i det internationale samfund, herunder ved hurtigt at ændre EU's statut om spærring for at bringe ICC inden for dens anvendelsesområde;</w:t>
      </w:r>
    </w:p>
    <w:p w14:paraId="3335C118" w14:textId="2F168718" w:rsidR="004E4A8E" w:rsidRPr="009F760A" w:rsidRDefault="00AB1B4D" w:rsidP="004E4A8E">
      <w:pPr>
        <w:pStyle w:val="NormalHanging12a"/>
      </w:pPr>
      <w:r>
        <w:t>40</w:t>
      </w:r>
      <w:r w:rsidR="004E4A8E" w:rsidRPr="009F760A">
        <w:t>.</w:t>
      </w:r>
      <w:r w:rsidR="004E4A8E" w:rsidRPr="009F760A">
        <w:tab/>
      </w:r>
      <w:r w:rsidR="002A4EC1" w:rsidRPr="002A4EC1">
        <w:t>glæder sig over dannelsen af en ny regering; ønsker præsident Joseph Aoun og premierminister Nawaf Salam held med at opfylde det libanesiske folks forhåbninger; er fast besluttet på at støtte landet i at genopbygge statslige institutioner, der er i stand til at opfylde deres opgave til gavn for alle borgere, med henblik på at fremme en reformorienteret og fremadskuende dagsorden, navnlig med hensyn til borgerlige frihedsrettigheder og retsstatsprincippet; støtter genopbygningsindsatsen, samtidig med at der indledes en politisk stabilisering og socioøkonomisk genopretning; opfordrer NF/HR til at relancere partnerskabet mellem EU og Libanon, herunder ved snart at afholde et associeringsråd;</w:t>
      </w:r>
    </w:p>
    <w:p w14:paraId="303D9255" w14:textId="0E496B21" w:rsidR="004E4A8E" w:rsidRPr="009F760A" w:rsidRDefault="00AB1B4D" w:rsidP="004E4A8E">
      <w:pPr>
        <w:pStyle w:val="NormalHanging12a"/>
      </w:pPr>
      <w:r>
        <w:t>41</w:t>
      </w:r>
      <w:r w:rsidR="004E4A8E" w:rsidRPr="009F760A">
        <w:t>.</w:t>
      </w:r>
      <w:r w:rsidR="004E4A8E" w:rsidRPr="009F760A">
        <w:tab/>
        <w:t>fordømmer på det kraftigste de israelske forsvarsstyrkers og Hizbollahs nylige angreb på FN's midlertidige styrke i Libanon (UNIFIL); gentager, at alt FN-personale og alle FN-bygninger er ukrænkelige, og bekræfter den vigtige stabiliserende rolle, som UNIFIL spiller i det sydlige Libanon, og som 16 medlemsstater bidrager til, og opfordrer til et øjeblikkeligt ophør af disse angreb;</w:t>
      </w:r>
    </w:p>
    <w:p w14:paraId="45238DD6" w14:textId="319F8870" w:rsidR="004E4A8E" w:rsidRPr="009F760A" w:rsidRDefault="00AB1B4D" w:rsidP="004E4A8E">
      <w:pPr>
        <w:pStyle w:val="NormalHanging12a"/>
      </w:pPr>
      <w:r>
        <w:lastRenderedPageBreak/>
        <w:t>42</w:t>
      </w:r>
      <w:r w:rsidR="004E4A8E" w:rsidRPr="009F760A">
        <w:t>.</w:t>
      </w:r>
      <w:r w:rsidR="004E4A8E" w:rsidRPr="009F760A">
        <w:tab/>
        <w:t>glæder sig over EU's beslutning om at forlænge sanktionerne mod Iran frem til juli 2025, herunder ved at indføre sanktioner rettet mod Irans produktion af ubemandede droner og missiler og leveringen deraf til Rusland og den bredere region i Mellemøsten; fremhæver de stærke forbindelser mellem Iran og Den Iranske Revolutionsgarde (IRGC), dens stedfortrædere såsom houthierne og militser, der opererer i Irak og Syrien; fordømmer på det kraftigste det høje antal terrorangreb og likvideringer eller forsøg på angreb begået af IRGC i hele verden, herunder på europæisk jord, i de seneste årtier; gentager sin opfordring til, at IRGC føjes til EU's liste over terrororganisationer; påpeger, at de sanktionsmuligheder, der endnu ikke er udtømt, omfatter en langt mere restriktiv tilgang til teknologioverførsel gennem eksport af produkter, der ikke kategoriseres som produkter med "dobbelt anvendelse";</w:t>
      </w:r>
    </w:p>
    <w:p w14:paraId="0005251C" w14:textId="5041F40C" w:rsidR="004E4A8E" w:rsidRPr="009F760A" w:rsidRDefault="00AB1B4D" w:rsidP="004E4A8E">
      <w:pPr>
        <w:pStyle w:val="NormalHanging12a"/>
      </w:pPr>
      <w:r>
        <w:t>43</w:t>
      </w:r>
      <w:r w:rsidR="004E4A8E" w:rsidRPr="009F760A">
        <w:t>.</w:t>
      </w:r>
      <w:r w:rsidR="004E4A8E" w:rsidRPr="009F760A">
        <w:tab/>
        <w:t xml:space="preserve">fordømmer på det kraftigste houthiernes destabiliserende angreb på kommercielle </w:t>
      </w:r>
      <w:r w:rsidR="007C02AC" w:rsidRPr="007C02AC">
        <w:t xml:space="preserve">samt militære </w:t>
      </w:r>
      <w:r w:rsidR="004E4A8E" w:rsidRPr="009F760A">
        <w:t>fartøjer i transit gennem Det Røde Hav; understreger, at disse angreb har forårsaget betydelige forstyrrelser i den globale handel, da rederierne er tvunget til at omlægge en stor del af trafikken i Det Røde Hav til at gå rundt om Afrikas sydspids; opfordrer til kollektiv handling og tilskynder til øget EU-engagement og internationalt samarbejde og opfordrer på det kraftigste til fortsat handling for at sikre fri sejlads på en af verdens vigtigste vandveje; opfordrer til en øjeblikkelig indstilling af disse ulovlige angreb;</w:t>
      </w:r>
    </w:p>
    <w:p w14:paraId="606D58E5" w14:textId="0D3C5584" w:rsidR="004E4A8E" w:rsidRPr="009F760A" w:rsidRDefault="00AB1B4D" w:rsidP="004E4A8E">
      <w:pPr>
        <w:pStyle w:val="NormalHanging12a"/>
      </w:pPr>
      <w:r>
        <w:t>44</w:t>
      </w:r>
      <w:r w:rsidR="004E4A8E" w:rsidRPr="009F760A">
        <w:t>.</w:t>
      </w:r>
      <w:r w:rsidR="004E4A8E" w:rsidRPr="009F760A">
        <w:tab/>
        <w:t xml:space="preserve">deler målet om at forhindre Iran i at erhverve kernevåben for enhver pris; påpeger imidlertid, at regimet i Teheran klart har afvist en genoplivning af den fælles omfattende handlingsplan (JCPOA) og har nægtet at samarbejde i den igangværende tvist med Den Internationale Atomenergiorganisation; fremhæver, at Iran samtidig har øget sin atomvåbenkapacitet; beklager, at der i øjeblikket ikke findes nogen strategi for at overtale Iran til at afstå fra at opbygge militær nuklear kapacitet eller en handlingsplan for det tilfælde, at Iran overskrider den nukleare tærskel; opfordrer NF/HR til at fremlægge en revideret strategi over for Iran, der tager alle forhold i betragtning; </w:t>
      </w:r>
    </w:p>
    <w:p w14:paraId="5DF82C19" w14:textId="5EA964AB" w:rsidR="004E4A8E" w:rsidRPr="009F760A" w:rsidRDefault="00AB1B4D" w:rsidP="004E4A8E">
      <w:pPr>
        <w:pStyle w:val="NormalHanging12a"/>
      </w:pPr>
      <w:r>
        <w:t>45</w:t>
      </w:r>
      <w:r w:rsidR="004E4A8E" w:rsidRPr="009F760A">
        <w:t>.</w:t>
      </w:r>
      <w:r w:rsidR="004E4A8E" w:rsidRPr="009F760A">
        <w:tab/>
        <w:t>udtrykker bekymring over den provokerende retorik, der næres af mis- og desinformation, og som omgiver denne konflikt, og over ondsindede aktørers instrumentalisering af den med det formål at så mistillid og had, herunder i de europæiske samfund, hvilket især, men ikke udelukkende, illustreres af den bekymrende stigning i antisemitisme; advarer om, at dette bør være et primært fokus i EU's bekæmpelse af desinformation, og opfordrer til en koordineret tilgang fra Kommissionens side under hensyntagen til de eksterne og interne dimensioner af dens politikker, herunder, men ikke begrænset til, den kommende strategiske kommunikationsplan for at fremme EU's rolle i det sydlige naboskab;</w:t>
      </w:r>
    </w:p>
    <w:p w14:paraId="14C099CB" w14:textId="2387EB69" w:rsidR="004E4A8E" w:rsidRPr="009F760A" w:rsidRDefault="00AB1B4D" w:rsidP="004E4A8E">
      <w:pPr>
        <w:pStyle w:val="NormalHanging12a"/>
      </w:pPr>
      <w:r>
        <w:t>46</w:t>
      </w:r>
      <w:r w:rsidR="004E4A8E" w:rsidRPr="009F760A">
        <w:t>.</w:t>
      </w:r>
      <w:r w:rsidR="004E4A8E" w:rsidRPr="009F760A">
        <w:tab/>
        <w:t xml:space="preserve">glæder sig over Assad-regimets historiske fald i Syrien; minder om, at det kun har overlevet så længe takket være støtten fra sine russiske og iranske allierede, og at dets sammenbrud viser, at de er svækket; glæder sig over </w:t>
      </w:r>
      <w:r w:rsidR="004C2537" w:rsidRPr="004C2537">
        <w:t xml:space="preserve">den nye start på forbindelserne mellem EU og Syrien, der kommer til udtryk i </w:t>
      </w:r>
      <w:r w:rsidR="004E4A8E" w:rsidRPr="009F760A">
        <w:t xml:space="preserve">udnævnelsen af en </w:t>
      </w:r>
      <w:r w:rsidR="004C2537" w:rsidRPr="004C2537">
        <w:t>EU-chargé d'affaires i Damaskus, diplomatisk engagement og møder på højt plan med deltagelse af medlemsstater og EU-ledere samt den 9. Bruxelleskonference, der fandt sted den 17. marts 2025, med deltagelse af den midlertidige udenrigsminister Asaad al-Shibani</w:t>
      </w:r>
      <w:r w:rsidR="004E4A8E" w:rsidRPr="009F760A">
        <w:t xml:space="preserve">; </w:t>
      </w:r>
      <w:r w:rsidR="00CA6F29" w:rsidRPr="00CA6F29">
        <w:t xml:space="preserve">mener, at etableringen af diplomatiske forbindelser med de nye syriske myndigheder ikke bør være et påskud for straflempelse for medlemsstaternes statsborgere, der kæmpede som en del af islamistiske grupper i Syrien; erklærer, at disse krigere stadig udgør en trussel mod de lande, hvor de er statsborgere, og mod alle EU's medlemsstater; </w:t>
      </w:r>
      <w:r w:rsidR="004E4A8E" w:rsidRPr="009F760A">
        <w:lastRenderedPageBreak/>
        <w:t xml:space="preserve">gentager sin urokkelige støtte til </w:t>
      </w:r>
      <w:r w:rsidR="004C2537" w:rsidRPr="004C2537">
        <w:t xml:space="preserve">Syriens territoriale integritet </w:t>
      </w:r>
      <w:r w:rsidR="004E4A8E" w:rsidRPr="009F760A">
        <w:t xml:space="preserve">og fremhæver behovet for hurtigst muligt at øge den humanitære bistand og beskyttelse af de 16,7 millioner mennesker i nød; </w:t>
      </w:r>
      <w:r w:rsidR="004C2537" w:rsidRPr="004C2537">
        <w:t xml:space="preserve">glæder sig i denne forbindelse over den tidsubegrænsede forlængelse af humanitære undtagelser og den gradvise, men betingede suspension af sanktioner over for en række økonomiske sektorer for at give den syriske økonomi en hårdt tiltrængt livline; forpligter sig til nøje at overvåge den politiske overgangsproces og til at opfordre medlemsstaterne til at tilbagetrække ophævelsen af sanktionerne, hvis de syriske myndigheder ikke lever op til deres erklærede forpligtelser; anerkender udfordringen for en velordnet statsopbygning i forbindelse med risikoen for oprør fra væbnede grupper, der er loyale over for det tidligere regime, og opfordrer myndighederne til hurtigst muligt at organisere paramilitær og civil nedrustning, navnlig efter de uacceptable gengældelsesangreb mod Alawit-samfundet på grundlag af dets formodede tilknytning til Assad-regimet; opfordrer Den Europæiske Union og dens medlemsstater til at støtte gennemførelsen af aftalen mellem den syriske overgangsregering og den kurdiskledede SDF for at sikre det kurdiske samfund fuld anerkendelse og politisk deltagelse i Syrien; </w:t>
      </w:r>
      <w:r w:rsidR="004E4A8E" w:rsidRPr="009F760A">
        <w:t xml:space="preserve">opfordrer alle parter til at bidrage til en fredelig og syrisk ledet </w:t>
      </w:r>
      <w:r w:rsidR="004C2537" w:rsidRPr="004C2537">
        <w:t xml:space="preserve">politisk </w:t>
      </w:r>
      <w:r w:rsidR="004E4A8E" w:rsidRPr="009F760A">
        <w:t xml:space="preserve">overgang til en inklusiv, demokratisk forvaltningsmodel, der sikrer repræsentation, deltagelse og lige rettigheder for kvinder, mindretal og alle medlemmer af det syriske samfund uanset etnicitet eller religion, og som sætter de statslige institutioners gode funktion og det syriske folks trivsel i centrum for deres handlinger; </w:t>
      </w:r>
      <w:r w:rsidR="004C2537" w:rsidRPr="004C2537">
        <w:t>glæder sig over overgangspræsident al-Sharaas anerkendelse af Syriens mangfoldighed, men noterer sig samtidig, at sammensætningen af den nuværende overgangsregering ikke afspejler dette; er af den faste overbevisning, at en vellykket politisk overgang i Syrien, navnlig beskyttelsen af lov og orden og opbygning af tillid til statslige institutioner, afhænger af overgangsjustits og forsoning som en vej til at bekæmpe straffrihed for alle parter, der er ansvarlige for krænkelser af den humanitære folkeret;</w:t>
      </w:r>
      <w:r w:rsidR="004C2537">
        <w:t xml:space="preserve"> </w:t>
      </w:r>
      <w:r w:rsidR="004E4A8E" w:rsidRPr="009F760A">
        <w:t>understreger, at bekæmpelsen af straffrihed i Syrien er en moralsk og politisk nødvendighed for Europa og det internationale samfund; opfordrer EU og dets medlemsstater til at støtte arbejdet i den internationale, upartiske og uafhængige mekanisme til at bistå ved efterforskningen og retsforfølgningen af de ansvarlige for de alvorligste forbrydelser i henhold til folkeretten, der siden marts 2011 er begået i Den Syriske Arabiske Republik</w:t>
      </w:r>
      <w:r w:rsidR="00CA6F29" w:rsidRPr="00CA6F29">
        <w:t>; opfordrer Syrien til at ratificere Romstatutten for Den Internationale Straffedomstol (ICC) og tilpasse den nationale lovgivning i overensstemmelse hermed samt give den ICC kompetence med tilbagevirkende kraft gennem en erklæring</w:t>
      </w:r>
      <w:r w:rsidR="004E4A8E" w:rsidRPr="009F760A">
        <w:t>; opfordrer EU og dets medlemsstater til at overveje at oprette en særlig mission i samarbejde med internationale partnere for at hjælpe med at dokumentere sager om alvorlige forbrydelser begået af Assad-regimet og af alle andre fraktioner; understreger betydningen af at bevare Syriens territoriale integritet, også for at bidrage til at bevare stabiliteten i regionen; opfordrer NF/HR og medlemsstaterne til straks at tage skridt til at forhindre enhver genetablering eller styrkelse af russiske styrker, paramilitære styrker eller efterretningstjenester i landet;</w:t>
      </w:r>
    </w:p>
    <w:p w14:paraId="3BD8CB00" w14:textId="77777777" w:rsidR="004E4A8E" w:rsidRPr="009F760A" w:rsidRDefault="004E4A8E" w:rsidP="004E4A8E">
      <w:pPr>
        <w:pStyle w:val="NormalHanging12a"/>
        <w:rPr>
          <w:i/>
          <w:u w:val="single"/>
        </w:rPr>
      </w:pPr>
      <w:r w:rsidRPr="009F760A">
        <w:rPr>
          <w:i/>
          <w:u w:val="single"/>
        </w:rPr>
        <w:t>Fremme af samarbejde med ligesindede partnere</w:t>
      </w:r>
    </w:p>
    <w:p w14:paraId="06F09911" w14:textId="305ED537" w:rsidR="004E4A8E" w:rsidRPr="009F760A" w:rsidRDefault="00AB1B4D" w:rsidP="004E4A8E">
      <w:pPr>
        <w:pStyle w:val="NormalHanging12a"/>
      </w:pPr>
      <w:r>
        <w:t>47</w:t>
      </w:r>
      <w:r w:rsidR="004E4A8E" w:rsidRPr="009F760A">
        <w:t>.</w:t>
      </w:r>
      <w:r w:rsidR="004E4A8E" w:rsidRPr="009F760A">
        <w:tab/>
        <w:t xml:space="preserve">anerkender, at kravet om enstemmighed tvinger medlemsstaterne til at arbejde hårdt for at finde frem til kompromiser og opnå enhed, og at dette er baggrunden for EU's politiske styrke på verdensscenen; påpeger imidlertid, at afvejningen mellem idealet om enhed og de høje omkostninger ved enstemmighed med hensyn til troværdighed på den globale scene bør vurderes kritisk, navnlig med tanke på, at et udvidet EU skal kunne fungere effektivt; </w:t>
      </w:r>
    </w:p>
    <w:p w14:paraId="572CE163" w14:textId="4126700E" w:rsidR="004E4A8E" w:rsidRPr="009F760A" w:rsidRDefault="00AB1B4D" w:rsidP="004E4A8E">
      <w:pPr>
        <w:pStyle w:val="NormalHanging12a"/>
      </w:pPr>
      <w:r>
        <w:t>48</w:t>
      </w:r>
      <w:r w:rsidR="004E4A8E" w:rsidRPr="009F760A">
        <w:t>.</w:t>
      </w:r>
      <w:r w:rsidR="004E4A8E" w:rsidRPr="009F760A">
        <w:tab/>
        <w:t xml:space="preserve">beklager i denne forbindelse, at individuelle medlemsstater har brugt deres vetoret til at </w:t>
      </w:r>
      <w:r w:rsidR="004E4A8E" w:rsidRPr="009F760A">
        <w:lastRenderedPageBreak/>
        <w:t>udvande aftaler, forsinke beslutningstagningen eller helt forpurre en fælles politik; beklager, at potentialet for hurtig, effektiv og slagkraftig handling på udenrigs-, sikkerheds- og forsvarsområdet, som bl.a. findes i passerellebestemmelserne i TEU, aldrig er blevet brugt;</w:t>
      </w:r>
    </w:p>
    <w:p w14:paraId="6FCF865A" w14:textId="7AA59117" w:rsidR="004E4A8E" w:rsidRPr="009F760A" w:rsidRDefault="00AB1B4D" w:rsidP="004E4A8E">
      <w:pPr>
        <w:pStyle w:val="NormalHanging12a"/>
      </w:pPr>
      <w:r>
        <w:t>49</w:t>
      </w:r>
      <w:r w:rsidR="004E4A8E" w:rsidRPr="009F760A">
        <w:t>.</w:t>
      </w:r>
      <w:r w:rsidR="004E4A8E" w:rsidRPr="009F760A">
        <w:tab/>
        <w:t>gentager sin opfordring til Rådet om gradvist at gå over til afstemninger med kvalificeret flertal for beslutninger inden for FUSP, der ikke har indvirkning på militær- eller forsvarsområdet; anerkender bekymringerne hos nogle medlemsstater, som frygter, at de i mindre grad vil kunne påvirke udenrigs- og sikkerhedspolitikken på EU-plan; opfordrer – i afventning af, at kvalificeret flertal finder fuld anvendelse på afgørelser, som ikke har indvirkning på militær- eller forsvarsområdet – til fuld udnyttelse af alle nuværende muligheder for at styrke beslutsomheden i denne henseende, herunder brugen af konstruktiv stemmeundladelse i overensstemmelse med artikel 31, stk. 1, i TEU; erkender, at fremskridt hen imod anvendelsen af kvalificeret flertal kun kan ske gradvist og skal bygge på skabelsen af en europæisk strategisk kultur;</w:t>
      </w:r>
    </w:p>
    <w:p w14:paraId="07622069" w14:textId="3CBC0E8D" w:rsidR="004E4A8E" w:rsidRDefault="00AB1B4D" w:rsidP="004E4A8E">
      <w:pPr>
        <w:pStyle w:val="NormalHanging12a"/>
      </w:pPr>
      <w:r>
        <w:t>50</w:t>
      </w:r>
      <w:r w:rsidR="004E4A8E" w:rsidRPr="009F760A">
        <w:t>.</w:t>
      </w:r>
      <w:r w:rsidR="004E4A8E" w:rsidRPr="009F760A">
        <w:tab/>
        <w:t xml:space="preserve">fremhæver, at verden er ved at blive mere multipolær og mindre multilateral; fremhæver, at multilaterale fora, blandt disse først og fremmest FN og dets agenturer, skal betragtes som EU's foretrukne samarbejdsform; opfordrer medlemsstaterne til at styrke inklusive former for multilateral forvaltning og tilskynder i denne sammenhæng Kommissionen, EU-Udenrigstjenesten og Rådet til at optrappe det interinstitutionelle samarbejde med multilaterale organisationer, der er uløseligt forbundet med det internationale regelbaserede orden, og derved beskytte FN og det multilaterale system i sin helhed; udtrykker i denne forbindelse bekymring over den stigende relevans af eksklusive samarbejdsformer, som oplever øget konkurrence; udtrykker bekymring over det voksende antal medlemmer af BRICS-gruppen, som i øjeblikket omfatter 45 % af verdens befolkning; understreger, at et sådant samarbejde giver Rusland mulighed for at omgå de foranstaltninger, der havde til formål at isolere landet politisk, og gør det muligt for Kina at øge sin indflydelse yderligere gennem sin fremgangsmåde med at finansiere infrastrukturprojekter; </w:t>
      </w:r>
      <w:r w:rsidR="0086333E" w:rsidRPr="0086333E">
        <w:t xml:space="preserve">understreger, at seriøsiteten af Kinas engagement vil afhænge af dets vilje til at gøre indrømmelser for at håndtere forvaltningen og omstruktureringen af gælden i landene i det globale syd; </w:t>
      </w:r>
      <w:r w:rsidR="004E4A8E" w:rsidRPr="009F760A">
        <w:t>bemærker samtidig, at internationale institutioner og normer i stigende grad instrumentaliseres og undergraves af autokratiske regimer; understreger, at denne tendens sætter EU i en vanskelig situation, hvor det skal afveje behovet for at appellere til bred og inklusiv multilateralisme og samtidig styrke samarbejdet med udvalgte ligesindede partnere;</w:t>
      </w:r>
    </w:p>
    <w:p w14:paraId="7288171B" w14:textId="1586FFFB" w:rsidR="00332EE3" w:rsidRDefault="00AB1B4D" w:rsidP="004E4A8E">
      <w:pPr>
        <w:pStyle w:val="NormalHanging12a"/>
      </w:pPr>
      <w:r>
        <w:t>51</w:t>
      </w:r>
      <w:r w:rsidR="00332EE3">
        <w:t>.</w:t>
      </w:r>
      <w:r w:rsidR="00332EE3">
        <w:tab/>
      </w:r>
      <w:r w:rsidR="00332EE3" w:rsidRPr="00332EE3">
        <w:t>opfordrer Kommissionen og Rådet til at revurdere EU's tilgang til BRICS-gruppen og dens partnere og til at udvikle en særskilt EU-politik over for BRICS+;</w:t>
      </w:r>
    </w:p>
    <w:p w14:paraId="48B7C318" w14:textId="771701F8" w:rsidR="00332EE3" w:rsidRPr="009F760A" w:rsidRDefault="00AB1B4D" w:rsidP="004E4A8E">
      <w:pPr>
        <w:pStyle w:val="NormalHanging12a"/>
      </w:pPr>
      <w:r>
        <w:t>52</w:t>
      </w:r>
      <w:r w:rsidR="00332EE3">
        <w:t>.</w:t>
      </w:r>
      <w:r w:rsidR="00332EE3">
        <w:tab/>
      </w:r>
      <w:r w:rsidR="00332EE3" w:rsidRPr="00332EE3">
        <w:t>opfordrer kraftigt til en revision af EU's finansielle bistand til tredjelande for at sikre, at den ikke støtter regeringer, der udfordrer europæiske værdier, spreder antivestlig propaganda, støtter Ruslands angrebskrig mod Ukraine og underminerer den nuværende internationale orden, der værner om demokrati, menneskerettigheder og bekæmpelse af korruption;</w:t>
      </w:r>
    </w:p>
    <w:p w14:paraId="5A821D68" w14:textId="48B3735D" w:rsidR="004E4A8E" w:rsidRPr="009F760A" w:rsidRDefault="00AB1B4D" w:rsidP="004E4A8E">
      <w:pPr>
        <w:pStyle w:val="NormalHanging12a"/>
      </w:pPr>
      <w:r>
        <w:t>53</w:t>
      </w:r>
      <w:r w:rsidR="004E4A8E" w:rsidRPr="009F760A">
        <w:t>.</w:t>
      </w:r>
      <w:r w:rsidR="004E4A8E" w:rsidRPr="009F760A">
        <w:tab/>
        <w:t xml:space="preserve">understreger i denne forbindelse, at den geopolitiske kontekst, som EU opererer i, fortsat er præget af radikal usikkerhed og et skift fra samarbejde til konkurrence; bemærker med bekymring, hvordan alle former for interaktion anvendes som våben, og bemærker, at denne tendens hæmmer det internationale samarbejde på et tidspunkt, hvor den globale omstilling skal fremskyndes for effektivt at tackle globale udfordringer; minder om, at EU ikke har råd til at vende sig indad og skal forblive åben og engageret i </w:t>
      </w:r>
      <w:r w:rsidR="004E4A8E" w:rsidRPr="009F760A">
        <w:lastRenderedPageBreak/>
        <w:t>verden for at forsvare sine værdier og interesser; understreger, at øget samarbejde og koordinering med ligesindede partnere er afgørende i lyset af tredjelandes intensiverede bestræbelser på at destabilisere den internationale orden og underminere multilateralisme gennem spredning af desinformation;</w:t>
      </w:r>
    </w:p>
    <w:p w14:paraId="4CAF00A3" w14:textId="275DA2C2" w:rsidR="004E4A8E" w:rsidRPr="009F760A" w:rsidRDefault="00AB1B4D" w:rsidP="004E4A8E">
      <w:pPr>
        <w:pStyle w:val="NormalHanging12a"/>
      </w:pPr>
      <w:r>
        <w:t>54</w:t>
      </w:r>
      <w:r w:rsidR="004E4A8E" w:rsidRPr="009F760A">
        <w:t>.</w:t>
      </w:r>
      <w:r w:rsidR="004E4A8E" w:rsidRPr="009F760A">
        <w:tab/>
        <w:t>opfordrer EU-institutionerne og medlemsstaterne til aktivt at støtte en omfattende institutionel reform af de multilaterale institutioner, først og fremmest FN-systemet og især FN's Sikkerhedsråd, som bør omfatte foranstaltninger, der tager sigte på at begrænse brugen af vetoretten, fremme regional repræsentation, gøre det udøvende organ ansvarlig over for den forsamling, der vælger det, og ændre sammensætningen for bedre at afspejle den geopolitiske virkelighed, herunder ved at oprette et permanent sæde til EU; understreger, at sådanne reformer er afgørende for at styrke multilateralismen, forbedre den globale styring og værdibaserede beslutningstagning og håndtere internationale udfordringer på en mere inkluderende og lydhør måde;</w:t>
      </w:r>
    </w:p>
    <w:p w14:paraId="70B84F98" w14:textId="4E39BC80" w:rsidR="004E4A8E" w:rsidRPr="009F760A" w:rsidRDefault="00AB1B4D" w:rsidP="004E4A8E">
      <w:pPr>
        <w:pStyle w:val="NormalHanging12a"/>
      </w:pPr>
      <w:r>
        <w:t>55</w:t>
      </w:r>
      <w:r w:rsidR="004E4A8E" w:rsidRPr="009F760A">
        <w:t>.</w:t>
      </w:r>
      <w:r w:rsidR="004E4A8E" w:rsidRPr="009F760A">
        <w:tab/>
        <w:t>minder om betydningen af et stærkt og konstruktivt partnerskab med Det Forenede Kongerige</w:t>
      </w:r>
      <w:r w:rsidR="00AC07BA" w:rsidRPr="00AC07BA">
        <w:t>, ikke blot i betragtning af eksistensen af en hidtil uset omfattende handels- og samarbejdsaftale, grundlaget for fælles værdier såsom demokrati, støtte til multilateralisme og menneskerettigheder, men også omfanget af spørgsmål af fælles interesse på områder som forsvar, klima og energi, grænseforvaltning, bekæmpelse af terrorisme, organiseret kriminalitet og fremme af fred og stabilitet</w:t>
      </w:r>
      <w:r w:rsidR="004E4A8E" w:rsidRPr="009F760A">
        <w:t xml:space="preserve">; glæder sig </w:t>
      </w:r>
      <w:r w:rsidR="00AC07BA" w:rsidRPr="00AC07BA">
        <w:t xml:space="preserve">særligt </w:t>
      </w:r>
      <w:r w:rsidR="004E4A8E" w:rsidRPr="009F760A">
        <w:t>over den fornyede fremdrift fra den nye britiske regering til sammen med EU at overveje mulighederne for et tættere og mere permanent udenrigs- og sikkerhedssamarbejde, der understøttes af konkrete tiltag og bygger på det gode samarbejde på FN-plan samt den effektive koordinering mellem EU og Det Forenede Kongerige om vedtagelsen og overvågningen af gennemførelsen af sanktioner mod Rusland; mener, at en sådan koordinering har en merværdi for både EU og Det Forenede Kongerige, og glæder sig derfor over aftalen om at arbejde hen imod oprettelsen af et sikkerhedspartnerskab mellem EU og Det Forenede Kongerige baseret på fælles interesser og kollektivt ansvar; mener, at emner som maritim sikkerhed bør drøftes inden for rammerne af et sådant partnerskab; kræver, at Parlamentet inddrages og informeres behørigt i sådanne overvejelser</w:t>
      </w:r>
      <w:r w:rsidR="00AC07BA" w:rsidRPr="00AC07BA">
        <w:t xml:space="preserve"> for og efter det forventede topmøde mellem EU og Det Forenede Kongerige</w:t>
      </w:r>
      <w:r w:rsidR="004E4A8E" w:rsidRPr="009F760A">
        <w:t>;</w:t>
      </w:r>
    </w:p>
    <w:p w14:paraId="69D26703" w14:textId="1801540B" w:rsidR="004E4A8E" w:rsidRDefault="00AB1B4D" w:rsidP="004E4A8E">
      <w:pPr>
        <w:pStyle w:val="NormalHanging12a"/>
      </w:pPr>
      <w:r>
        <w:t>56</w:t>
      </w:r>
      <w:r w:rsidR="004E4A8E" w:rsidRPr="009F760A">
        <w:t>.</w:t>
      </w:r>
      <w:r w:rsidR="004E4A8E" w:rsidRPr="009F760A">
        <w:tab/>
      </w:r>
      <w:r w:rsidR="007E08CC" w:rsidRPr="007E08CC">
        <w:t xml:space="preserve">noterer sig resultatet af præsident- og kongressvalgene i USA; udtrykker bekymring over det hurtige tempo, hvormed den nye amerikanske regering har vendt op og ned på de etablerede partnerskaber og diplomatiske traditioner; udtrykker forfærdelse over den aktuelle politik, der består i at have en forsonende holdning over for Rusland og i at rette angreb mod traditionelle allierede; beklager de seneste bemærkninger fra USA's vicepræsident Vance, som sætter spørgsmålstegn ved de fælles værdier, der ligger til grund for det transatlantiske partnerskab; advarer om, at Trump-administrationen gennem en sådan uberegnelig politik gambler med en mangelvare, nemlig tilliden til USA; mener ikke desto mindre, at stærke transatlantiske forbindelser fortsat er uundværlige for sikkerheden for partnerne på begge sider af Atlanten og derfor er værd at investere i; anser det for mere afgørende end nogensinde at fortsætte samarbejdet med amerikanske modparter på føderalt og statsligt plan; opfordrer medlemsstaterne til at benytte bilaterale diplomatiske kanaler med modparter i USA som det samarbejdsformat, som den amerikanske regering foretrækker, og at vise enhed og engagement i en fælles EU-holdning; gentager betydningen af, at der regelmæssigt afholdes topmøder mellem EU og USA for på højeste niveau at sætte skub i det fremtidige samarbejde; støtter fuldt ud uddybningen af samarbejdet inden for rammerne af den transatlantiske dialog mellem EU og USA, f.eks. gennem transatlantisk </w:t>
      </w:r>
      <w:r w:rsidR="007E08CC" w:rsidRPr="007E08CC">
        <w:lastRenderedPageBreak/>
        <w:t xml:space="preserve">parlamentarisk diplomati; </w:t>
      </w:r>
    </w:p>
    <w:p w14:paraId="02A8C54C" w14:textId="0601DFCC" w:rsidR="007E08CC" w:rsidRDefault="00AB1B4D" w:rsidP="004E4A8E">
      <w:pPr>
        <w:pStyle w:val="NormalHanging12a"/>
      </w:pPr>
      <w:r>
        <w:t>57</w:t>
      </w:r>
      <w:r w:rsidR="007E08CC">
        <w:t>.</w:t>
      </w:r>
      <w:r w:rsidR="007E08CC">
        <w:tab/>
      </w:r>
      <w:r w:rsidR="007E08CC" w:rsidRPr="007E08CC">
        <w:t>beklager USA's beslutning om pludselig at standse størstedelen af sin humanitære bistand og udviklingsbistand, herunder, men ikke begrænset til, den bistand, der hidtil har været ydet af United States Agency for International Development (USAID), idet beslutningen har ødelæggende konsekvenser for utallige menneskers liv og også risikerer at få alvorlige konsekvenser for menneskerettighederne og den globale sikkerhed; anerkender, at EU ikke kan erstatte USAID, men er nødt til strategisk og intelligent at omfordele ressourcer gennem en Team Europe-tilgang for at afbøde virkningerne, både i de berørte landes interesse og i vores egne interesser; glæder sig over Kommissionens og EU-Udenrigstjenestens meddelelse om, at der gøres en indsats for at tilføre likviditet i hårdt ramte områder ved at omfordele og øge forfinansieringen; roser beslutningen om at indlede kortlægning på EU-plan, som også bør tage hensyn til sekundære virkninger, og anmoder om, at resultaterne deles med medlemsstaterne og med Parlamentet; anmoder Kommissionen om at udsende en erklæring, hvori der gøres status over EU's helhedsorienterede reaktion på denne krise;</w:t>
      </w:r>
    </w:p>
    <w:p w14:paraId="1389B4CD" w14:textId="10F3589F" w:rsidR="007E08CC" w:rsidRPr="009F760A" w:rsidRDefault="00AB1B4D" w:rsidP="004E4A8E">
      <w:pPr>
        <w:pStyle w:val="NormalHanging12a"/>
      </w:pPr>
      <w:r>
        <w:t>58</w:t>
      </w:r>
      <w:r w:rsidR="007E08CC">
        <w:t>.</w:t>
      </w:r>
      <w:r w:rsidR="007E08CC">
        <w:tab/>
      </w:r>
      <w:r w:rsidR="007E08CC" w:rsidRPr="007E08CC">
        <w:t>opfordrer Kommissionen til at knytte tættere bånd med Canada for at kunne imødegå globale udfordringer, der påvirker vores fælles værdier, interesser, sikkerhed og velstand; mener, at den bilaterale sikkerheds- og forsvarsdialog samt det kommende sikkerheds- og forsvarspartnerskab danner grundlag for øget sikkerheds- og forsvarssamarbejde, herunder om de respektive initiativer til at fremme forsvarsindustriens produktion;</w:t>
      </w:r>
    </w:p>
    <w:p w14:paraId="47C6D467" w14:textId="629B987D" w:rsidR="004E4A8E" w:rsidRPr="009F760A" w:rsidRDefault="00AB1B4D" w:rsidP="004E4A8E">
      <w:pPr>
        <w:pStyle w:val="NormalHanging12a"/>
      </w:pPr>
      <w:r>
        <w:t>59</w:t>
      </w:r>
      <w:r w:rsidR="004E4A8E" w:rsidRPr="009F760A">
        <w:t>.</w:t>
      </w:r>
      <w:r w:rsidR="004E4A8E" w:rsidRPr="009F760A">
        <w:tab/>
        <w:t>gentager ikke desto mindre behovet for, at medlemsstaterne fuldt ud omsætter konceptet om EU's strategiske autonomi og forsvarsberedskab i praksis og med henblik herpå foretager kollektive og velkoordinerede investeringer i deres sikkerhed og forsvar med det formål at opnå en ægte europæisk forsvarsunion, som er interoperabel med og supplerer NATO-alliancen, og som kan handle uafhængigt, når der er behov for det;</w:t>
      </w:r>
      <w:r w:rsidR="007E08CC">
        <w:t xml:space="preserve"> </w:t>
      </w:r>
      <w:r w:rsidR="007E08CC" w:rsidRPr="007E08CC">
        <w:t>mener, at EU skal handle hurtigt for at mindske sin afhængighed af lande uden for EU med hensyn til sine forsvarskapaciteter, navnlig for strategiske katalysatorer, og sikre sin egen autonome sikkerhed; minder om, at EDTIB er et strategisk aktiv for både Unionens sikkerhed og forsvar og for dens udenrigspolitik; opfordrer til en betydelig styrkelse heraf og til uddybning af forsvarsindustrielle partnerskaber og integration af det industrielle grundlag for ligesindede pålidelige partnere i EDTIB, først og fremmest Ukraine;</w:t>
      </w:r>
    </w:p>
    <w:p w14:paraId="31CF45FD" w14:textId="0635CD41" w:rsidR="004E4A8E" w:rsidRPr="009F760A" w:rsidRDefault="00AB1B4D" w:rsidP="004E4A8E">
      <w:pPr>
        <w:pStyle w:val="NormalHanging12a"/>
      </w:pPr>
      <w:r>
        <w:t>60</w:t>
      </w:r>
      <w:r w:rsidR="004E4A8E" w:rsidRPr="009F760A">
        <w:t>.</w:t>
      </w:r>
      <w:r w:rsidR="004E4A8E" w:rsidRPr="009F760A">
        <w:tab/>
        <w:t>tilskynder til tætte forbindelser med vesteuropæiske lande uden for EU, navnlig samarbejde på visse områder af EU's optræden udadtil; glæder sig i denne forbindelse over afslutningen af forhandlingerne om en bred pakke af foranstaltninger for de fremtidige forbindelser mellem EU og Schweiz, som markerer en vigtig milepæl med hensyn til at fremme og uddybe de allerede tætte forbindelser; opfordrer Kommissionen til at modernisere og uddybe de bilaterale forbindelser mellem EU og Schweiz; understreger betydningen af at fremme stærkere forbindelser med Norge, navnlig inden for rammerne af sikkerheds- og forsvarspartnerskabet samt den kooperative forvaltning af fælles bestande og videreførelsen af mangeårige fiskeriaktiviteter; opfordrer til en hurtig undertegnelse af associeringsaftalen mellem EU og Andorra og San Marino;</w:t>
      </w:r>
    </w:p>
    <w:p w14:paraId="77BCDB31" w14:textId="590FE1EC" w:rsidR="004E4A8E" w:rsidRPr="009F760A" w:rsidRDefault="00AB1B4D" w:rsidP="004E4A8E">
      <w:pPr>
        <w:pStyle w:val="NormalHanging12a"/>
      </w:pPr>
      <w:r>
        <w:t>61</w:t>
      </w:r>
      <w:r w:rsidR="004E4A8E" w:rsidRPr="009F760A">
        <w:t>.</w:t>
      </w:r>
      <w:r w:rsidR="004E4A8E" w:rsidRPr="009F760A">
        <w:tab/>
        <w:t xml:space="preserve">glæder sig over den nye fremdrift i de bilaterale forbindelser mellem EU og Armenien, som støttes på det kraftigste af myndighederne i Jerevan; opfordrer Kommissionen og Rådet til aktivt at støtte Armeniens ønske om øget samarbejde med EU; udtrykker fuld støtte til det nyligt indledte arbejde med dagsordenen for partnerskabet mellem EU og </w:t>
      </w:r>
      <w:r w:rsidR="004E4A8E" w:rsidRPr="009F760A">
        <w:lastRenderedPageBreak/>
        <w:t>Armenien, der fastlægger mere ambitiøse fælles prioriteter for samarbejde på tværs af alle dimensioner;</w:t>
      </w:r>
    </w:p>
    <w:p w14:paraId="2331D04D" w14:textId="515AF420" w:rsidR="004E4A8E" w:rsidRPr="009F760A" w:rsidRDefault="00AB1B4D" w:rsidP="004E4A8E">
      <w:pPr>
        <w:pStyle w:val="NormalHanging12a"/>
      </w:pPr>
      <w:r>
        <w:t>62</w:t>
      </w:r>
      <w:r w:rsidR="004E4A8E" w:rsidRPr="009F760A">
        <w:t>.</w:t>
      </w:r>
      <w:r w:rsidR="004E4A8E" w:rsidRPr="009F760A">
        <w:tab/>
        <w:t>giver udtryk for sin kraftige opbakning til aktiviteterne under Den Europæiske Unions mission i Armenien (EUMA) og fremhæver den vigtige rolle, den spiller; opfordrer EUMA til fortsat nøje at overvåge udviklingen i sikkerhedssituationen på stedet, sørge for gennemsigtig rapportering til Parlamentet og bidrage aktivt til konfliktløsningsbestræbelserne; opfordrer EU og dets medlemsstater til at styrke EUMA's mandat, øge missionens størrelse og forlænge dens varighed; opfordrer de aserbajdsjanske myndigheder til at indvillige i at have en sådan civil mission på deres side af grænsen også;</w:t>
      </w:r>
    </w:p>
    <w:p w14:paraId="4910EA38" w14:textId="29543DDA" w:rsidR="004E4A8E" w:rsidRPr="009F760A" w:rsidRDefault="00AB1B4D" w:rsidP="004E4A8E">
      <w:pPr>
        <w:pStyle w:val="NormalHanging12a"/>
      </w:pPr>
      <w:r>
        <w:t>63</w:t>
      </w:r>
      <w:r w:rsidR="004E4A8E" w:rsidRPr="009F760A">
        <w:t>.</w:t>
      </w:r>
      <w:r w:rsidR="004E4A8E" w:rsidRPr="009F760A">
        <w:tab/>
        <w:t>er af den opfattelse, at tyngdepunktet i den globale orden er ved at skifte til den indopacifiske region, og at EU skal styrke sin aktive rolle og tilstedeværelse i denne region for at beskytte sine interesser, fremme stabilitet og opretholde en regelbaseret international orden; gentager, at en fredelig, fri, stabil og regelbaseret indopacifisk region er en afgørende europæisk interesse; er bekymret over, at stormagtskonkurrence i regionen skaber begrænsninger for EU's evne til at fremme multilateralisme i regionen; påpeger i denne forbindelse, at Asien-Europa-mødet stadig er hæmmet på grund af de geopolitiske spændinger med Rusland; opfordrer i denne sammenhæng til styrkede udenrigs-, sikkerheds- og forsvarspolitiske forbindelser med ligesindede partnere i regionen i overensstemmelse med EU's strategi for samarbejde i den indopacifiske region; opfordrer NF/HR til at fremme synligheden og virkningen af EU's optræden udadtil sammen med vores partnere i den indopacifiske region, navnlig Australien, Indien, New Zealand, Sydkorea, Japan og Taiwan;</w:t>
      </w:r>
    </w:p>
    <w:p w14:paraId="28F654CA" w14:textId="1FD59FF3" w:rsidR="004E4A8E" w:rsidRPr="009F760A" w:rsidRDefault="00AB1B4D" w:rsidP="004E4A8E">
      <w:pPr>
        <w:pStyle w:val="NormalHanging12a"/>
      </w:pPr>
      <w:r>
        <w:t>64</w:t>
      </w:r>
      <w:r w:rsidR="004E4A8E" w:rsidRPr="009F760A">
        <w:t>.</w:t>
      </w:r>
      <w:r w:rsidR="004E4A8E" w:rsidRPr="009F760A">
        <w:tab/>
        <w:t>minder i denne forbindelse om det strategiske partnerskab, som EU har med Japan, og som bør fungere som en rollemodel for et frugtbart bilateralt partnerskab, der muliggør en effektiv politikudformning i multilaterale sammenhænge; bemærker, at EU og Japan i 2024 fejrer 50-året for deres respektive diplomatiske missioner, og understreger kraftigt EU's interesse i at uddybe og udvide dette partnerskab bilateralt i de kommende 50 år; glæder sig i denne forbindelse over den økonomiske partnerskabsaftale mellem EU og Japan og den strategiske partnerskabsaftale mellem EU og Japan, hvoraf sidstnævnte bl.a. indeholder bestemmelser om høringer om udviklingen af de respektive forsvarsinitiativer, herunder udveksling af oplysninger om forsvarsindustrirelaterede spørgsmål, samt udforskning af en eventuel gensidig inddragelse i de respektive forsvarsinitiativer;</w:t>
      </w:r>
    </w:p>
    <w:p w14:paraId="0D1F992F" w14:textId="6165F941" w:rsidR="004E4A8E" w:rsidRPr="009F760A" w:rsidRDefault="00AB1B4D" w:rsidP="004E4A8E">
      <w:pPr>
        <w:pStyle w:val="NormalHanging12a"/>
      </w:pPr>
      <w:r>
        <w:t>65</w:t>
      </w:r>
      <w:r w:rsidR="004E4A8E" w:rsidRPr="009F760A">
        <w:t>.</w:t>
      </w:r>
      <w:r w:rsidR="004E4A8E" w:rsidRPr="009F760A">
        <w:tab/>
        <w:t>noterer sig, at geopolitiske udfordringer har styrket EU's og Indiens fælles interesse i at garantere sikkerhed, velstand og bæredygtig udvikling; opfordrer til et topmøde mellem Indien og EU for at bevare de bilaterale forbindelser højt på dagsordenen; peger på klimaændringer og grøn vækst, digitalisering og nye teknologier, forskning og udvikling, konnektivitet, handel og investeringer samt udenrigs-, sikkerheds- og forsvarspolitik som afgørende samarbejdsområder; opfordrer i den forbindelse til større opbakning fra medlemsstaternes side; opfordrer ligeledes medlemsstaterne til at udbygge og udvide samarbejdet mellem Indien og EU om maritim sikkerhed som reaktion på Kinas øgede tilstedeværelse i den indopacifiske region; fremhæver behovet for at gå i dialog med Indien om landets store militære afhængighed af Rusland og om dets leverancer til Rusland af kritiske teknologier, som er omfattet af restriktioner; opfordrer indtrængende Indien til at fordømme Ruslands ulovlige angrebskrig mod Ukraine og til at tilslutte sig EU's sanktionspolitik over for Rusland;</w:t>
      </w:r>
    </w:p>
    <w:p w14:paraId="104464B6" w14:textId="2018137F" w:rsidR="004E4A8E" w:rsidRPr="009F760A" w:rsidRDefault="00AB1B4D" w:rsidP="004E4A8E">
      <w:pPr>
        <w:pStyle w:val="NormalHanging12a"/>
      </w:pPr>
      <w:r>
        <w:lastRenderedPageBreak/>
        <w:t>66</w:t>
      </w:r>
      <w:r w:rsidR="004E4A8E" w:rsidRPr="009F760A">
        <w:t>.</w:t>
      </w:r>
      <w:r w:rsidR="004E4A8E" w:rsidRPr="009F760A">
        <w:tab/>
        <w:t xml:space="preserve">mener, at Indien er en vigtig demokratisk partner, og tilskynder EU til i sit samarbejde med den indiske regering at have et strengt fokus på overholdelse af menneskerettigheder og retsstatsprincippet både internt og på verdensplan; opfordrer til at gennemføre EU-strategien for Indien fra 2018 og EU-Indien-køreplanen frem til 2025 i deres fulde udstrækning i tæt samordning med medlemsstaternes egne tiltag; understreger navnlig behovet for at fremme større synergier i udenrigs- og sikkerhedspolitikken gennem eksisterende dialogmekanismer og andre fora, som er etableret inden for rammerne af EU-Indien-køreplanen frem til 2025; </w:t>
      </w:r>
      <w:r w:rsidR="007E08CC" w:rsidRPr="007E08CC">
        <w:t xml:space="preserve">mener, at kommissionsformandens og kommissærkollegiets betydningsfulde besøg i Indien den 27. og 28. februar 2025 markerede begyndelsen på et nyt kapitel i historien om forbindelserne mellem EU og Indien og bekræftede den strategiske forbindelse og det uudnyttede potentiale heri; </w:t>
      </w:r>
      <w:r w:rsidR="004E4A8E" w:rsidRPr="009F760A">
        <w:t>glæder sig over meddelelsen om en kommende strategisk dagsorden for EU og Indien;</w:t>
      </w:r>
    </w:p>
    <w:p w14:paraId="2AD85C48" w14:textId="56B0C3A8" w:rsidR="004E4A8E" w:rsidRPr="009F760A" w:rsidRDefault="00AB1B4D" w:rsidP="004E4A8E">
      <w:pPr>
        <w:pStyle w:val="NormalHanging12a"/>
      </w:pPr>
      <w:r>
        <w:t>67</w:t>
      </w:r>
      <w:r w:rsidR="004E4A8E" w:rsidRPr="009F760A">
        <w:t>.</w:t>
      </w:r>
      <w:r w:rsidR="004E4A8E" w:rsidRPr="009F760A">
        <w:tab/>
        <w:t>gentager EU's engagement "ét Kina-politikken" som et af principperne i forbindelserne mellem EU og Kina; understreger, at Taiwan er en central demokratisk partner for EU i den indopacifiske region; anerkender Taiwans betydning for at sikre globale forsyningskæder, navnlig inden for den højteknologiske sektor, og opfordrer indtrængende EU og EU-medlemsstaterne til at indlede et tættere samarbejde med Taiwan med henblik på yderligere at fremme de økonomiske samt handels- og investeringsmæssige bånd; tilskynder Kommissionen til straks at iværksætte forberedende foranstaltninger til forhandlinger om en investeringsaftale med Taiwan; understreger, at ethvert forsøg fra autoritære regimer på at begrænse den gunstige udvikling af forbindelserne mellem EU og Taiwan er uacceptabelt;</w:t>
      </w:r>
    </w:p>
    <w:p w14:paraId="4958F88B" w14:textId="564ED9AC" w:rsidR="004E4A8E" w:rsidRPr="009F760A" w:rsidRDefault="00AB1B4D" w:rsidP="004E4A8E">
      <w:pPr>
        <w:pStyle w:val="NormalHanging12a"/>
      </w:pPr>
      <w:r>
        <w:t>68</w:t>
      </w:r>
      <w:r w:rsidR="004E4A8E" w:rsidRPr="009F760A">
        <w:t>.</w:t>
      </w:r>
      <w:r w:rsidR="004E4A8E" w:rsidRPr="009F760A">
        <w:tab/>
        <w:t>fordømmer på det kraftigste Kinas fortsatte militære provokationer mod Taiwan og gentager sin håndfaste afvisning af enhver ensidig ændring af status quo i Taiwanstrædet; opfordrer EU og dets medlemsstater til gennem en klar og tydelig tilkendegivelse at sikre, at ethvert forsøg på ensidigt at ændre status quo i Taiwanstrædet, særlig ved brug af magt eller tvang ikke kan accepteres og vil have høje omkostninger; fremhæver, at der ikke er grundlag for Kinas territorialkrav i den internationale ret, og at kun Taiwans demokratisk valgte regering kan repræsentere den taiwanske befolkning; fordømmer endvidere Kinas blokering af Taiwans meningsfulde deltagelse i multilaterale organisationer såsom WHO, Organisationen for International Civil Luftfart og FN's rammekonvention om klimaændringer ved dets fortsatte fordrejning af FN's Generalforsamlings resolution 2758; opfordrer derfor EU og dets medlemsstater til at støtte Taiwans meningsfulde deltagelse i relevante internationale organisationer;</w:t>
      </w:r>
    </w:p>
    <w:p w14:paraId="7543C3C9" w14:textId="2A018CED" w:rsidR="004E4A8E" w:rsidRPr="009F760A" w:rsidRDefault="00AB1B4D" w:rsidP="004E4A8E">
      <w:pPr>
        <w:pStyle w:val="NormalHanging12a"/>
      </w:pPr>
      <w:r>
        <w:t>69</w:t>
      </w:r>
      <w:r w:rsidR="004E4A8E" w:rsidRPr="009F760A">
        <w:t>.</w:t>
      </w:r>
      <w:r w:rsidR="004E4A8E" w:rsidRPr="009F760A">
        <w:tab/>
        <w:t xml:space="preserve">udtrykker dyb bekymring over de seneste ændringer i Kinas indenlandske og militære holdning siden den 20. nationale kongres i Kinas kommunistparti; har det synspunkt, at Kina viser, at landet har både hensigt om og i stigende grad også den økonomiske, diplomatiske, teknologiske og militære magt til at ændre verdensordenen; understreger, at strategien for militær og civil fusion er et vidnesbyrd om sådanne midler; understreger i denne forbindelse, at EU skal være mere assertiv og forenet i sin tilgang til Kina, og opfordrer derfor NF/HR og medlemsstaterne til at revidere strategien over for Kina, så den fuldt ud tager hensyn til de stadig mere undertrykkende nationale politikker, den assertive udenrigspolitik samt anvendelsen af økonomisk tvang som et middel, hvormed Kina sigter mod at nå sine mål; mener, at udfordringerne som følge af Kinas udvikling som global aktør kræver et afbalanceret flerdimensionelt svar i overensstemmelse med princippet om at samarbejde, når det er muligt, konkurrere, når der er behov for det, og konfrontere, når det er nødvendigt, gennem hvilket EU bevarer </w:t>
      </w:r>
      <w:r w:rsidR="004E4A8E" w:rsidRPr="009F760A">
        <w:lastRenderedPageBreak/>
        <w:t>sit selektive samarbejde med Kina som et permanent medlem af FN's Sikkerhedsråd vedrørende en række centrale spørgsmål;</w:t>
      </w:r>
    </w:p>
    <w:p w14:paraId="43BAE750" w14:textId="18883A17" w:rsidR="004E4A8E" w:rsidRPr="009F760A" w:rsidRDefault="00AB1B4D" w:rsidP="004E4A8E">
      <w:pPr>
        <w:pStyle w:val="NormalHanging12a"/>
      </w:pPr>
      <w:r>
        <w:t>70</w:t>
      </w:r>
      <w:r w:rsidR="004E4A8E" w:rsidRPr="009F760A">
        <w:t>.</w:t>
      </w:r>
      <w:r w:rsidR="004E4A8E" w:rsidRPr="009F760A">
        <w:tab/>
        <w:t xml:space="preserve">fremhæver, at Folkerepublikken Kinas stadig mere aggressive stilling udgør en trussel mod retten til fri sejlads og bringer stabiliteten, som er afgørende for den globale handel, i fare; understreger, at denne situation iagttages med bekymring af et stigende antal ligesindede partnere, der er engageret i fred og stabilitet i regionen; understreger behovet for at styrke afskrækkelsen mod destabiliserende adfærd, herunder gennem regelmæssige operationer, for at håndhæve retten til fri sejlads som modsvar til Kinas forsøg på at ville kontrollere internationale farvande og internationalt luftrum; </w:t>
      </w:r>
    </w:p>
    <w:p w14:paraId="7448B41D" w14:textId="3D293D9A" w:rsidR="004E4A8E" w:rsidRPr="009F760A" w:rsidRDefault="00AB1B4D" w:rsidP="004E4A8E">
      <w:pPr>
        <w:pStyle w:val="NormalHanging12a"/>
      </w:pPr>
      <w:r>
        <w:t>71</w:t>
      </w:r>
      <w:r w:rsidR="004E4A8E" w:rsidRPr="009F760A">
        <w:t>.</w:t>
      </w:r>
      <w:r w:rsidR="004E4A8E" w:rsidRPr="009F760A">
        <w:tab/>
        <w:t>er af den opfattelse, at Kina gennem den fortsatte vækst i det kinesisk-russiske strategiske partnerskab, herunder inden for teknologioverførsel og overførsel af militær kapacitet, (indirekte) muliggør den russiske angrebskrig mod Ukraine;</w:t>
      </w:r>
    </w:p>
    <w:p w14:paraId="2432A463" w14:textId="722D0E17" w:rsidR="004E4A8E" w:rsidRPr="009F760A" w:rsidRDefault="00AB1B4D" w:rsidP="004E4A8E">
      <w:pPr>
        <w:pStyle w:val="NormalHanging12a"/>
      </w:pPr>
      <w:r>
        <w:t>72</w:t>
      </w:r>
      <w:r w:rsidR="004E4A8E" w:rsidRPr="009F760A">
        <w:t>.</w:t>
      </w:r>
      <w:r w:rsidR="004E4A8E" w:rsidRPr="009F760A">
        <w:tab/>
        <w:t>gentager sin fordømmelse af Kinas overtrædelse af dets internationale forpligtelser, dets overtrædelser af den kinesisk-britiske og den kinesisk-portugisiske fælleserklæring, den internationale konvention om borgerlige og politiske rettigheder, princippet om "ét land, to systemer" og Hongkongs forfatning samt undertrykkelsen af den særlige administrative regions selvstyre og oppositionsledere, herunder medlemmer af civilsamfundet og deres familiemedlemmer; opfordrer Kommissionen til at vurdere Hongkongs og Macaos status som selvstyrende i lyset af Kinas overtrædelser af den kinesisk-britiske og den kinesisk-portugisiske fælleserklæring og den hårde linje imod Hongkongs autonomi;</w:t>
      </w:r>
    </w:p>
    <w:p w14:paraId="45D93A83" w14:textId="45827DB1" w:rsidR="004E4A8E" w:rsidRPr="009F760A" w:rsidRDefault="00AB1B4D" w:rsidP="004E4A8E">
      <w:pPr>
        <w:pStyle w:val="NormalHanging12a"/>
      </w:pPr>
      <w:r>
        <w:t>73</w:t>
      </w:r>
      <w:r w:rsidR="004E4A8E" w:rsidRPr="009F760A">
        <w:t>.</w:t>
      </w:r>
      <w:r w:rsidR="004E4A8E" w:rsidRPr="009F760A">
        <w:tab/>
        <w:t>er bekymret over kinesiske virksomheders voksende økonomiske indtrængen i EU, herunder i strategiske sektorer som batterifremstilling; understreger det presserende behov for at fortsætte politikken med risikobegrænsning ved fortsat at mindske den økonomiske afhængighed i kritiske sektorer i overensstemmelse med EU's strategi for økonomisk sikkerhed;</w:t>
      </w:r>
    </w:p>
    <w:p w14:paraId="39A6978B" w14:textId="3A1CDA86" w:rsidR="004E4A8E" w:rsidRPr="009F760A" w:rsidRDefault="00AB1B4D" w:rsidP="004E4A8E">
      <w:pPr>
        <w:pStyle w:val="NormalHanging12a"/>
      </w:pPr>
      <w:r>
        <w:t>74</w:t>
      </w:r>
      <w:r w:rsidR="004E4A8E" w:rsidRPr="009F760A">
        <w:t>.</w:t>
      </w:r>
      <w:r w:rsidR="004E4A8E" w:rsidRPr="009F760A">
        <w:tab/>
        <w:t>understreger, at Sammenslutningen af Sydøstasiatiske Nationer (ASEAN) er en afgørende partner med hensyn til at styrke regelbaseret multilateralisme; støtter ASEAN's bestræbelser på at afslutte forhandlingerne med Kina om en effektiv og omfattende adfærdskodeks i Det Sydkinesiske Hav; tilskynder til øget EU-engagement og samarbejde med ASEAN samt bestræbelser på at opnå et omfattende strategisk partnerskab, der bygger på økonomiske bånd og bæredygtig vækst, og navnlig på politisk samarbejde med hensyn til menneskerettigheder og demokrati; opfordrer til at øge støtten til Myanmars nationale samlingsregering og til at lægge større pres på ASEAN-landene for at tilpasse sig internationale sanktioner mod Myanmars militærjunta;</w:t>
      </w:r>
    </w:p>
    <w:p w14:paraId="4710952C" w14:textId="7FF81DBE" w:rsidR="004E4A8E" w:rsidRPr="009F760A" w:rsidRDefault="00AB1B4D" w:rsidP="004E4A8E">
      <w:pPr>
        <w:pStyle w:val="NormalHanging12a"/>
      </w:pPr>
      <w:r>
        <w:t>75</w:t>
      </w:r>
      <w:r w:rsidR="004E4A8E" w:rsidRPr="009F760A">
        <w:t>.</w:t>
      </w:r>
      <w:r w:rsidR="004E4A8E" w:rsidRPr="009F760A">
        <w:tab/>
        <w:t xml:space="preserve">opfordrer indtrængende NF/HR og medlemsstaterne til at fokusere på bilaterale forbindelser med partnere i Afrika, bl.a. </w:t>
      </w:r>
      <w:r w:rsidR="007E08CC" w:rsidRPr="007E08CC">
        <w:t xml:space="preserve">Sydafrika, </w:t>
      </w:r>
      <w:r w:rsidR="004E4A8E" w:rsidRPr="009F760A">
        <w:t>Ghana, Marokko, Kenya, Senegal og Mauretanien, under hensyntagen til gensidige behov og interesser med henblik på at fremme reelle og afbalancerede partnerskaber; mener, at "mere for mere-princippet" bør integreres fuldt ud i forbindelserne med ikke-EU-lande, hvorved EU udvikler stærkere partnerskaber med de lande, der overholder principperne for FUSP og den fælles sikkerheds- og forsvarspolitik (FSFP) samt EU's grundlæggende værdier; er af den overbevisning, at EU fortsat skal have fokus på Afrika, som i forvejen er et strategisk kontinent, og som vil blive en stadig vigtigere aktør i fremtiden;</w:t>
      </w:r>
    </w:p>
    <w:p w14:paraId="6237A57B" w14:textId="6C9A04C5" w:rsidR="004E4A8E" w:rsidRPr="009F760A" w:rsidRDefault="00AB1B4D" w:rsidP="004E4A8E">
      <w:pPr>
        <w:pStyle w:val="NormalHanging12a"/>
      </w:pPr>
      <w:r>
        <w:lastRenderedPageBreak/>
        <w:t>76</w:t>
      </w:r>
      <w:r w:rsidR="004E4A8E" w:rsidRPr="009F760A">
        <w:t>.</w:t>
      </w:r>
      <w:r w:rsidR="004E4A8E" w:rsidRPr="009F760A">
        <w:tab/>
        <w:t xml:space="preserve">opfordrer EU til at suspendere både sit aftalememorandum om råmaterialer og alt militært samarbejde med Rwanda, herunder gennem EPF eller enhver anden mekanisme, indtil Rwanda stopper sin ulovlige støtte til væbnede grupper og fuldt ud respekterer Den Demokratiske Republik Congos (DRC's) suverænitet og territoriale integritet; fordømmer de krænkelser af suverænitet og territorial integritet, som M23-oprørerne har begået i den østlige del af DRC; </w:t>
      </w:r>
      <w:r w:rsidR="007E08CC" w:rsidRPr="007E08CC">
        <w:t xml:space="preserve">fordømmer M23-gruppens overtagelse af Goma og Bukavu og dens fortsatte offensiv i Sydkivu, som yderligere har forværret den akutte humanitære krise, øget risikoen for destabilisering af DRC og for en fuld regional krig; støtter Luanda Nairobi-fredsprocessen med henblik på at opnå en politisk løsning på konflikten med diplomatiske midler og opfordrer indtrængende NF/HR til at fortsætte det diplomatiske opsøgende arbejde over for konflikten og de regionale parter og til at øge presset på parterne for at genoptage fredelige forhandlinger, herunder gennem udsættelse af EU's sikkerheds- og forsvarskonsultationer med Rwanda og vedtagelse af sanktioner afhængigt af situationen på stedet og fremskridt i de igangværende regionale mæglingsprocesser; </w:t>
      </w:r>
      <w:r w:rsidR="004E4A8E" w:rsidRPr="009F760A">
        <w:t>er dybt bekymret over den humanitære situation for tusindvis af fordrevne personer i området; opfordrer indtrængende NF/HR til at engagere sig i klare aktioner i overensstemmelse med EU's strategi for De Store Søers Område med henblik på at genoprette stabiliteten og til at samarbejde med FN's stabiliseringsmission i Den Demokratiske Republik Congo (MONUSCO) om beskyttelse af civile i den østlige del af DRC;</w:t>
      </w:r>
    </w:p>
    <w:p w14:paraId="0BD43A20" w14:textId="6BB5F86B" w:rsidR="004E4A8E" w:rsidRPr="009F760A" w:rsidRDefault="00AB1B4D" w:rsidP="004E4A8E">
      <w:pPr>
        <w:pStyle w:val="NormalHanging12a"/>
      </w:pPr>
      <w:r>
        <w:t>77</w:t>
      </w:r>
      <w:r w:rsidR="004E4A8E" w:rsidRPr="009F760A">
        <w:t>.</w:t>
      </w:r>
      <w:r w:rsidR="004E4A8E" w:rsidRPr="009F760A">
        <w:tab/>
        <w:t>understreger, at den seneste udvikling i Tunesien har givet anledning til bekymringer med hensyn til menneskerettigheder og demokratiske standarder, idet der er forlydender om begrænset åbenhed, indskrænket deltagelse af oppositionen og mindre politisk konkurrence ved præsidentvalget; understreger EU's fortsatte forpligtelse over for og støtte til Tunesien i denne politisk og socioøkonomisk følsomme tid gennem opretholdelse af kontakten på forskellige niveauer;</w:t>
      </w:r>
    </w:p>
    <w:p w14:paraId="67C69A51" w14:textId="33268777" w:rsidR="004E4A8E" w:rsidRPr="009F760A" w:rsidRDefault="00AB1B4D" w:rsidP="004E4A8E">
      <w:pPr>
        <w:pStyle w:val="NormalHanging12a"/>
      </w:pPr>
      <w:r>
        <w:t>78</w:t>
      </w:r>
      <w:r w:rsidR="004E4A8E" w:rsidRPr="009F760A">
        <w:t>.</w:t>
      </w:r>
      <w:r w:rsidR="004E4A8E" w:rsidRPr="009F760A">
        <w:tab/>
        <w:t>understreger, at EU har en direkte og vital interesse i stabilitet, sikkerhed og økonomisk vækst i Middelhavsområdet og i hele det sydlige naboskabsområde; minder om, at den europæiske naboskabspolitik blev lanceret med prisværdige mål om at fremme stabilitet, velstand og god regeringsførelse i det sydlige Middelhavsområde; anerkender imidlertid, at det i dag er klart, at dens instrumenter, mål og principper ikke længere er i overensstemmelse med den nuværende virkelighed i regionen; beklager, at etableringen af et område med fælles velstand, stabilitet og frihed med Middelhavslandene i det sydlige naboskabsområde ikke er fuldendt næsten 30 år efter lanceringen af den såkaldte Barcelonaproces; opfordrer Kommissionen til at fremlægge en ny pagt for Middelhavsområdet; mener, at EU og de sydlige nabolande bør indgå aftalememoranda, der har til formål at fremme stabilitet, velstand og forsvar af menneskerettighederne, forudsat at der samarbejdes om migration; minder om, at ustabiliteten og usikkerheden i de sydlige nabolande fortsat er en vedvarende udfordring for forvaltningen af de ydre europæiske grænser; mener, at EU, samtidig med at det prioriterer bilaterale forbindelser med landene i regionen, også fortsat bør fremme regionalt samarbejde gennem eksisterende rammer såsom Middelhavsunionen; glæder sig over, at der er udnævnt en kommissær med ansvar for Middelhavet;</w:t>
      </w:r>
    </w:p>
    <w:p w14:paraId="491AF436" w14:textId="6827AA8F" w:rsidR="004E4A8E" w:rsidRPr="009F760A" w:rsidRDefault="00AB1B4D" w:rsidP="004E4A8E">
      <w:pPr>
        <w:pStyle w:val="NormalHanging12a"/>
      </w:pPr>
      <w:r>
        <w:t>79</w:t>
      </w:r>
      <w:r w:rsidR="004E4A8E" w:rsidRPr="009F760A">
        <w:t>.</w:t>
      </w:r>
      <w:r w:rsidR="004E4A8E" w:rsidRPr="009F760A">
        <w:tab/>
        <w:t xml:space="preserve">understreger nødvendigheden af, at EU styrker og udbygger sit samarbejde med arabiske lande og Golfstaterne som reaktion på de presserende geopolitiske, sociale og økonomiske udfordringer, som regionen står over for; fremhæver, at et styrket samarbejde bør prioritere nøgleområder såsom migration, digital omstilling, sikkerhed, den grønne omstilling og kulturel udveksling med henblik på at opbygge et robust partnerskab; opfordrer til at anlægge en strategisk tilgang, der skræddersyr samarbejdet </w:t>
      </w:r>
      <w:r w:rsidR="004E4A8E" w:rsidRPr="009F760A">
        <w:lastRenderedPageBreak/>
        <w:t>med det enkelte land med henblik på at fremme bæredygtig udvikling og gensidig forståelse;</w:t>
      </w:r>
    </w:p>
    <w:p w14:paraId="2A178CD7" w14:textId="54C710FB" w:rsidR="004E4A8E" w:rsidRPr="009F760A" w:rsidRDefault="00AB1B4D" w:rsidP="004E4A8E">
      <w:pPr>
        <w:pStyle w:val="NormalHanging12a"/>
      </w:pPr>
      <w:r>
        <w:t>80</w:t>
      </w:r>
      <w:r w:rsidR="004E4A8E" w:rsidRPr="009F760A">
        <w:t>.</w:t>
      </w:r>
      <w:r w:rsidR="004E4A8E" w:rsidRPr="009F760A">
        <w:tab/>
        <w:t>glæder sig over den vellykkede afslutning af det første topmøde mellem EU og Golfstaternes Samarbejdsråd (GCC) og mener, at dette topmøde har markeret et afgørende øjeblik i forholdet mellem EU og dets partnere fra GCC og understreget vores gensidige forpligtelse til at styrke båndene på tværs af centrale strategiske, økonomiske og kulturelle områder;</w:t>
      </w:r>
    </w:p>
    <w:p w14:paraId="6482EA0C" w14:textId="73E34FA3" w:rsidR="004E4A8E" w:rsidRPr="009F760A" w:rsidRDefault="00AB1B4D" w:rsidP="004E4A8E">
      <w:pPr>
        <w:pStyle w:val="NormalHanging12a"/>
      </w:pPr>
      <w:r>
        <w:t>81</w:t>
      </w:r>
      <w:r w:rsidR="004E4A8E" w:rsidRPr="009F760A">
        <w:t>.</w:t>
      </w:r>
      <w:r w:rsidR="004E4A8E" w:rsidRPr="009F760A">
        <w:tab/>
        <w:t>understreger betydningen af at opretholde og fremme demokratiske værdier i regionen; fordømmer stigningen i hadefuld tale, herunder mod EU-institutionerne, og angreb på individuelle frihedsrettigheder og den internationale orden, både i og uden for medlemsstaterne;</w:t>
      </w:r>
    </w:p>
    <w:p w14:paraId="0D59B550" w14:textId="727313FA" w:rsidR="004E4A8E" w:rsidRPr="009F760A" w:rsidRDefault="00AB1B4D" w:rsidP="004E4A8E">
      <w:pPr>
        <w:pStyle w:val="NormalHanging12a"/>
      </w:pPr>
      <w:r>
        <w:t>82</w:t>
      </w:r>
      <w:r w:rsidR="004E4A8E" w:rsidRPr="009F760A">
        <w:t>.</w:t>
      </w:r>
      <w:r w:rsidR="004E4A8E" w:rsidRPr="009F760A">
        <w:tab/>
        <w:t>understreger, at landene i EU, Latinamerika og Caribien er ligesindede og deler værdier, sprog, historie, kultur og religion, hvilket bør gøre dem til naturlige partnere i nutidens geopolitiske kontekst; bemærker, at EU's engagement i regionen er gået tilbage i de seneste årtier, hvilket har skabt et tomrum for øget indflydelse fra Kina og Rusland; opfordrer indtrængende de latinamerikanske lande til at indtage en stærkere holdning i fordømmelsen af Ruslands aggression mod Ukraine; opfordrer medlemsstaterne og EU-Udenrigstjenesten til at føre proaktivt diplomati i regionen med stor vægt på at forsvare den multilaterale globale orden, den internationale ret og respekt for demokrati og menneskerettigheder; opfordrer indtrængende til multilaterale initiativer til håndtering af politisk ustabilitet i de mest ustabile lande i regionen, f.eks. i Haiti;</w:t>
      </w:r>
    </w:p>
    <w:p w14:paraId="458D8791" w14:textId="43D25016" w:rsidR="004E4A8E" w:rsidRPr="009F760A" w:rsidRDefault="00AB1B4D" w:rsidP="004E4A8E">
      <w:pPr>
        <w:pStyle w:val="NormalHanging12a"/>
      </w:pPr>
      <w:r>
        <w:t>83</w:t>
      </w:r>
      <w:r w:rsidR="004E4A8E" w:rsidRPr="009F760A">
        <w:t>.</w:t>
      </w:r>
      <w:r w:rsidR="004E4A8E" w:rsidRPr="009F760A">
        <w:tab/>
        <w:t xml:space="preserve">glæder sig over undertegnelsen af den nye avancerede rammeaftale mellem EU og Chile og opfordrer til en hurtig og fuldstændig ratificering af aftalen; </w:t>
      </w:r>
      <w:r w:rsidR="007E08CC" w:rsidRPr="007E08CC">
        <w:t xml:space="preserve">glæder sig ligeledes over afslutningen af forhandlingerne om den moderniserede </w:t>
      </w:r>
      <w:r w:rsidR="004E4A8E" w:rsidRPr="009F760A">
        <w:t>globale aftale mellem EU og Mexico</w:t>
      </w:r>
      <w:r w:rsidR="007E08CC" w:rsidRPr="007E08CC">
        <w:t>, som Kommissionen bebudede den 17. januar 2025, og som Parlamentet stadig mangler at godkende; fremhæver, at aftalen vil styrke EU's strategiske partnerskab med Mexico og anerkende landets centrale rolle i Latinamerika og dets ambition om at diversificere de handelsmæssige og politiske partnerskaber for at mindske den økonomiske afhængighed af USA</w:t>
      </w:r>
      <w:r w:rsidR="004E4A8E" w:rsidRPr="009F760A">
        <w:t>;</w:t>
      </w:r>
    </w:p>
    <w:p w14:paraId="6196A6C8" w14:textId="765735FA" w:rsidR="004E4A8E" w:rsidRPr="009F760A" w:rsidRDefault="00AB1B4D" w:rsidP="004E4A8E">
      <w:pPr>
        <w:pStyle w:val="NormalHanging12a"/>
      </w:pPr>
      <w:r>
        <w:t>84</w:t>
      </w:r>
      <w:r w:rsidR="004E4A8E" w:rsidRPr="009F760A">
        <w:t>.</w:t>
      </w:r>
      <w:r w:rsidR="004E4A8E" w:rsidRPr="009F760A">
        <w:tab/>
      </w:r>
      <w:r w:rsidR="0071454E" w:rsidRPr="0071454E">
        <w:t xml:space="preserve">noterer sig </w:t>
      </w:r>
      <w:r w:rsidR="004E4A8E" w:rsidRPr="009F760A">
        <w:t xml:space="preserve">indgåelsen af aftalen med Mercosur; </w:t>
      </w:r>
      <w:r w:rsidR="0071454E" w:rsidRPr="0071454E">
        <w:t xml:space="preserve">udtrykker bekymring over aftalens potentielt negative indvirkning på EU's bæredygtigheds- og sikkerhedsstandarder og på konkurrenceevnen i EU's landbrugsfødevaresektor og </w:t>
      </w:r>
      <w:r w:rsidR="004E4A8E" w:rsidRPr="009F760A">
        <w:t xml:space="preserve">understreger, at Parlamentet </w:t>
      </w:r>
      <w:r w:rsidR="0071454E">
        <w:t>skal</w:t>
      </w:r>
      <w:r w:rsidR="0071454E" w:rsidRPr="009F760A">
        <w:t xml:space="preserve"> </w:t>
      </w:r>
      <w:r w:rsidR="004E4A8E" w:rsidRPr="009F760A">
        <w:t xml:space="preserve">undersøge, om </w:t>
      </w:r>
      <w:r w:rsidR="0071454E" w:rsidRPr="0071454E">
        <w:t xml:space="preserve">aftalen </w:t>
      </w:r>
      <w:r w:rsidR="004E4A8E" w:rsidRPr="009F760A">
        <w:t xml:space="preserve">opfylder </w:t>
      </w:r>
      <w:r w:rsidR="0071454E" w:rsidRPr="0071454E">
        <w:t>EU's bæredygtighedsstandarder og er i overensstemmelse med gensidighedsprincippet, før der kan tags stilling til, om aftalen skal ratificeres</w:t>
      </w:r>
      <w:r w:rsidR="004E4A8E" w:rsidRPr="009F760A">
        <w:t>;</w:t>
      </w:r>
    </w:p>
    <w:p w14:paraId="6B893014" w14:textId="0ABEBDCC" w:rsidR="004E4A8E" w:rsidRPr="009F760A" w:rsidRDefault="00AB1B4D" w:rsidP="004E4A8E">
      <w:pPr>
        <w:pStyle w:val="NormalHanging12a"/>
      </w:pPr>
      <w:r>
        <w:t>85</w:t>
      </w:r>
      <w:r w:rsidR="004E4A8E" w:rsidRPr="009F760A">
        <w:t>.</w:t>
      </w:r>
      <w:r w:rsidR="004E4A8E" w:rsidRPr="009F760A">
        <w:tab/>
        <w:t>glæder sig over det uformelle møde mellem EU og Sammenslutningen af Latinamerikanske og Caribiske Stater (CELAC) og gennemførelsen af initiativer inden for rammerne af EU-CELAC-køreplanen for 2023-2025 og understreger i den forbindelse behovet for at vedtage en ny og ambitiøs køreplan på topmødet i 2025, som sikrer en fortsat styrkelse af partnerskabet og tager højde for hidtil bedste praksis;</w:t>
      </w:r>
    </w:p>
    <w:p w14:paraId="09065EEA" w14:textId="5283E5E5" w:rsidR="004E4A8E" w:rsidRPr="009F760A" w:rsidRDefault="00AB1B4D" w:rsidP="004E4A8E">
      <w:pPr>
        <w:pStyle w:val="NormalHanging12a"/>
      </w:pPr>
      <w:r>
        <w:t>86</w:t>
      </w:r>
      <w:r w:rsidR="004E4A8E" w:rsidRPr="009F760A">
        <w:t>.</w:t>
      </w:r>
      <w:r w:rsidR="004E4A8E" w:rsidRPr="009F760A">
        <w:tab/>
        <w:t xml:space="preserve">understreger behovet for en hårdere kurs over for vold mod miljøforkæmpere og for at intensivere EU's bestræbelser på at bidrage til bevarelsen af biodiversitet og til tilpasning til klimakatastrofen; foreslår en yderligere styrkelse af samarbejdet om bekæmpelse af organiseret kriminalitet og narkohandel, som også har konsekvenser for EU; opfordrer til en væsentlig forøgelse af det biregionale samarbejde i kampen mod </w:t>
      </w:r>
      <w:r w:rsidR="004E4A8E" w:rsidRPr="009F760A">
        <w:lastRenderedPageBreak/>
        <w:t>dette fænomen;</w:t>
      </w:r>
    </w:p>
    <w:p w14:paraId="5473DCFF" w14:textId="2917512B" w:rsidR="004E4A8E" w:rsidRPr="009F760A" w:rsidRDefault="00AB1B4D" w:rsidP="004E4A8E">
      <w:pPr>
        <w:pStyle w:val="NormalHanging12a"/>
      </w:pPr>
      <w:r>
        <w:t>87</w:t>
      </w:r>
      <w:r w:rsidR="004E4A8E" w:rsidRPr="009F760A">
        <w:t>.</w:t>
      </w:r>
      <w:r w:rsidR="004E4A8E" w:rsidRPr="009F760A">
        <w:tab/>
        <w:t>opfordrer NF/HR til at gøre arbejdet med ligesindede demokratier til en prioritet i sin mandatperiode og til at systematisere samarbejdet og samrådet med demokratiske ligesindede partnere med henblik på at fremme demokrati og forbedre det fælles beredskab og adgangen til kriseresponsressourcer; gentager i den forbindelse henstillingen om at styrke båndene med regionale organisationer såsom ASEAN og Den Afrikanske Union for at forstærke samarbejdsrammen på sikkerhedsområdet;</w:t>
      </w:r>
    </w:p>
    <w:p w14:paraId="7BF1FFFE" w14:textId="7E91A354" w:rsidR="004E4A8E" w:rsidRPr="009F760A" w:rsidRDefault="00AB1B4D" w:rsidP="004E4A8E">
      <w:pPr>
        <w:pStyle w:val="NormalHanging12a"/>
      </w:pPr>
      <w:r>
        <w:t>88</w:t>
      </w:r>
      <w:r w:rsidR="004E4A8E" w:rsidRPr="009F760A">
        <w:t>.</w:t>
      </w:r>
      <w:r w:rsidR="004E4A8E" w:rsidRPr="009F760A">
        <w:tab/>
        <w:t>gentager sin støtte til det europæiske politiske fællesskab som en platform til drøftelser, dialog og samarbejde med europæiske partnere om de udenrigspolitiske og sikkerhedsmæssige udfordringer, vi står over for, med henblik på at styrke sikkerheden og stabiliteten i Europa og tilstræbe politisk og sikkerhedsmæssigt samarbejde baseret på fælles interesser; opfordrer til tæt inddragelse af Parlamentet i præciseringen af dette fællesskabs omfang og fremtidige arbejde; understreger, at en vis grad af tilpasning til demokratiske værdier og principper er afgørende for, at dette format kan blive en succes og have sammenhængskraft i fremtiden; gentager, at det europæiske politiske fællesskab under ingen omstændigheder må blive et påskud for forsinkelser af udvidelseslandes tiltrædelse af EU;</w:t>
      </w:r>
    </w:p>
    <w:p w14:paraId="0DF6BFEB" w14:textId="3433BD03" w:rsidR="004E4A8E" w:rsidRPr="009F760A" w:rsidRDefault="00AB1B4D" w:rsidP="004E4A8E">
      <w:pPr>
        <w:pStyle w:val="NormalHanging12a"/>
      </w:pPr>
      <w:r>
        <w:t>89</w:t>
      </w:r>
      <w:r w:rsidR="004E4A8E" w:rsidRPr="009F760A">
        <w:t>.</w:t>
      </w:r>
      <w:r w:rsidR="004E4A8E" w:rsidRPr="009F760A">
        <w:tab/>
        <w:t xml:space="preserve">mener også, at det er vigtigt at opbygge nye alliancer, bl.a. med landene i vores naboskabsområde samt i det globale syd, under hensyntagen til gensidige behov og interesser med henblik på at fremme reelle, afbalancerede og ligeværdige partnerskaber; understreger vigtigheden af, at disse politiske aftaler med tredjelande indgås på grundlag af fælles europæiske værdier og grundlæggende rettigheder; opfordrer EU til at imødekomme partnerlandenes forventninger og hurtigt levere resultater vedrørende de politiske aftaler med dem for at vise, at EU er en troværdig og strategisk partner, og at det internationale regelbaserede system kan løse de aktuelle udfordringer; opfordrer </w:t>
      </w:r>
      <w:r w:rsidR="00D94AF8" w:rsidRPr="00D94AF8">
        <w:t>Kommissionen til at sikre aktiv inddragelse af Parlamentet i etableringen, gennemførelsen og overvågningen af de fremtidige rene handels- og invest</w:t>
      </w:r>
      <w:r w:rsidR="00D94AF8">
        <w:t xml:space="preserve">eringspartnerskaber; opfordrer </w:t>
      </w:r>
      <w:r w:rsidR="004E4A8E" w:rsidRPr="009F760A">
        <w:t xml:space="preserve">i denne forbindelse til samarbejdsinitiativer mellem EU og landene i det globale syd for at vurdere og tackle gældskrisen; bemærker, at aftalerne med det globale syd, navnlig om råstoffer, bør bidrage til den lokale økonomiske udvikling og ikke øge afhængigheden og den uhæmmede ressourceudnyttelse; </w:t>
      </w:r>
    </w:p>
    <w:p w14:paraId="4E2D4B99" w14:textId="77777777" w:rsidR="004E4A8E" w:rsidRPr="009F760A" w:rsidRDefault="004E4A8E" w:rsidP="004E4A8E">
      <w:pPr>
        <w:pStyle w:val="NormalHanging12a"/>
        <w:rPr>
          <w:i/>
          <w:u w:val="single"/>
        </w:rPr>
      </w:pPr>
      <w:r w:rsidRPr="009F760A">
        <w:rPr>
          <w:i/>
          <w:u w:val="single"/>
        </w:rPr>
        <w:t xml:space="preserve">Fremme af EU's indsats i udlandet </w:t>
      </w:r>
    </w:p>
    <w:p w14:paraId="3ABA1362" w14:textId="3FE6DA5B" w:rsidR="004E4A8E" w:rsidRPr="009F760A" w:rsidRDefault="00AB1B4D" w:rsidP="004E4A8E">
      <w:pPr>
        <w:pStyle w:val="NormalHanging12a"/>
      </w:pPr>
      <w:r>
        <w:t>90</w:t>
      </w:r>
      <w:r w:rsidR="004E4A8E" w:rsidRPr="009F760A">
        <w:t>.</w:t>
      </w:r>
      <w:r w:rsidR="004E4A8E" w:rsidRPr="009F760A">
        <w:tab/>
        <w:t>fremhæver NF/HR's rolle som brobygger mellem FUSP og EU's eksterne forbindelser med henblik på at sikre det højeste niveau af koordinering og sammenhæng i EU's optræden udadtil; understreger behovet for, at EU fremmer synligheden og effektiviteten af sin optræden udadtil og sine bestræbelser på udviklingssamarbejde, men beklager ikke desto mindre, at der i nogle tilfælde mangler klarhed i EU's eksterne repræsentation, hvilket hindrer EU's strategiske kommunikation i udlandet; understreger behovet for klart at definere kompetencerne hos NF/HR, formanden for Kommissionen og formanden for Det Europæiske Råd med hensyn til EU's optræden udadtil og eksterne repræsentation, således at EU's stemme er klar og opfattes som sådan af dets partnere; opfordrer Kommissionen til at styrke sin koordinering med EU-Udenrigstjenesten af foranstaltningerne udadtil, herunder ved at garantere fuld overholdelse af artikel 3, stk. 2, og artikel 9, i afgørelsen om EU-Udenrigstjenesten</w:t>
      </w:r>
      <w:r w:rsidR="004E4A8E" w:rsidRPr="00E37738">
        <w:rPr>
          <w:rStyle w:val="FootnoteReference"/>
        </w:rPr>
        <w:footnoteReference w:id="17"/>
      </w:r>
      <w:r w:rsidR="004E4A8E" w:rsidRPr="00E37738">
        <w:t xml:space="preserve">, </w:t>
      </w:r>
      <w:r w:rsidR="004E4A8E" w:rsidRPr="00E37738">
        <w:lastRenderedPageBreak/>
        <w:t xml:space="preserve">som muligvis skal ajourføres; </w:t>
      </w:r>
    </w:p>
    <w:p w14:paraId="0F867889" w14:textId="1653ACBA" w:rsidR="004E4A8E" w:rsidRPr="009F760A" w:rsidRDefault="00AB1B4D" w:rsidP="004E4A8E">
      <w:pPr>
        <w:pStyle w:val="NormalHanging12a"/>
      </w:pPr>
      <w:r>
        <w:t>91</w:t>
      </w:r>
      <w:r w:rsidR="004E4A8E" w:rsidRPr="009F760A">
        <w:t>.</w:t>
      </w:r>
      <w:r w:rsidR="004E4A8E" w:rsidRPr="009F760A">
        <w:tab/>
        <w:t>opfordrer til, at EU-Udenrigstjenesten – både dens hovedkvarter og EU-delegationerne – styrkes gennem tilvejebringelse af passende finansielle og menneskelige ressourcer, således at EU kan være bedre forberedt på nuværende og nye globale udfordringer; opfordrer til, at EU-Udenrigstjenesten skal kunne udvælge og ansætte sit fastansatte EU-diplomatiske personale og sikre en fair kønsfordeling og geografisk ligevægt mellem medlemsstaterne på alle niveauer i EU-Udenrigstjenesten; opfordrer NF/HR til hurtigt at fremsætte forslag til den fremtidige operationelle struktur for EU's optræden udadtil og til med henblik herpå i fuld udstrækning at tage hensyn til Parlamentets henstilling af 15. marts 2023 om status over EU-Udenrigstjenestens funktionsmåde og om et stærkere EU i verden</w:t>
      </w:r>
      <w:r w:rsidR="004E4A8E" w:rsidRPr="00E37738">
        <w:rPr>
          <w:rStyle w:val="FootnoteReference"/>
        </w:rPr>
        <w:footnoteReference w:id="18"/>
      </w:r>
      <w:r w:rsidR="004E4A8E" w:rsidRPr="00E37738">
        <w:t>; understreger behovet for at styrke den strategiske kommunikation og EU's arbe</w:t>
      </w:r>
      <w:r w:rsidR="004E4A8E" w:rsidRPr="009F760A">
        <w:t>jde med at modvirke desinformation ved hjælp af målrettede ressourcer og kontorer i strategisk relevante regioner og lande;</w:t>
      </w:r>
    </w:p>
    <w:p w14:paraId="34CAE2C2" w14:textId="231622FB" w:rsidR="004E4A8E" w:rsidRPr="009F760A" w:rsidRDefault="00AB1B4D" w:rsidP="004E4A8E">
      <w:pPr>
        <w:pStyle w:val="NormalHanging12a"/>
      </w:pPr>
      <w:r>
        <w:t>92</w:t>
      </w:r>
      <w:r w:rsidR="004E4A8E" w:rsidRPr="009F760A">
        <w:t>.</w:t>
      </w:r>
      <w:r w:rsidR="004E4A8E" w:rsidRPr="009F760A">
        <w:tab/>
        <w:t xml:space="preserve">minder om, at EU har en strategisk interesse i at fremme bæredygtig udvikling, fattigdomsbekæmpelse og lighed globalt, da sådanne tiltag bidrager til langsigtet global fred og sikkerhed; opfordrer Kommissionen til effektivt og hurtigt at anvende Global Gateway-initiativet som et bæredygtigt alternativ til Kinas "ét bælte, én vej"-initiativ og som et instrument til at øge EU's tilstedeværelse og synlighed på verdensplan; minder om, at Global Gateway-initiativet skal forstås som et strategisk koncept, der integrerer udenrigs-, økonomi- og udviklingspolitik, herunder klimaomstillingen og den digitale omstilling, samt infrastrukturinvesteringer med henblik på at styrke et tæt partnerskab baseret på gensidige fordele, økonomisk udvikling og modstandsdygtige forsyningskæder; understreger i denne forbindelse, at koordination med internationale finansielle institutioner, en veldefineret inddragelse af den private sektor samt skræddersyet strategisk kommunikation, herunder i modtagerlandene, er afgørende for, at instrumentet får det ønskede omfang; er bekymret over meldinger om, at en række Global Gateway-projekter gennemføres af kinesiske virksomheder i direkte strid med initiativets hensigter og mål, som bl.a. er at styrke EU's økonomiske sikkerhed og fremme økonomisk udvikling og gensidigt fordelagtige partnerskaber med tredjelande; opfordrer derfor til at foretage en øjeblikkelig undersøgelse og ekskludere alle kinesiske virksomheder, der er involveret i Global Gateway; understreger, at EU's støtte bør supplere andre initiativer, såsom partnerskabet for global infrastruktur og globale investeringer, den økonomiske korridor mellem Indien, Mellemøsten og Europa og Lobito-korridoren, og navnlig bør sigte mod at nå verdensmålene for bæredygtig udvikling; </w:t>
      </w:r>
    </w:p>
    <w:p w14:paraId="6669EEC9" w14:textId="2348AEA2" w:rsidR="004E4A8E" w:rsidRPr="009F760A" w:rsidRDefault="00AB1B4D" w:rsidP="004E4A8E">
      <w:pPr>
        <w:pStyle w:val="NormalHanging12a"/>
      </w:pPr>
      <w:r>
        <w:t>93</w:t>
      </w:r>
      <w:r w:rsidR="004E4A8E" w:rsidRPr="009F760A">
        <w:t>.</w:t>
      </w:r>
      <w:r w:rsidR="004E4A8E" w:rsidRPr="009F760A">
        <w:tab/>
        <w:t xml:space="preserve">gentager, at Parlamentet spiller en integreret rolle i FUSP og yder et særligt bidrag hertil i kraft af sit parlamentariske diplomati og sine særskilte instrumenter, kanaler og kontakter, herunder dets demokratistøtteprogrammer, Udenrigsudvalget, regelmæssige parlamentariske dialoger og officielle delegationer; fremhæver, at parlamentarisk diplomati har et stort potentiale til at engagere vigtige politiske interessenter og fremme demokratisk regeringsførelse; understreger navnlig merværdien af parlamentarisk </w:t>
      </w:r>
      <w:r w:rsidR="004E4A8E" w:rsidRPr="009F760A">
        <w:lastRenderedPageBreak/>
        <w:t xml:space="preserve">diplomati i forbindelse med den russiske angrebskrig mod Ukraine og fremhæver i denne sammenhæng det værdifulde samarbejde på politisk og teknisk niveau mellem Ukraines Verkhovna Rada og Europa-Parlamentet; </w:t>
      </w:r>
    </w:p>
    <w:p w14:paraId="08FA8BB6" w14:textId="36604037" w:rsidR="004E4A8E" w:rsidRPr="009F760A" w:rsidRDefault="00AB1B4D" w:rsidP="004E4A8E">
      <w:pPr>
        <w:pStyle w:val="NormalHanging12a"/>
      </w:pPr>
      <w:r>
        <w:t>94</w:t>
      </w:r>
      <w:r w:rsidR="004E4A8E" w:rsidRPr="009F760A">
        <w:t>.</w:t>
      </w:r>
      <w:r w:rsidR="004E4A8E" w:rsidRPr="009F760A">
        <w:tab/>
        <w:t xml:space="preserve">er overbevist om, at diplomati er en væsentlig del af EU's indsats; opfordrer på denne baggrund til yderligere udvikling af EU's forebyggende diplomati som et proaktivt udenrigspolitisk redskab til at foregribe, mægle og løse konflikter mellem parterne på fredelig vis; opfordrer EU-Udenrigstjenesten til at integrere EU's forebyggende diplomatiske redskaber i strukturelle forebyggelsesmekanismer og -foranstaltninger, såsom politiske aftaler mellem forskellige aktører, der er involveret i konflikter, nationale dialoger om forsoning, fredsopbygning og retsopgør samt sandheds- og forsoningskommissioner; opfordrer indtrængende EU-Udenrigstjenesten til at gennemføre øvelser i "indhøstede erfaringer" for at vurdere den diplomatiske indsats, kortlægge områder med plads til forbedring og integrere bedste praksis i fremtidige initiativer; opfordrer til, at EU-Udenrigstjenestens kapacitet i disse henseender øges, navnlig i de relevante kriseberedskabs- og indsatsafdelinger; understreger det presserende behov for at fordoble det relevante EU-budget inden for instrumentet for naboskab, udviklingssamarbejde og internationalt samarbejde og kraftigt øge EU's indsats inden for mægling, dialog og forsoning; </w:t>
      </w:r>
    </w:p>
    <w:p w14:paraId="0ECE6DCE" w14:textId="258C3CC6" w:rsidR="004E4A8E" w:rsidRDefault="00AB1B4D" w:rsidP="004E4A8E">
      <w:pPr>
        <w:pStyle w:val="NormalHanging12a"/>
      </w:pPr>
      <w:r>
        <w:t>95</w:t>
      </w:r>
      <w:r w:rsidR="004E4A8E" w:rsidRPr="009F760A">
        <w:t>.</w:t>
      </w:r>
      <w:r w:rsidR="004E4A8E" w:rsidRPr="009F760A">
        <w:tab/>
        <w:t>bekræfter den rolle, som EU's særlige repræsentanter (EUSR'er) spiller, idet de fremmer EU's politikker og interesser i specifikke regioner og lande og spiller en vigtig rolle i udviklingen af en stærkere og mere effektiv FUSP ved at give EU en aktiv politisk tilstedeværelse i vigtige lande og regioner og fungere som en "stemme" og et "ansigt" for EU og dets politikker; understreger betydningen af at udstyre EU's særlige repræsentanter med tilstrækkelige ressourcer, der sætter dem i stand til effektivt at udføre disse opgaver; understreger vigtigheden af, at EU's særlige repræsentanter har et bredt og fleksibelt mandat, der kan tilpasses skiftende geopolitiske omstændigheder, så de kan fremme EU's politikker og interesser i specifikke regioner og lande og spille en aktiv rolle i de forebyggende diplomatiske bestræbelser; fastholder, at udnævnelsen af nye særlige EU-repræsentanter først bør ske efter en høring i Parlamentet;</w:t>
      </w:r>
    </w:p>
    <w:p w14:paraId="197CE1EB" w14:textId="100433A7" w:rsidR="00E87D3F" w:rsidRPr="009F760A" w:rsidRDefault="00AB1B4D" w:rsidP="004E4A8E">
      <w:pPr>
        <w:pStyle w:val="NormalHanging12a"/>
        <w:rPr>
          <w:bCs/>
        </w:rPr>
      </w:pPr>
      <w:r>
        <w:t>96</w:t>
      </w:r>
      <w:r w:rsidR="00E87D3F">
        <w:t>.</w:t>
      </w:r>
      <w:r w:rsidR="00E87D3F">
        <w:tab/>
      </w:r>
      <w:r w:rsidR="00E87D3F" w:rsidRPr="00E87D3F">
        <w:t>understreger, at korruption muliggør og forværrer menneskerettighedskrænkelser, overgreb og udhuling af de demokratiske principper og retsstatsprincippet; opfordrer EU og dets medlemsstater til at imødegå de risici, som korruption udgør for stabilitet, regeringsførelse og fred, og til at forebygge og imødegå disse trusler mod EU's interesser og mod den globale velstand og sikkerhed, navnlig i EU's østlige og sydlige nabolande; opfordrer til tættere koordinering mellem EU, dets medlemsstater og allierede og partnere, hvor det er muligt, med henblik på at bekæmpe systemisk korruption, der styrker autokratiske regimer, letter udbredelsen af ondsindet indflydelse, fratager samfundene væsentlige ressourcer og undergraver de demokratiske værdier, menneskerettighederne og retsstatsprincippet; understreger den afgørende rolle, som civilsamfundet og uafhængige journalister i lande uden for EU spiller med hensyn til at overvåge og afsløre korruption; opfordrer derfor EU til at vedtage en omfattende og hurtigt gennemført ramme for bekæmpelse af korruption inden for sin udenrigspolitik, der omfatter EU's sanktionsordning, det foreslåede direktiv om bekæmpelse af korruption og EU's bredere strategi for bekæmpelse af korruption; opfordrer indtrængende NF/HR til at foreslå konkrete og vidtrækkende foranstaltninger i denne henseende og støtter medtagelsen af bestemmelser om bekæmpelse af korruption i EU's handelsaftaler med tredjelande;</w:t>
      </w:r>
    </w:p>
    <w:p w14:paraId="20574384" w14:textId="0C3E383B" w:rsidR="004E4A8E" w:rsidRPr="009F760A" w:rsidRDefault="00AB1B4D" w:rsidP="004E4A8E">
      <w:pPr>
        <w:pStyle w:val="NormalHanging12a"/>
      </w:pPr>
      <w:r>
        <w:t>97</w:t>
      </w:r>
      <w:r w:rsidR="004E4A8E" w:rsidRPr="009F760A">
        <w:t>.</w:t>
      </w:r>
      <w:r w:rsidR="004E4A8E" w:rsidRPr="009F760A">
        <w:tab/>
        <w:t xml:space="preserve">understreger EU's missioner og operationer i udlandet med henblik på at fremme fred, </w:t>
      </w:r>
      <w:r w:rsidR="004E4A8E" w:rsidRPr="009F760A">
        <w:lastRenderedPageBreak/>
        <w:t>sikkerhed og fremskridt i Europa og i verden; opfordrer NF/HR til:</w:t>
      </w:r>
    </w:p>
    <w:p w14:paraId="4EC5E3F6" w14:textId="511C10F7" w:rsidR="004E4A8E" w:rsidRPr="009F760A" w:rsidRDefault="004057DA" w:rsidP="004E4A8E">
      <w:pPr>
        <w:pStyle w:val="NormalHanging12a"/>
        <w:ind w:left="993" w:hanging="284"/>
      </w:pPr>
      <w:r w:rsidRPr="009F760A">
        <w:t>–</w:t>
      </w:r>
      <w:r w:rsidR="004E4A8E" w:rsidRPr="009F760A">
        <w:tab/>
        <w:t>at udarbejde forslagene til de nødvendige FUSP-missioner, der skal iværksættes i 2025, med anvendelse af EU-kapaciteten til hurtig deployering (RDC) som forebyggende militær forstærkning; minder om, at administrationsudgifterne til disse foranstaltninger, herunder standby-omkostningerne til EU-kapaciteten til hurtig deployering, bør afholdes over EU-budgettet</w:t>
      </w:r>
    </w:p>
    <w:p w14:paraId="18C73960" w14:textId="3AEEFFD0" w:rsidR="004E4A8E" w:rsidRPr="009F760A" w:rsidRDefault="004057DA" w:rsidP="004E4A8E">
      <w:pPr>
        <w:pStyle w:val="NormalHanging12a"/>
        <w:ind w:left="993" w:hanging="284"/>
      </w:pPr>
      <w:r w:rsidRPr="009F760A">
        <w:t>–</w:t>
      </w:r>
      <w:r w:rsidR="004E4A8E" w:rsidRPr="009F760A">
        <w:tab/>
        <w:t>at samarbejde med Cypern, Tyrkiet, Det Forenede Kongerige og FN om at gennemføre konkrete foranstaltninger til en demilitarisering af stødpudezonen i Cypern og forbedre sikkerheden på øen, både for det græsk-cypriotiske samfund og for det tyrkisk-cypriotiske samfund</w:t>
      </w:r>
    </w:p>
    <w:p w14:paraId="2DF0C5A8" w14:textId="7C5C821A" w:rsidR="004E4A8E" w:rsidRPr="009F760A" w:rsidRDefault="004057DA" w:rsidP="004E4A8E">
      <w:pPr>
        <w:pStyle w:val="NormalHanging12a"/>
        <w:ind w:left="993" w:hanging="284"/>
      </w:pPr>
      <w:r w:rsidRPr="009F760A">
        <w:t>–</w:t>
      </w:r>
      <w:r w:rsidR="004E4A8E" w:rsidRPr="009F760A">
        <w:tab/>
        <w:t>at bakke op om en større rolle for EU's to civile FSFP-missioner – EUPOL COPPS og EU BAM Rafah – i overensstemmelse med konklusionerne fra Det Europæiske Råds møde den 21. og 22. marts 2024, hvori Det Europæiske Råd mindede om, at de kan spille en vigtig rolle baseret på princippet om en tostatsløsning og en fremtidig palæstinensisk stats levedygtighed, og at deltage i at fremme leveringen af humanitær bistand til Gazastriben, at øge Den Palæstinensiske Myndigheds effektivitet på Vestbredden og at forberede dens tilbagevenden til Gazastriben</w:t>
      </w:r>
    </w:p>
    <w:p w14:paraId="08DB9733" w14:textId="61F6E8A2" w:rsidR="004E4A8E" w:rsidRPr="009F760A" w:rsidRDefault="004057DA" w:rsidP="004E4A8E">
      <w:pPr>
        <w:pStyle w:val="NormalHanging12a"/>
        <w:ind w:left="993" w:hanging="284"/>
      </w:pPr>
      <w:r w:rsidRPr="009F760A">
        <w:t>–</w:t>
      </w:r>
      <w:r w:rsidR="004E4A8E" w:rsidRPr="009F760A">
        <w:tab/>
        <w:t>i samråd med Den Palæstinensiske Myndighed og de israelske og egyptiske myndigheder at skabe de nødvendige betingelser for den fulde genoptagelse af EU BAM Rafah, så missionen kan fungere som neutral tredjepart ved grænseovergangen til Rafah; forventer, at en styrkelse af rækkevidden og mandatet for EUPOL COPPS og EU BAM Rafah på stedet medtages som nøgleprioriteter i den kommende EU-strategi for Mellemøsten</w:t>
      </w:r>
    </w:p>
    <w:p w14:paraId="6B4438D8" w14:textId="4B760733" w:rsidR="004E4A8E" w:rsidRPr="009F760A" w:rsidRDefault="004057DA" w:rsidP="004E4A8E">
      <w:pPr>
        <w:pStyle w:val="NormalHanging12a"/>
        <w:ind w:left="993" w:hanging="284"/>
      </w:pPr>
      <w:r w:rsidRPr="009F760A">
        <w:t>–</w:t>
      </w:r>
      <w:r w:rsidR="004E4A8E" w:rsidRPr="009F760A">
        <w:tab/>
        <w:t>yderligere at øge antallet af observatører, der udsendes som led i EU's civile mission i Armenien på den armenske side af den internationale grænse til Aserbajdsjan, og at gentage opfordringerne til Aserbajdsjan om at samarbejde med missionen og indstille sin smædekampagne mod den</w:t>
      </w:r>
    </w:p>
    <w:p w14:paraId="3345B4F3" w14:textId="171D1813" w:rsidR="004E4A8E" w:rsidRPr="009F760A" w:rsidRDefault="004057DA" w:rsidP="004E4A8E">
      <w:pPr>
        <w:pStyle w:val="NormalHanging12a"/>
        <w:ind w:left="993" w:hanging="284"/>
      </w:pPr>
      <w:r w:rsidRPr="009F760A">
        <w:t>–</w:t>
      </w:r>
      <w:r w:rsidR="004E4A8E" w:rsidRPr="009F760A">
        <w:tab/>
        <w:t>at samarbejde med Australien, New Zealand, Republikken Korea, Japan, Taiwan og ASEAN-medlemsstater om at fremme fred og sikkerhed i den indopacifiske og sydøstasiatiske region</w:t>
      </w:r>
    </w:p>
    <w:p w14:paraId="143B9922" w14:textId="7EF2AE7D" w:rsidR="004E4A8E" w:rsidRPr="009F760A" w:rsidRDefault="004057DA" w:rsidP="004E4A8E">
      <w:pPr>
        <w:pStyle w:val="NormalHanging12a"/>
        <w:ind w:left="993" w:hanging="284"/>
      </w:pPr>
      <w:r w:rsidRPr="009F760A">
        <w:t>–</w:t>
      </w:r>
      <w:r w:rsidR="004E4A8E" w:rsidRPr="009F760A">
        <w:tab/>
        <w:t>at udvikle strategier til at modvirke hybride angreb på EU's østlige grænse</w:t>
      </w:r>
      <w:r w:rsidR="0081545A">
        <w:t xml:space="preserve"> </w:t>
      </w:r>
      <w:r w:rsidR="0081545A" w:rsidRPr="0081545A">
        <w:t>og i regionerne i EU's yderste periferi</w:t>
      </w:r>
      <w:r w:rsidR="004E4A8E" w:rsidRPr="009F760A">
        <w:t>, navnlig dem, der involverer instrumentalisering af migration som en taktik til at destabilisere medlemsstaterne og udøve politisk pres</w:t>
      </w:r>
      <w:r w:rsidR="0081545A" w:rsidRPr="0081545A">
        <w:t>, at tilskynde til solidaritet mellem medlemsstaterne med de lande, der står over for sådanne angreb, såsom Polen og Litauen, og at foreslå gengældelsesforanstaltninger mod Comorerne for dets udnyttelse af migrationsbølgerne på Mayotte</w:t>
      </w:r>
      <w:r w:rsidR="004E4A8E" w:rsidRPr="009F760A">
        <w:t>;</w:t>
      </w:r>
    </w:p>
    <w:p w14:paraId="4D6E726F" w14:textId="49FFE981" w:rsidR="004E4A8E" w:rsidRPr="009F760A" w:rsidRDefault="00AB1B4D" w:rsidP="004E4A8E">
      <w:pPr>
        <w:pStyle w:val="NormalHanging12a"/>
      </w:pPr>
      <w:r>
        <w:t>98</w:t>
      </w:r>
      <w:r w:rsidR="004E4A8E" w:rsidRPr="009F760A">
        <w:t>.</w:t>
      </w:r>
      <w:r w:rsidR="004E4A8E" w:rsidRPr="009F760A">
        <w:tab/>
        <w:t xml:space="preserve">opfordrer NF/HR til at følge op på eksemplerne på vellykkede evakueringsaktioner i Sudan og på den øgede konsulære beskyttelse og til at arbejde hen imod et omfattende beskyttelsessystem for EU-borgere i udlandet; understreger, at konsekvenserne af fortsatte kriser og konflikter i verden kan indebære en risiko for at overbelaste medlemsstaternes kapacitet for konsulær beskyttelse og/eller bistand, og opfordrer i den forbindelse til en styrkelse af kapaciteten og ressourcerne i EU-Udenrigstjenestens kriseberedskabscenter og EU-civilbeskyttelsesmekanismen; minder om sin mangeårige </w:t>
      </w:r>
      <w:r w:rsidR="004E4A8E" w:rsidRPr="009F760A">
        <w:lastRenderedPageBreak/>
        <w:t>holdning om at anvende et tilsvarende beskyttelsesniveau for lokalt ansatte i EU-delegationer og FUSP-missioner og -operationer;</w:t>
      </w:r>
    </w:p>
    <w:p w14:paraId="2128F84C" w14:textId="77777777" w:rsidR="004E4A8E" w:rsidRPr="009F760A" w:rsidRDefault="004E4A8E" w:rsidP="004E4A8E">
      <w:pPr>
        <w:pStyle w:val="NormalHanging12a"/>
        <w:rPr>
          <w:b/>
          <w:i/>
        </w:rPr>
      </w:pPr>
      <w:r w:rsidRPr="009F760A">
        <w:rPr>
          <w:b/>
          <w:i/>
        </w:rPr>
        <w:t>III. Den næste FFR og det parlamentariske tilsyn hermed</w:t>
      </w:r>
    </w:p>
    <w:p w14:paraId="3BCA4BA2" w14:textId="79ADCAEF" w:rsidR="004E4A8E" w:rsidRPr="009F760A" w:rsidRDefault="00AB1B4D" w:rsidP="004E4A8E">
      <w:pPr>
        <w:pStyle w:val="NormalHanging12a"/>
      </w:pPr>
      <w:r>
        <w:t>99</w:t>
      </w:r>
      <w:r w:rsidR="004E4A8E" w:rsidRPr="009F760A">
        <w:t>.</w:t>
      </w:r>
      <w:r w:rsidR="004E4A8E" w:rsidRPr="009F760A">
        <w:tab/>
        <w:t>mener, at der er behov for et stærkere institutionaliseret parlamentarisk tilsyn med EU's optræden udadtil, herunder regelmæssig og rettidig, men stadig sikker adgang til fortrolige oplysninger og briefinger i Europa-Parlamentet i overensstemmelse med artikel 36 i TEU; fremhæver behovet for mere feedback fra NF/HR og EU-Udenrigstjenesten om de aktioner, som er gennemført, og de virkninger, der er opnået, med hensyn til at efterkomme Parlamentets henstillinger i beslutningerne om udenrigspolitiske spørgsmål;</w:t>
      </w:r>
    </w:p>
    <w:p w14:paraId="5AC45F64" w14:textId="1B4F2132" w:rsidR="004E4A8E" w:rsidRPr="009F760A" w:rsidRDefault="00AB1B4D" w:rsidP="004E4A8E">
      <w:pPr>
        <w:pStyle w:val="NormalHanging12a"/>
      </w:pPr>
      <w:r>
        <w:t>100</w:t>
      </w:r>
      <w:r w:rsidR="004E4A8E" w:rsidRPr="009F760A">
        <w:t>.</w:t>
      </w:r>
      <w:r w:rsidR="004E4A8E" w:rsidRPr="009F760A">
        <w:tab/>
        <w:t xml:space="preserve">understreger, at Europa-Parlamentet inden for FUSP, som omfatter FSFP, udøver sin budgetfunktion sammen med Rådet; minder om, at Europa-Parlamentet også udøver politisk kontrol med og høring om disse politikker som omhandlet i artikel 36 i TEU; </w:t>
      </w:r>
    </w:p>
    <w:p w14:paraId="3A8C5B7E" w14:textId="45B94412" w:rsidR="004E4A8E" w:rsidRPr="009F760A" w:rsidRDefault="00AB1B4D" w:rsidP="004E4A8E">
      <w:pPr>
        <w:pStyle w:val="NormalHanging12a"/>
      </w:pPr>
      <w:r>
        <w:t>101</w:t>
      </w:r>
      <w:r w:rsidR="004E4A8E" w:rsidRPr="009F760A">
        <w:t>.</w:t>
      </w:r>
      <w:r w:rsidR="004E4A8E" w:rsidRPr="009F760A">
        <w:tab/>
        <w:t>minder om, at alle administrations- og aktionsudgifter inden for FUSP og FSFP i overensstemmelse med artikel 41 i TEU bør afholdes over EU-budgettet, bortset fra udgifter til operationer, der har indvirkning på militær- eller forsvarsområdet;</w:t>
      </w:r>
    </w:p>
    <w:p w14:paraId="359EB449" w14:textId="6F753643" w:rsidR="004E4A8E" w:rsidRPr="009F760A" w:rsidRDefault="00AB1B4D" w:rsidP="004E4A8E">
      <w:pPr>
        <w:pStyle w:val="NormalHanging12a"/>
      </w:pPr>
      <w:r>
        <w:t>102</w:t>
      </w:r>
      <w:r w:rsidR="004E4A8E" w:rsidRPr="009F760A">
        <w:t>.</w:t>
      </w:r>
      <w:r w:rsidR="004E4A8E" w:rsidRPr="009F760A">
        <w:tab/>
        <w:t xml:space="preserve">understreger, at FUSP- eller FSFP-afgørelser, der medfører udgifter, altid udgør grundlæggende valg inden for disse politikker og skal underlægges parlamentarisk tilsyn; opfordrer NF/HR til at høre Parlamentet, inden der fremsættes forslag til FUSP- eller FSFP-afgørelser, for derved at sikre gennemsigtighed og ansvarlighed i overensstemmelse med artikel 36 i TEU; </w:t>
      </w:r>
    </w:p>
    <w:p w14:paraId="24772140" w14:textId="7EAF8C5E" w:rsidR="004E4A8E" w:rsidRPr="009F760A" w:rsidRDefault="00AB1B4D" w:rsidP="004E4A8E">
      <w:pPr>
        <w:pStyle w:val="NormalHanging12a"/>
      </w:pPr>
      <w:r>
        <w:t>103</w:t>
      </w:r>
      <w:r w:rsidR="004E4A8E" w:rsidRPr="009F760A">
        <w:t>.</w:t>
      </w:r>
      <w:r w:rsidR="004E4A8E" w:rsidRPr="009F760A">
        <w:tab/>
        <w:t>minder om, at Parlamentets udøvelse af sin budgetfunktion er uløseligt forbundet med dets funktion med politisk kontrol og høring; minder om, at artikel 36 i TEU fastlægger et specifikt forhold mellem NF/HR og Europa-Parlamentet, hvilket er en forudsætning for, at Parlamentet kan udøve disse funktioner, og at NF/HR bør støtte Parlamentet i denne henseende;</w:t>
      </w:r>
    </w:p>
    <w:p w14:paraId="094347BB" w14:textId="2FA8DEDF" w:rsidR="004E4A8E" w:rsidRPr="009F760A" w:rsidRDefault="00AB1B4D" w:rsidP="004E4A8E">
      <w:pPr>
        <w:pStyle w:val="NormalHanging12a"/>
      </w:pPr>
      <w:r>
        <w:t>104</w:t>
      </w:r>
      <w:r w:rsidR="004E4A8E" w:rsidRPr="009F760A">
        <w:t>.</w:t>
      </w:r>
      <w:r w:rsidR="004E4A8E" w:rsidRPr="009F760A">
        <w:tab/>
        <w:t>beklager, at budgettet for civile FSFP-missioner er utilstrækkeligt; minder om, at antallet af og opgaverne for sådanne missioner er blevet øget, sikkerhedsmiljøet er blevet mere udfordrende, og udgifterne til operationer er steget; opfordrer indtrængende Det Europæiske Råd til at sørge for en væsentlig forhøjelse af FUSP-midlerne under et særskilt udgiftsområde for civil FUSP og krisestyring; opfordrer til, at der sikres en effektiv anvendelse af de midler, der er afsat til civile FSFP-missioner, for at sørge for, at disse missioner sikrer en effektiv reaktion i forbindelse med krisesituationer og uforudsete begivenheder; opfordrer NF/HR og Kommissionen til at fremsætte fælles forslag med henblik herpå;</w:t>
      </w:r>
    </w:p>
    <w:p w14:paraId="75237C3D" w14:textId="7C7ADA10" w:rsidR="004E4A8E" w:rsidRPr="009F760A" w:rsidRDefault="00AB1B4D" w:rsidP="004E4A8E">
      <w:pPr>
        <w:pStyle w:val="NormalHanging12a"/>
      </w:pPr>
      <w:r>
        <w:t>105</w:t>
      </w:r>
      <w:r w:rsidR="004E4A8E" w:rsidRPr="009F760A">
        <w:t>.</w:t>
      </w:r>
      <w:r w:rsidR="004E4A8E" w:rsidRPr="009F760A">
        <w:tab/>
        <w:t>er dybt bekymret over, at EU-Udenrigstjenesten er strukturelt underfinansieret, og at dette allerede har alvorlige og vidtrækkende negative konsekvenser for EU's optræden udadtil og EU-institutionernes præstation på dette område; understreger, at der er behov for en specifik tilgang til EU-Udenrigstjenestens administrationsbudget, og minder om, at manglen på korrigerende foranstaltninger risikerer at få alvorlige konsekvenser for EU's forbindelser med tredjelande;</w:t>
      </w:r>
    </w:p>
    <w:p w14:paraId="6D622FE9" w14:textId="100C9BD7" w:rsidR="004E4A8E" w:rsidRPr="009F760A" w:rsidRDefault="00AB1B4D" w:rsidP="004E4A8E">
      <w:pPr>
        <w:pStyle w:val="NormalHanging12a"/>
      </w:pPr>
      <w:r>
        <w:t>106</w:t>
      </w:r>
      <w:r w:rsidR="004E4A8E" w:rsidRPr="009F760A">
        <w:t>.</w:t>
      </w:r>
      <w:r w:rsidR="004E4A8E" w:rsidRPr="009F760A">
        <w:tab/>
        <w:t>opfordrer Kommissionen til i sit forslag til den næste FFR under udgiftsområdet for EU's optræden udadtil at overveje:</w:t>
      </w:r>
    </w:p>
    <w:p w14:paraId="6AD4F24E" w14:textId="50669556" w:rsidR="004E4A8E" w:rsidRPr="009F760A" w:rsidRDefault="004057DA" w:rsidP="004E4A8E">
      <w:pPr>
        <w:pStyle w:val="NormalHanging12a"/>
        <w:ind w:left="993" w:hanging="284"/>
      </w:pPr>
      <w:r w:rsidRPr="009F760A">
        <w:lastRenderedPageBreak/>
        <w:t>–</w:t>
      </w:r>
      <w:r w:rsidR="004E4A8E" w:rsidRPr="009F760A">
        <w:tab/>
        <w:t>solide kapaciteter og ressourcer til EU's optræden udadtil, der tager hensyn til den stadig mere udfordrende internationale arena, og minder i denne forbindelse om, at det er afgørende yderligere at styrke EU's støtte til menneskerettigheder, demokrati og udvikling i tredjelande</w:t>
      </w:r>
    </w:p>
    <w:p w14:paraId="06609380" w14:textId="4F2004FD" w:rsidR="004E4A8E" w:rsidRPr="009F760A" w:rsidRDefault="004057DA" w:rsidP="004E4A8E">
      <w:pPr>
        <w:pStyle w:val="NormalHanging12a"/>
        <w:ind w:left="993" w:hanging="284"/>
      </w:pPr>
      <w:r w:rsidRPr="009F760A">
        <w:t>–</w:t>
      </w:r>
      <w:r w:rsidR="004E4A8E" w:rsidRPr="009F760A">
        <w:tab/>
        <w:t>ressourcer til EU's digitale diplomati, i betragtning af den aktuelle situation med hurtige teknologiske fremskridt og geopolitisk konkurrence</w:t>
      </w:r>
    </w:p>
    <w:p w14:paraId="42073E09" w14:textId="4372E021" w:rsidR="004E4A8E" w:rsidRPr="009F760A" w:rsidRDefault="004057DA" w:rsidP="004E4A8E">
      <w:pPr>
        <w:pStyle w:val="NormalHanging12a"/>
        <w:ind w:left="993" w:hanging="284"/>
      </w:pPr>
      <w:r w:rsidRPr="009F760A">
        <w:t>–</w:t>
      </w:r>
      <w:r w:rsidR="004E4A8E" w:rsidRPr="009F760A">
        <w:tab/>
        <w:t>ressourcer til grønt diplomati</w:t>
      </w:r>
    </w:p>
    <w:p w14:paraId="2AE3C360" w14:textId="7B7F1CDB" w:rsidR="004E4A8E" w:rsidRPr="009F760A" w:rsidRDefault="004057DA" w:rsidP="004E4A8E">
      <w:pPr>
        <w:pStyle w:val="NormalHanging12a"/>
        <w:ind w:left="993" w:hanging="284"/>
      </w:pPr>
      <w:r w:rsidRPr="009F760A">
        <w:t>–</w:t>
      </w:r>
      <w:r w:rsidR="004E4A8E" w:rsidRPr="009F760A">
        <w:tab/>
        <w:t>et særligt budget for specifikke EU-udenrigspolitiske foranstaltninger vedrørende ligestilling mellem kønnene og dagsordenen for kvinder, fred og sikkerhed med henblik på at integrere kønsperspektiver i EU's diplomatiske indsats og indsats for menneskers sikkerhed</w:t>
      </w:r>
    </w:p>
    <w:p w14:paraId="7ECB071F" w14:textId="5682E555" w:rsidR="004E4A8E" w:rsidRPr="009F760A" w:rsidRDefault="004057DA" w:rsidP="004E4A8E">
      <w:pPr>
        <w:pStyle w:val="NormalHanging12a"/>
        <w:ind w:left="993" w:hanging="284"/>
      </w:pPr>
      <w:r w:rsidRPr="009F760A">
        <w:t>–</w:t>
      </w:r>
      <w:r w:rsidR="004E4A8E" w:rsidRPr="009F760A">
        <w:tab/>
        <w:t xml:space="preserve">ressourcer til forebyggende kontrol af potentielle støttemodtagere for at sikre, at EU-midler under ingen omstændigheder direkte eller indirekte støtter aktiviteter, projekter eller litteratur, der tilskynder til vold og had, herunder antisemitisme, og for at sikre, at alle modtagere af EU-midler overvåges i overensstemmelse hermed; </w:t>
      </w:r>
    </w:p>
    <w:p w14:paraId="4DDD3AE1" w14:textId="4EC33CAE" w:rsidR="004E4A8E" w:rsidRPr="009F760A" w:rsidRDefault="00AB1B4D" w:rsidP="004E4A8E">
      <w:pPr>
        <w:pStyle w:val="NormalHanging12a"/>
      </w:pPr>
      <w:r>
        <w:t>107</w:t>
      </w:r>
      <w:r w:rsidR="004E4A8E" w:rsidRPr="009F760A">
        <w:t>.</w:t>
      </w:r>
      <w:r w:rsidR="004E4A8E" w:rsidRPr="009F760A">
        <w:tab/>
        <w:t>opfordrer Kommissionen til at fremlægge sine forslag til den næste FFR i første halvår af 2025 for at give tilstrækkelig tid til at forhandle programmerne; understreger behovet for en mere detaljeret budgetkontoplan i instrumentet for naboskab, udviklingssamarbejde og internationalt samarbejde, instrumentet til førtiltrædelsesbistand og FUSP-budgettet, som gør det muligt for budgetmyndigheden at fastsætte politiske og geografiske prioriteter inden for rammerne af den årlige budgetprocedure;</w:t>
      </w:r>
    </w:p>
    <w:p w14:paraId="3B28A514" w14:textId="32FBB42E" w:rsidR="004E4A8E" w:rsidRPr="009F760A" w:rsidRDefault="00AB1B4D" w:rsidP="004E4A8E">
      <w:pPr>
        <w:pStyle w:val="NormalHanging12a"/>
      </w:pPr>
      <w:r>
        <w:t>108</w:t>
      </w:r>
      <w:r w:rsidR="004E4A8E" w:rsidRPr="009F760A">
        <w:t>.</w:t>
      </w:r>
      <w:r w:rsidR="004E4A8E" w:rsidRPr="009F760A">
        <w:tab/>
        <w:t>understreger, at alle ovennævnte spørgsmål kræver en passende reaktion fra den udøvende magt; opfordrer NF/HR til at reagere hurtigt og skriftligt på Parlamentets opfordringer, anmodninger og bekymringer; mener, at mundtlige erklæringer i udvalget eller på plenarmødet kun kan udgøre en tilstrækkelig reaktion i ekstraordinære eller hastende tilfælde; understreger, at i den nuværende udfordrende geopolitiske kontekst er et tæt samarbejde og partnerskab mellem Europa-Parlamentet og NF/HR af strategisk betydning; forventer mere systematiske udvekslinger forud for vedtagelsen af mandater og FUSP-strategier og en forbedret informationsstrøm om forhandlinger og gennemførelse af internationale aftaler samt aftalememoranda; forventer desuden, at Parlamentet integreres effektivt i alle EU's eksterne politikker og foranstaltninger, således at der mobiliseres parlamentarisk diplomati til støtte for NF/HR's indsats;</w:t>
      </w:r>
    </w:p>
    <w:p w14:paraId="2151B3DA" w14:textId="77777777" w:rsidR="004E4A8E" w:rsidRPr="009F760A" w:rsidRDefault="004E4A8E" w:rsidP="004E4A8E">
      <w:pPr>
        <w:pStyle w:val="NormalHanging12a"/>
        <w:jc w:val="center"/>
      </w:pPr>
      <w:r w:rsidRPr="009F760A">
        <w:t>°</w:t>
      </w:r>
    </w:p>
    <w:p w14:paraId="566D85E4" w14:textId="77777777" w:rsidR="004E4A8E" w:rsidRPr="009F760A" w:rsidRDefault="004E4A8E" w:rsidP="004E4A8E">
      <w:pPr>
        <w:pStyle w:val="NormalHanging12a"/>
        <w:jc w:val="center"/>
      </w:pPr>
      <w:r w:rsidRPr="009F760A">
        <w:t>°</w:t>
      </w:r>
      <w:r w:rsidRPr="009F760A">
        <w:tab/>
        <w:t>°</w:t>
      </w:r>
    </w:p>
    <w:p w14:paraId="42B6518C" w14:textId="7D3C21CC" w:rsidR="0043217B" w:rsidRPr="009F760A" w:rsidRDefault="00AB1B4D" w:rsidP="0043217B">
      <w:pPr>
        <w:pStyle w:val="NormalHanging12a"/>
      </w:pPr>
      <w:r>
        <w:t>109</w:t>
      </w:r>
      <w:r w:rsidR="004E4A8E" w:rsidRPr="009F760A">
        <w:t>.</w:t>
      </w:r>
      <w:r w:rsidR="004E4A8E" w:rsidRPr="009F760A">
        <w:tab/>
        <w:t>pålægger sin formand at sende denne beslutning til Det Europæiske Råd, Rådet, Kommissionen, næstformanden for Kommissionen/Unionens højtstående repræsentant for udenrigsanliggender og sikkerhedspolitik og medlemsstaternes regeringer og nationale parlamenter.</w:t>
      </w:r>
    </w:p>
    <w:p w14:paraId="676339E7" w14:textId="77777777" w:rsidR="00E365E1" w:rsidRPr="009F760A" w:rsidRDefault="00E365E1" w:rsidP="0039402B"/>
    <w:sectPr w:rsidR="00E365E1" w:rsidRPr="009F760A" w:rsidSect="0043217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DB63A" w14:textId="77777777" w:rsidR="0039402B" w:rsidRPr="0043217B" w:rsidRDefault="0039402B">
      <w:r w:rsidRPr="0043217B">
        <w:separator/>
      </w:r>
    </w:p>
  </w:endnote>
  <w:endnote w:type="continuationSeparator" w:id="0">
    <w:p w14:paraId="77A490CA" w14:textId="77777777" w:rsidR="0039402B" w:rsidRPr="0043217B" w:rsidRDefault="0039402B">
      <w:r w:rsidRPr="004321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8EBC6" w14:textId="77777777" w:rsidR="0039402B" w:rsidRPr="0043217B" w:rsidRDefault="0039402B">
      <w:r w:rsidRPr="0043217B">
        <w:separator/>
      </w:r>
    </w:p>
  </w:footnote>
  <w:footnote w:type="continuationSeparator" w:id="0">
    <w:p w14:paraId="43E8AFF3" w14:textId="77777777" w:rsidR="0039402B" w:rsidRPr="0043217B" w:rsidRDefault="0039402B">
      <w:r w:rsidRPr="0043217B">
        <w:continuationSeparator/>
      </w:r>
    </w:p>
  </w:footnote>
  <w:footnote w:id="1">
    <w:p w14:paraId="45B6A3E8" w14:textId="77777777" w:rsidR="004E4A8E" w:rsidRPr="0043217B" w:rsidRDefault="004E4A8E" w:rsidP="0043217B">
      <w:pPr>
        <w:pStyle w:val="FootnoteText"/>
        <w:ind w:left="567" w:hanging="567"/>
        <w:rPr>
          <w:sz w:val="24"/>
          <w:lang w:val="da-DK"/>
        </w:rPr>
      </w:pPr>
      <w:r w:rsidRPr="0043217B">
        <w:rPr>
          <w:rStyle w:val="FootnoteReference"/>
          <w:sz w:val="24"/>
          <w:lang w:val="da-DK"/>
        </w:rPr>
        <w:footnoteRef/>
      </w:r>
      <w:r w:rsidR="0043217B" w:rsidRPr="0043217B">
        <w:rPr>
          <w:sz w:val="24"/>
          <w:shd w:val="clear" w:color="auto" w:fill="FFFFFF"/>
          <w:lang w:val="da-DK"/>
        </w:rPr>
        <w:t xml:space="preserve"> </w:t>
      </w:r>
      <w:r w:rsidR="0043217B" w:rsidRPr="0043217B">
        <w:rPr>
          <w:sz w:val="24"/>
          <w:shd w:val="clear" w:color="auto" w:fill="FFFFFF"/>
          <w:lang w:val="da-DK"/>
        </w:rPr>
        <w:tab/>
      </w:r>
      <w:r w:rsidRPr="0043217B">
        <w:rPr>
          <w:sz w:val="24"/>
          <w:shd w:val="clear" w:color="auto" w:fill="FFFFFF"/>
          <w:lang w:val="da-DK"/>
        </w:rPr>
        <w:t>EUT L 433 I af 22.12.2020, s. 28, ELI: </w:t>
      </w:r>
      <w:hyperlink r:id="rId1" w:tooltip="Giver adgang til dokumentet via dets ELI URI." w:history="1">
        <w:r w:rsidRPr="0043217B">
          <w:rPr>
            <w:rStyle w:val="Hyperlink"/>
            <w:sz w:val="24"/>
            <w:shd w:val="clear" w:color="auto" w:fill="FFFFFF"/>
            <w:lang w:val="da-DK"/>
          </w:rPr>
          <w:t>http://data.europa.eu/eli/agree_interinstit/2020/1222/oj</w:t>
        </w:r>
      </w:hyperlink>
      <w:r w:rsidRPr="0043217B">
        <w:rPr>
          <w:sz w:val="24"/>
          <w:lang w:val="da-DK"/>
        </w:rPr>
        <w:t>.</w:t>
      </w:r>
    </w:p>
  </w:footnote>
  <w:footnote w:id="2">
    <w:p w14:paraId="0ABACF0E" w14:textId="77777777" w:rsidR="004E4A8E" w:rsidRPr="0043217B" w:rsidRDefault="004E4A8E" w:rsidP="0043217B">
      <w:pPr>
        <w:pStyle w:val="FootnoteText"/>
        <w:ind w:left="567" w:hanging="567"/>
        <w:rPr>
          <w:sz w:val="24"/>
          <w:lang w:val="da-DK"/>
        </w:rPr>
      </w:pPr>
      <w:r w:rsidRPr="0043217B">
        <w:rPr>
          <w:rStyle w:val="FootnoteReference"/>
          <w:sz w:val="24"/>
          <w:lang w:val="da-DK"/>
        </w:rPr>
        <w:footnoteRef/>
      </w:r>
      <w:r w:rsidR="0043217B" w:rsidRPr="0043217B">
        <w:rPr>
          <w:sz w:val="24"/>
          <w:shd w:val="clear" w:color="auto" w:fill="FFFFFF"/>
          <w:lang w:val="da-DK"/>
        </w:rPr>
        <w:t xml:space="preserve"> </w:t>
      </w:r>
      <w:r w:rsidR="0043217B" w:rsidRPr="0043217B">
        <w:rPr>
          <w:sz w:val="24"/>
          <w:shd w:val="clear" w:color="auto" w:fill="FFFFFF"/>
          <w:lang w:val="da-DK"/>
        </w:rPr>
        <w:tab/>
      </w:r>
      <w:r w:rsidRPr="0043217B">
        <w:rPr>
          <w:sz w:val="24"/>
          <w:shd w:val="clear" w:color="auto" w:fill="FFFFFF"/>
          <w:lang w:val="da-DK"/>
        </w:rPr>
        <w:t>EUT L 102 af 24.3.2021, s. 14, ELI: </w:t>
      </w:r>
      <w:hyperlink r:id="rId2" w:tooltip="Giver adgang til dokumentet via dets ELI URI." w:history="1">
        <w:r w:rsidRPr="0043217B">
          <w:rPr>
            <w:rStyle w:val="Hyperlink"/>
            <w:sz w:val="24"/>
            <w:shd w:val="clear" w:color="auto" w:fill="FFFFFF"/>
            <w:lang w:val="da-DK"/>
          </w:rPr>
          <w:t>http://data.europa.eu/eli/dec/2021/509/2024-03-18</w:t>
        </w:r>
      </w:hyperlink>
      <w:r w:rsidRPr="0043217B">
        <w:rPr>
          <w:sz w:val="24"/>
          <w:lang w:val="da-DK"/>
        </w:rPr>
        <w:t>.</w:t>
      </w:r>
    </w:p>
  </w:footnote>
  <w:footnote w:id="3">
    <w:p w14:paraId="3BA60269" w14:textId="77777777" w:rsidR="004E4A8E" w:rsidRPr="00721E1D" w:rsidRDefault="004E4A8E" w:rsidP="0043217B">
      <w:pPr>
        <w:pStyle w:val="FootnoteText"/>
        <w:ind w:left="567" w:hanging="567"/>
        <w:rPr>
          <w:sz w:val="24"/>
        </w:rPr>
      </w:pPr>
      <w:r w:rsidRPr="0043217B">
        <w:rPr>
          <w:rStyle w:val="FootnoteReference"/>
          <w:sz w:val="24"/>
          <w:lang w:val="da-DK"/>
        </w:rPr>
        <w:footnoteRef/>
      </w:r>
      <w:r w:rsidR="0043217B" w:rsidRPr="00721E1D">
        <w:rPr>
          <w:sz w:val="24"/>
          <w:shd w:val="clear" w:color="auto" w:fill="FFFFFF"/>
        </w:rPr>
        <w:t xml:space="preserve"> </w:t>
      </w:r>
      <w:r w:rsidR="0043217B" w:rsidRPr="00721E1D">
        <w:rPr>
          <w:sz w:val="24"/>
          <w:shd w:val="clear" w:color="auto" w:fill="FFFFFF"/>
        </w:rPr>
        <w:tab/>
      </w:r>
      <w:r w:rsidRPr="00721E1D">
        <w:rPr>
          <w:sz w:val="24"/>
          <w:shd w:val="clear" w:color="auto" w:fill="FFFFFF"/>
        </w:rPr>
        <w:t>EUT L, 2024/1449, 24.5.2024, ELI: </w:t>
      </w:r>
      <w:hyperlink r:id="rId3" w:tgtFrame="_blank" w:tooltip="Giver adgang til dokumentet via dets ELI URI." w:history="1">
        <w:r w:rsidRPr="00721E1D">
          <w:rPr>
            <w:sz w:val="24"/>
          </w:rPr>
          <w:t>http://data.europa.eu/eli/reg/2024/1449/oj</w:t>
        </w:r>
      </w:hyperlink>
      <w:r w:rsidRPr="00721E1D">
        <w:rPr>
          <w:sz w:val="24"/>
          <w:shd w:val="clear" w:color="auto" w:fill="FFFFFF"/>
        </w:rPr>
        <w:t>.</w:t>
      </w:r>
    </w:p>
  </w:footnote>
  <w:footnote w:id="4">
    <w:p w14:paraId="4A560211" w14:textId="73E20DDC" w:rsidR="00F27C56" w:rsidRPr="00721E1D" w:rsidRDefault="00F27C56" w:rsidP="00721E1D">
      <w:pPr>
        <w:pStyle w:val="FootnoteText"/>
        <w:ind w:left="567" w:hanging="567"/>
        <w:rPr>
          <w:sz w:val="24"/>
          <w:lang w:val="fi-FI"/>
        </w:rPr>
      </w:pPr>
      <w:r w:rsidRPr="00721E1D">
        <w:rPr>
          <w:rStyle w:val="FootnoteReference"/>
          <w:sz w:val="24"/>
        </w:rPr>
        <w:footnoteRef/>
      </w:r>
      <w:r w:rsidRPr="00721E1D">
        <w:rPr>
          <w:sz w:val="24"/>
          <w:lang w:val="fi-FI"/>
        </w:rPr>
        <w:t xml:space="preserve"> </w:t>
      </w:r>
      <w:r w:rsidRPr="00721E1D">
        <w:rPr>
          <w:sz w:val="24"/>
          <w:lang w:val="fi-FI"/>
        </w:rPr>
        <w:tab/>
        <w:t xml:space="preserve">EUT L, 2025/535, 21.3.2025, ELI: </w:t>
      </w:r>
      <w:hyperlink r:id="rId4" w:history="1">
        <w:r w:rsidRPr="00721E1D">
          <w:rPr>
            <w:rStyle w:val="Hyperlink"/>
            <w:sz w:val="24"/>
            <w:lang w:val="fi-FI"/>
          </w:rPr>
          <w:t>http://data.europa.eu/eli/reg/2025/535/oj</w:t>
        </w:r>
      </w:hyperlink>
      <w:r w:rsidRPr="00721E1D">
        <w:rPr>
          <w:sz w:val="24"/>
          <w:lang w:val="fi-FI"/>
        </w:rPr>
        <w:t>.</w:t>
      </w:r>
    </w:p>
  </w:footnote>
  <w:footnote w:id="5">
    <w:p w14:paraId="6AB74411" w14:textId="77777777" w:rsidR="004E4A8E" w:rsidRPr="0043217B" w:rsidRDefault="004E4A8E" w:rsidP="0043217B">
      <w:pPr>
        <w:pStyle w:val="FootnoteText"/>
        <w:ind w:left="567" w:hanging="567"/>
        <w:rPr>
          <w:b/>
          <w:sz w:val="24"/>
          <w:lang w:val="da-DK"/>
        </w:rPr>
      </w:pPr>
      <w:r w:rsidRPr="0043217B">
        <w:rPr>
          <w:rStyle w:val="FootnoteReference"/>
          <w:sz w:val="24"/>
          <w:lang w:val="da-DK"/>
        </w:rPr>
        <w:footnoteRef/>
      </w:r>
      <w:r w:rsidR="0043217B" w:rsidRPr="0043217B">
        <w:rPr>
          <w:rStyle w:val="Emphasis"/>
          <w:sz w:val="24"/>
          <w:shd w:val="clear" w:color="auto" w:fill="FFFFFF"/>
          <w:lang w:val="da-DK"/>
        </w:rPr>
        <w:t xml:space="preserve"> </w:t>
      </w:r>
      <w:r w:rsidR="0043217B" w:rsidRPr="0043217B">
        <w:rPr>
          <w:rStyle w:val="Emphasis"/>
          <w:sz w:val="24"/>
          <w:shd w:val="clear" w:color="auto" w:fill="FFFFFF"/>
          <w:lang w:val="da-DK"/>
        </w:rPr>
        <w:tab/>
      </w:r>
      <w:r w:rsidRPr="009F760A">
        <w:rPr>
          <w:rStyle w:val="Emphasis"/>
          <w:i w:val="0"/>
          <w:sz w:val="24"/>
          <w:shd w:val="clear" w:color="auto" w:fill="FFFFFF"/>
          <w:lang w:val="da-DK"/>
        </w:rPr>
        <w:t>EUT L 129 I af 17.5.2019, s. 13,</w:t>
      </w:r>
      <w:r w:rsidRPr="0043217B">
        <w:rPr>
          <w:rStyle w:val="Emphasis"/>
          <w:sz w:val="24"/>
          <w:shd w:val="clear" w:color="auto" w:fill="FFFFFF"/>
          <w:lang w:val="da-DK"/>
        </w:rPr>
        <w:t xml:space="preserve"> </w:t>
      </w:r>
      <w:r w:rsidRPr="0043217B">
        <w:rPr>
          <w:sz w:val="24"/>
          <w:shd w:val="clear" w:color="auto" w:fill="FFFFFF"/>
          <w:lang w:val="da-DK"/>
        </w:rPr>
        <w:t>ELI: </w:t>
      </w:r>
      <w:hyperlink r:id="rId5" w:tooltip="Giver adgang til dokumentet via dets ELI URI." w:history="1">
        <w:r w:rsidRPr="0043217B">
          <w:rPr>
            <w:sz w:val="24"/>
            <w:shd w:val="clear" w:color="auto" w:fill="FFFFFF"/>
            <w:lang w:val="da-DK"/>
          </w:rPr>
          <w:t>http://data.europa.eu/eli/dec/2019/797/oj</w:t>
        </w:r>
      </w:hyperlink>
      <w:r w:rsidRPr="0043217B">
        <w:rPr>
          <w:sz w:val="24"/>
          <w:lang w:val="da-DK"/>
        </w:rPr>
        <w:t>.</w:t>
      </w:r>
    </w:p>
  </w:footnote>
  <w:footnote w:id="6">
    <w:p w14:paraId="13BB3CC9" w14:textId="77777777" w:rsidR="004E4A8E" w:rsidRPr="00721E1D" w:rsidRDefault="004E4A8E" w:rsidP="0043217B">
      <w:pPr>
        <w:pStyle w:val="FootnoteText"/>
        <w:ind w:left="567" w:hanging="567"/>
        <w:rPr>
          <w:sz w:val="24"/>
        </w:rPr>
      </w:pPr>
      <w:r w:rsidRPr="0043217B">
        <w:rPr>
          <w:rStyle w:val="FootnoteReference"/>
          <w:sz w:val="24"/>
          <w:lang w:val="da-DK"/>
        </w:rPr>
        <w:footnoteRef/>
      </w:r>
      <w:r w:rsidR="0043217B" w:rsidRPr="00721E1D">
        <w:rPr>
          <w:sz w:val="24"/>
          <w:shd w:val="clear" w:color="auto" w:fill="FFFFFF"/>
        </w:rPr>
        <w:t xml:space="preserve"> </w:t>
      </w:r>
      <w:r w:rsidR="0043217B" w:rsidRPr="00721E1D">
        <w:rPr>
          <w:sz w:val="24"/>
          <w:shd w:val="clear" w:color="auto" w:fill="FFFFFF"/>
        </w:rPr>
        <w:tab/>
      </w:r>
      <w:r w:rsidRPr="00721E1D">
        <w:rPr>
          <w:sz w:val="24"/>
          <w:shd w:val="clear" w:color="auto" w:fill="FFFFFF"/>
        </w:rPr>
        <w:t>EUT C, C/2023/1226, 21.12.2023, ELI: </w:t>
      </w:r>
      <w:hyperlink r:id="rId6" w:tgtFrame="_blank" w:tooltip="Giver adgang til dokumentet via dets ELI URI." w:history="1">
        <w:r w:rsidRPr="00721E1D">
          <w:rPr>
            <w:sz w:val="24"/>
          </w:rPr>
          <w:t>http://data.europa.eu/eli/C/2023/1226/oj</w:t>
        </w:r>
      </w:hyperlink>
      <w:r w:rsidRPr="00721E1D">
        <w:rPr>
          <w:sz w:val="24"/>
          <w:shd w:val="clear" w:color="auto" w:fill="FFFFFF"/>
        </w:rPr>
        <w:t>.</w:t>
      </w:r>
    </w:p>
  </w:footnote>
  <w:footnote w:id="7">
    <w:p w14:paraId="1117A11F" w14:textId="77777777" w:rsidR="004E4A8E" w:rsidRPr="00721E1D" w:rsidRDefault="004E4A8E" w:rsidP="0043217B">
      <w:pPr>
        <w:pStyle w:val="FootnoteText"/>
        <w:ind w:left="567" w:hanging="567"/>
        <w:rPr>
          <w:sz w:val="24"/>
        </w:rPr>
      </w:pPr>
      <w:r w:rsidRPr="0043217B">
        <w:rPr>
          <w:rStyle w:val="FootnoteReference"/>
          <w:sz w:val="24"/>
          <w:lang w:val="da-DK"/>
        </w:rPr>
        <w:footnoteRef/>
      </w:r>
      <w:r w:rsidR="0043217B" w:rsidRPr="00721E1D">
        <w:rPr>
          <w:sz w:val="24"/>
          <w:shd w:val="clear" w:color="auto" w:fill="FFFFFF"/>
        </w:rPr>
        <w:t xml:space="preserve"> </w:t>
      </w:r>
      <w:r w:rsidR="0043217B" w:rsidRPr="00721E1D">
        <w:rPr>
          <w:sz w:val="24"/>
          <w:shd w:val="clear" w:color="auto" w:fill="FFFFFF"/>
        </w:rPr>
        <w:tab/>
      </w:r>
      <w:r w:rsidRPr="00721E1D">
        <w:rPr>
          <w:sz w:val="24"/>
          <w:shd w:val="clear" w:color="auto" w:fill="FFFFFF"/>
        </w:rPr>
        <w:t>EUT C, C/2025/204, 14.1.2025, ELI: </w:t>
      </w:r>
      <w:hyperlink r:id="rId7" w:tgtFrame="_blank" w:tooltip="Giver adgang til dokumentet via dets ELI URI." w:history="1">
        <w:r w:rsidRPr="00721E1D">
          <w:rPr>
            <w:sz w:val="24"/>
          </w:rPr>
          <w:t>http://data.europa.eu/eli/C/2025/204/oj</w:t>
        </w:r>
      </w:hyperlink>
      <w:r w:rsidRPr="00721E1D">
        <w:rPr>
          <w:sz w:val="24"/>
          <w:shd w:val="clear" w:color="auto" w:fill="FFFFFF"/>
        </w:rPr>
        <w:t>.</w:t>
      </w:r>
    </w:p>
  </w:footnote>
  <w:footnote w:id="8">
    <w:p w14:paraId="528CDB48" w14:textId="77777777" w:rsidR="004E4A8E" w:rsidRPr="00721E1D" w:rsidRDefault="004E4A8E" w:rsidP="0043217B">
      <w:pPr>
        <w:pStyle w:val="FootnoteText"/>
        <w:ind w:left="567" w:hanging="567"/>
        <w:rPr>
          <w:sz w:val="24"/>
        </w:rPr>
      </w:pPr>
      <w:r w:rsidRPr="0043217B">
        <w:rPr>
          <w:rStyle w:val="FootnoteReference"/>
          <w:sz w:val="24"/>
          <w:lang w:val="da-DK"/>
        </w:rPr>
        <w:footnoteRef/>
      </w:r>
      <w:r w:rsidR="0043217B" w:rsidRPr="00721E1D">
        <w:rPr>
          <w:sz w:val="24"/>
          <w:shd w:val="clear" w:color="auto" w:fill="FFFFFF"/>
        </w:rPr>
        <w:t xml:space="preserve"> </w:t>
      </w:r>
      <w:r w:rsidR="0043217B" w:rsidRPr="00721E1D">
        <w:rPr>
          <w:sz w:val="24"/>
          <w:shd w:val="clear" w:color="auto" w:fill="FFFFFF"/>
        </w:rPr>
        <w:tab/>
      </w:r>
      <w:r w:rsidRPr="00721E1D">
        <w:rPr>
          <w:sz w:val="24"/>
          <w:shd w:val="clear" w:color="auto" w:fill="FFFFFF"/>
        </w:rPr>
        <w:t>EUT C, C/2025/487, 29.1.2025, ELI: </w:t>
      </w:r>
      <w:hyperlink r:id="rId8" w:tgtFrame="_blank" w:tooltip="Giver adgang til dokumentet via dets ELI URI." w:history="1">
        <w:r w:rsidRPr="00721E1D">
          <w:rPr>
            <w:sz w:val="24"/>
          </w:rPr>
          <w:t>http://data.europa.eu/eli/C/2025/487/oj</w:t>
        </w:r>
      </w:hyperlink>
      <w:r w:rsidRPr="00721E1D">
        <w:rPr>
          <w:sz w:val="24"/>
          <w:shd w:val="clear" w:color="auto" w:fill="FFFFFF"/>
        </w:rPr>
        <w:t>.</w:t>
      </w:r>
    </w:p>
  </w:footnote>
  <w:footnote w:id="9">
    <w:p w14:paraId="00C53BC4" w14:textId="77777777" w:rsidR="004E4A8E" w:rsidRPr="00721E1D" w:rsidRDefault="004E4A8E" w:rsidP="0043217B">
      <w:pPr>
        <w:pStyle w:val="FootnoteText"/>
        <w:ind w:left="567" w:hanging="567"/>
        <w:rPr>
          <w:sz w:val="24"/>
        </w:rPr>
      </w:pPr>
      <w:r w:rsidRPr="0043217B">
        <w:rPr>
          <w:rStyle w:val="FootnoteReference"/>
          <w:sz w:val="24"/>
          <w:lang w:val="da-DK"/>
        </w:rPr>
        <w:footnoteRef/>
      </w:r>
      <w:r w:rsidR="0043217B" w:rsidRPr="00721E1D">
        <w:rPr>
          <w:sz w:val="24"/>
          <w:shd w:val="clear" w:color="auto" w:fill="FFFFFF"/>
        </w:rPr>
        <w:t xml:space="preserve"> </w:t>
      </w:r>
      <w:r w:rsidR="0043217B" w:rsidRPr="00721E1D">
        <w:rPr>
          <w:sz w:val="24"/>
          <w:shd w:val="clear" w:color="auto" w:fill="FFFFFF"/>
        </w:rPr>
        <w:tab/>
      </w:r>
      <w:r w:rsidRPr="00721E1D">
        <w:rPr>
          <w:sz w:val="24"/>
          <w:shd w:val="clear" w:color="auto" w:fill="FFFFFF"/>
        </w:rPr>
        <w:t>EUT C, C/2024/5719, 17.10.2024, ELI: </w:t>
      </w:r>
      <w:hyperlink r:id="rId9" w:tgtFrame="_blank" w:tooltip="Giver adgang til dokumentet via dets ELI URI." w:history="1">
        <w:r w:rsidRPr="00721E1D">
          <w:rPr>
            <w:sz w:val="24"/>
          </w:rPr>
          <w:t>http://data.europa.eu/eli/C/2024/5719/oj</w:t>
        </w:r>
      </w:hyperlink>
      <w:r w:rsidRPr="00721E1D">
        <w:rPr>
          <w:sz w:val="24"/>
          <w:shd w:val="clear" w:color="auto" w:fill="FFFFFF"/>
        </w:rPr>
        <w:t>.</w:t>
      </w:r>
    </w:p>
  </w:footnote>
  <w:footnote w:id="10">
    <w:p w14:paraId="2992832E" w14:textId="77777777" w:rsidR="004E4A8E" w:rsidRPr="00721E1D" w:rsidRDefault="004E4A8E" w:rsidP="0043217B">
      <w:pPr>
        <w:pStyle w:val="FootnoteText"/>
        <w:ind w:left="567" w:hanging="567"/>
        <w:rPr>
          <w:sz w:val="24"/>
        </w:rPr>
      </w:pPr>
      <w:r w:rsidRPr="0043217B">
        <w:rPr>
          <w:rStyle w:val="FootnoteReference"/>
          <w:sz w:val="24"/>
          <w:lang w:val="da-DK"/>
        </w:rPr>
        <w:footnoteRef/>
      </w:r>
      <w:r w:rsidR="0043217B" w:rsidRPr="00721E1D">
        <w:rPr>
          <w:sz w:val="24"/>
          <w:shd w:val="clear" w:color="auto" w:fill="FFFFFF"/>
        </w:rPr>
        <w:t xml:space="preserve"> </w:t>
      </w:r>
      <w:r w:rsidR="0043217B" w:rsidRPr="00721E1D">
        <w:rPr>
          <w:sz w:val="24"/>
          <w:shd w:val="clear" w:color="auto" w:fill="FFFFFF"/>
        </w:rPr>
        <w:tab/>
      </w:r>
      <w:r w:rsidRPr="00721E1D">
        <w:rPr>
          <w:sz w:val="24"/>
          <w:shd w:val="clear" w:color="auto" w:fill="FFFFFF"/>
        </w:rPr>
        <w:t>EUT C, C/2025/486, 29.1.2025, ELI: </w:t>
      </w:r>
      <w:hyperlink r:id="rId10" w:tgtFrame="_blank" w:tooltip="Giver adgang til dokumentet via dets ELI URI." w:history="1">
        <w:r w:rsidRPr="00721E1D">
          <w:rPr>
            <w:sz w:val="24"/>
          </w:rPr>
          <w:t>http://data.europa.eu/eli/C/2025/486/oj</w:t>
        </w:r>
      </w:hyperlink>
      <w:r w:rsidRPr="00721E1D">
        <w:rPr>
          <w:sz w:val="24"/>
          <w:shd w:val="clear" w:color="auto" w:fill="FFFFFF"/>
        </w:rPr>
        <w:t>.</w:t>
      </w:r>
    </w:p>
  </w:footnote>
  <w:footnote w:id="11">
    <w:p w14:paraId="74BF3F4B" w14:textId="77777777" w:rsidR="004E4A8E" w:rsidRPr="00721E1D" w:rsidRDefault="004E4A8E" w:rsidP="0043217B">
      <w:pPr>
        <w:pStyle w:val="FootnoteText"/>
        <w:ind w:left="567" w:hanging="567"/>
        <w:rPr>
          <w:sz w:val="24"/>
        </w:rPr>
      </w:pPr>
      <w:r w:rsidRPr="0043217B">
        <w:rPr>
          <w:rStyle w:val="FootnoteReference"/>
          <w:sz w:val="24"/>
          <w:lang w:val="da-DK"/>
        </w:rPr>
        <w:footnoteRef/>
      </w:r>
      <w:r w:rsidR="0043217B" w:rsidRPr="00721E1D">
        <w:rPr>
          <w:sz w:val="24"/>
          <w:shd w:val="clear" w:color="auto" w:fill="FFFFFF"/>
        </w:rPr>
        <w:t xml:space="preserve"> </w:t>
      </w:r>
      <w:r w:rsidR="0043217B" w:rsidRPr="00721E1D">
        <w:rPr>
          <w:sz w:val="24"/>
          <w:shd w:val="clear" w:color="auto" w:fill="FFFFFF"/>
        </w:rPr>
        <w:tab/>
      </w:r>
      <w:r w:rsidRPr="00721E1D">
        <w:rPr>
          <w:sz w:val="24"/>
          <w:shd w:val="clear" w:color="auto" w:fill="FFFFFF"/>
        </w:rPr>
        <w:t>EUT C, C/2024/1188, 23.2.2024, ELI: </w:t>
      </w:r>
      <w:hyperlink r:id="rId11" w:tgtFrame="_blank" w:tooltip="Giver adgang til dokumentet via dets ELI URI." w:history="1">
        <w:r w:rsidRPr="00721E1D">
          <w:rPr>
            <w:sz w:val="24"/>
          </w:rPr>
          <w:t>http://data.europa.eu/eli/C/2024/1188/oj</w:t>
        </w:r>
      </w:hyperlink>
      <w:r w:rsidRPr="00721E1D">
        <w:rPr>
          <w:sz w:val="24"/>
          <w:shd w:val="clear" w:color="auto" w:fill="FFFFFF"/>
        </w:rPr>
        <w:t>.</w:t>
      </w:r>
    </w:p>
  </w:footnote>
  <w:footnote w:id="12">
    <w:p w14:paraId="67EC25CE" w14:textId="77777777" w:rsidR="004E4A8E" w:rsidRPr="009F760A" w:rsidRDefault="004E4A8E" w:rsidP="0043217B">
      <w:pPr>
        <w:pStyle w:val="FootnoteText"/>
        <w:ind w:left="567" w:hanging="567"/>
        <w:rPr>
          <w:i/>
          <w:sz w:val="24"/>
          <w:lang w:val="da-DK"/>
        </w:rPr>
      </w:pPr>
      <w:r w:rsidRPr="0043217B">
        <w:rPr>
          <w:rStyle w:val="FootnoteReference"/>
          <w:sz w:val="24"/>
          <w:lang w:val="da-DK"/>
        </w:rPr>
        <w:footnoteRef/>
      </w:r>
      <w:r w:rsidR="0043217B" w:rsidRPr="0043217B">
        <w:rPr>
          <w:rStyle w:val="Emphasis"/>
          <w:sz w:val="24"/>
          <w:shd w:val="clear" w:color="auto" w:fill="FFFFFF"/>
          <w:lang w:val="da-DK"/>
        </w:rPr>
        <w:t xml:space="preserve"> </w:t>
      </w:r>
      <w:r w:rsidR="0043217B" w:rsidRPr="0043217B">
        <w:rPr>
          <w:rStyle w:val="Emphasis"/>
          <w:sz w:val="24"/>
          <w:shd w:val="clear" w:color="auto" w:fill="FFFFFF"/>
          <w:lang w:val="da-DK"/>
        </w:rPr>
        <w:tab/>
      </w:r>
      <w:r w:rsidRPr="009F760A">
        <w:rPr>
          <w:rStyle w:val="Emphasis"/>
          <w:i w:val="0"/>
          <w:sz w:val="24"/>
          <w:shd w:val="clear" w:color="auto" w:fill="FFFFFF"/>
          <w:lang w:val="da-DK"/>
        </w:rPr>
        <w:t>EUT C 137 E af 27.5.2010, s. 25.</w:t>
      </w:r>
    </w:p>
  </w:footnote>
  <w:footnote w:id="13">
    <w:p w14:paraId="69733450" w14:textId="77777777" w:rsidR="004E4A8E" w:rsidRPr="009F760A" w:rsidRDefault="004E4A8E" w:rsidP="0043217B">
      <w:pPr>
        <w:pStyle w:val="FootnoteText"/>
        <w:ind w:left="567" w:hanging="567"/>
        <w:rPr>
          <w:i/>
          <w:sz w:val="24"/>
          <w:lang w:val="da-DK"/>
        </w:rPr>
      </w:pPr>
      <w:r w:rsidRPr="0043217B">
        <w:rPr>
          <w:rStyle w:val="FootnoteReference"/>
          <w:sz w:val="24"/>
          <w:lang w:val="da-DK"/>
        </w:rPr>
        <w:footnoteRef/>
      </w:r>
      <w:r w:rsidR="0043217B" w:rsidRPr="0043217B">
        <w:rPr>
          <w:rStyle w:val="Emphasis"/>
          <w:sz w:val="24"/>
          <w:shd w:val="clear" w:color="auto" w:fill="FFFFFF"/>
          <w:lang w:val="da-DK"/>
        </w:rPr>
        <w:t xml:space="preserve"> </w:t>
      </w:r>
      <w:r w:rsidR="0043217B" w:rsidRPr="0043217B">
        <w:rPr>
          <w:rStyle w:val="Emphasis"/>
          <w:sz w:val="24"/>
          <w:shd w:val="clear" w:color="auto" w:fill="FFFFFF"/>
          <w:lang w:val="da-DK"/>
        </w:rPr>
        <w:tab/>
      </w:r>
      <w:r w:rsidRPr="009F760A">
        <w:rPr>
          <w:rStyle w:val="Emphasis"/>
          <w:i w:val="0"/>
          <w:sz w:val="24"/>
          <w:shd w:val="clear" w:color="auto" w:fill="FFFFFF"/>
          <w:lang w:val="da-DK"/>
        </w:rPr>
        <w:t>EUT C 171 af 6.5.2021, s. 25.</w:t>
      </w:r>
    </w:p>
  </w:footnote>
  <w:footnote w:id="14">
    <w:p w14:paraId="03AAD129" w14:textId="77777777" w:rsidR="004E4A8E" w:rsidRPr="009F760A" w:rsidRDefault="004E4A8E" w:rsidP="0043217B">
      <w:pPr>
        <w:pStyle w:val="FootnoteText"/>
        <w:ind w:left="567" w:hanging="567"/>
        <w:rPr>
          <w:i/>
          <w:sz w:val="24"/>
          <w:lang w:val="da-DK"/>
        </w:rPr>
      </w:pPr>
      <w:r w:rsidRPr="0043217B">
        <w:rPr>
          <w:rStyle w:val="FootnoteReference"/>
          <w:sz w:val="24"/>
          <w:lang w:val="da-DK"/>
        </w:rPr>
        <w:footnoteRef/>
      </w:r>
      <w:r w:rsidR="0043217B" w:rsidRPr="0043217B">
        <w:rPr>
          <w:rStyle w:val="Emphasis"/>
          <w:sz w:val="24"/>
          <w:shd w:val="clear" w:color="auto" w:fill="FFFFFF"/>
          <w:lang w:val="da-DK"/>
        </w:rPr>
        <w:t xml:space="preserve"> </w:t>
      </w:r>
      <w:r w:rsidR="0043217B" w:rsidRPr="0043217B">
        <w:rPr>
          <w:rStyle w:val="Emphasis"/>
          <w:sz w:val="24"/>
          <w:shd w:val="clear" w:color="auto" w:fill="FFFFFF"/>
          <w:lang w:val="da-DK"/>
        </w:rPr>
        <w:tab/>
      </w:r>
      <w:r w:rsidRPr="009F760A">
        <w:rPr>
          <w:rStyle w:val="Emphasis"/>
          <w:i w:val="0"/>
          <w:sz w:val="24"/>
          <w:shd w:val="clear" w:color="auto" w:fill="FFFFFF"/>
          <w:lang w:val="da-DK"/>
        </w:rPr>
        <w:t>EUT C 177 af 17.5.2023, s. 112.</w:t>
      </w:r>
    </w:p>
  </w:footnote>
  <w:footnote w:id="15">
    <w:p w14:paraId="4B26BB2E" w14:textId="77777777" w:rsidR="004E4A8E" w:rsidRPr="0043217B" w:rsidRDefault="004E4A8E" w:rsidP="0043217B">
      <w:pPr>
        <w:pStyle w:val="FootnoteText"/>
        <w:ind w:left="567" w:hanging="567"/>
        <w:rPr>
          <w:sz w:val="24"/>
          <w:lang w:val="da-DK"/>
        </w:rPr>
      </w:pPr>
      <w:r w:rsidRPr="0043217B">
        <w:rPr>
          <w:rStyle w:val="FootnoteReference"/>
          <w:sz w:val="24"/>
          <w:lang w:val="da-DK"/>
        </w:rPr>
        <w:footnoteRef/>
      </w:r>
      <w:r w:rsidR="0043217B" w:rsidRPr="0043217B">
        <w:rPr>
          <w:sz w:val="24"/>
          <w:shd w:val="clear" w:color="auto" w:fill="FFFFFF"/>
          <w:lang w:val="da-DK"/>
        </w:rPr>
        <w:t xml:space="preserve"> </w:t>
      </w:r>
      <w:r w:rsidR="0043217B" w:rsidRPr="0043217B">
        <w:rPr>
          <w:sz w:val="24"/>
          <w:shd w:val="clear" w:color="auto" w:fill="FFFFFF"/>
          <w:lang w:val="da-DK"/>
        </w:rPr>
        <w:tab/>
      </w:r>
      <w:r w:rsidRPr="0043217B">
        <w:rPr>
          <w:sz w:val="24"/>
          <w:shd w:val="clear" w:color="auto" w:fill="FFFFFF"/>
          <w:lang w:val="da-DK"/>
        </w:rPr>
        <w:t>EUT C, C/2024/5721, 17.10.2024, ELI: </w:t>
      </w:r>
      <w:hyperlink r:id="rId12" w:tgtFrame="_blank" w:tooltip="Giver adgang til dokumentet via dets ELI URI." w:history="1">
        <w:r w:rsidRPr="0043217B">
          <w:rPr>
            <w:sz w:val="24"/>
            <w:lang w:val="da-DK"/>
          </w:rPr>
          <w:t>http://data.europa.eu/eli/C/2024/5721/oj</w:t>
        </w:r>
      </w:hyperlink>
      <w:r w:rsidRPr="0043217B">
        <w:rPr>
          <w:sz w:val="24"/>
          <w:shd w:val="clear" w:color="auto" w:fill="FFFFFF"/>
          <w:lang w:val="da-DK"/>
        </w:rPr>
        <w:t>.</w:t>
      </w:r>
    </w:p>
  </w:footnote>
  <w:footnote w:id="16">
    <w:p w14:paraId="27E7B0C6" w14:textId="77777777" w:rsidR="004E4A8E" w:rsidRPr="0043217B" w:rsidRDefault="004E4A8E" w:rsidP="0043217B">
      <w:pPr>
        <w:pStyle w:val="FootnoteText"/>
        <w:ind w:left="567" w:hanging="567"/>
        <w:rPr>
          <w:sz w:val="24"/>
          <w:lang w:val="da-DK"/>
        </w:rPr>
      </w:pPr>
      <w:r w:rsidRPr="0043217B">
        <w:rPr>
          <w:rStyle w:val="FootnoteReference"/>
          <w:sz w:val="24"/>
          <w:lang w:val="da-DK"/>
        </w:rPr>
        <w:footnoteRef/>
      </w:r>
      <w:r w:rsidR="0043217B" w:rsidRPr="0043217B">
        <w:rPr>
          <w:rStyle w:val="Emphasis"/>
          <w:sz w:val="24"/>
          <w:shd w:val="clear" w:color="auto" w:fill="FFFFFF"/>
          <w:lang w:val="da-DK"/>
        </w:rPr>
        <w:t xml:space="preserve"> </w:t>
      </w:r>
      <w:r w:rsidR="0043217B" w:rsidRPr="0043217B">
        <w:rPr>
          <w:rStyle w:val="Emphasis"/>
          <w:sz w:val="24"/>
          <w:shd w:val="clear" w:color="auto" w:fill="FFFFFF"/>
          <w:lang w:val="da-DK"/>
        </w:rPr>
        <w:tab/>
      </w:r>
      <w:r w:rsidRPr="009F760A">
        <w:rPr>
          <w:rStyle w:val="Emphasis"/>
          <w:i w:val="0"/>
          <w:sz w:val="24"/>
          <w:shd w:val="clear" w:color="auto" w:fill="FFFFFF"/>
          <w:lang w:val="da-DK"/>
        </w:rPr>
        <w:t>EUT L 115 af 28.4.2006, s. 50,</w:t>
      </w:r>
      <w:r w:rsidRPr="00721E1D">
        <w:rPr>
          <w:lang w:val="da-DK"/>
        </w:rPr>
        <w:t xml:space="preserve"> </w:t>
      </w:r>
      <w:r w:rsidRPr="0043217B">
        <w:rPr>
          <w:sz w:val="24"/>
          <w:shd w:val="clear" w:color="auto" w:fill="FFFFFF"/>
          <w:lang w:val="da-DK"/>
        </w:rPr>
        <w:t>ELI: </w:t>
      </w:r>
      <w:hyperlink r:id="rId13" w:tooltip="Giver adgang til dokumentet via dets ELI URI." w:history="1">
        <w:r w:rsidRPr="0043217B">
          <w:rPr>
            <w:sz w:val="24"/>
            <w:shd w:val="clear" w:color="auto" w:fill="FFFFFF"/>
            <w:lang w:val="da-DK"/>
          </w:rPr>
          <w:t>http://data.europa.eu/eli/agree_internation/2006/313/oj</w:t>
        </w:r>
      </w:hyperlink>
      <w:r w:rsidRPr="0043217B">
        <w:rPr>
          <w:sz w:val="24"/>
          <w:lang w:val="da-DK"/>
        </w:rPr>
        <w:t>.</w:t>
      </w:r>
    </w:p>
  </w:footnote>
  <w:footnote w:id="17">
    <w:p w14:paraId="7E756654" w14:textId="76A4DDBE" w:rsidR="004E4A8E" w:rsidRPr="0043217B" w:rsidRDefault="004E4A8E" w:rsidP="0043217B">
      <w:pPr>
        <w:ind w:left="567" w:hanging="567"/>
      </w:pPr>
      <w:r w:rsidRPr="0043217B">
        <w:rPr>
          <w:rStyle w:val="FootnoteReference"/>
        </w:rPr>
        <w:footnoteRef/>
      </w:r>
      <w:r w:rsidR="0043217B" w:rsidRPr="0043217B">
        <w:t xml:space="preserve"> </w:t>
      </w:r>
      <w:r w:rsidR="0043217B" w:rsidRPr="0043217B">
        <w:tab/>
      </w:r>
      <w:r w:rsidRPr="0043217B">
        <w:t xml:space="preserve">Rådets afgørelse 2010/427/EU af 26. juli 2010 om, hvordan Tjenesten for EU's Optræden Udadtil skal tilrettelægges og fungere </w:t>
      </w:r>
      <w:r w:rsidR="004057DA">
        <w:t>(</w:t>
      </w:r>
      <w:r w:rsidR="004057DA" w:rsidRPr="004057DA">
        <w:t>EUT L 201 af 3.8.2010, s. 30</w:t>
      </w:r>
      <w:r w:rsidR="004057DA">
        <w:t xml:space="preserve">, </w:t>
      </w:r>
      <w:r w:rsidRPr="0043217B">
        <w:t xml:space="preserve">ELI: </w:t>
      </w:r>
      <w:hyperlink r:id="rId14" w:history="1">
        <w:r w:rsidRPr="0043217B">
          <w:rPr>
            <w:rStyle w:val="Hyperlink"/>
          </w:rPr>
          <w:t>http://data.europa.eu/eli/dec/2010/427/oj</w:t>
        </w:r>
      </w:hyperlink>
      <w:r w:rsidR="004057DA">
        <w:rPr>
          <w:rStyle w:val="Hyperlink"/>
          <w:color w:val="auto"/>
          <w:u w:val="none"/>
        </w:rPr>
        <w:t>)</w:t>
      </w:r>
      <w:r w:rsidRPr="0043217B">
        <w:t>.</w:t>
      </w:r>
    </w:p>
  </w:footnote>
  <w:footnote w:id="18">
    <w:p w14:paraId="78E3B2E0" w14:textId="2DDBC97F" w:rsidR="004E4A8E" w:rsidRPr="0043217B" w:rsidRDefault="004E4A8E" w:rsidP="0043217B">
      <w:pPr>
        <w:pStyle w:val="FootnoteText"/>
        <w:ind w:left="567" w:hanging="567"/>
        <w:rPr>
          <w:sz w:val="24"/>
          <w:lang w:val="da-DK"/>
        </w:rPr>
      </w:pPr>
      <w:r w:rsidRPr="0043217B">
        <w:rPr>
          <w:rStyle w:val="FootnoteReference"/>
          <w:sz w:val="24"/>
          <w:lang w:val="da-DK"/>
        </w:rPr>
        <w:footnoteRef/>
      </w:r>
      <w:r w:rsidR="0043217B" w:rsidRPr="0043217B">
        <w:rPr>
          <w:sz w:val="24"/>
          <w:lang w:val="da-DK"/>
        </w:rPr>
        <w:t xml:space="preserve"> </w:t>
      </w:r>
      <w:r w:rsidR="0043217B" w:rsidRPr="0043217B">
        <w:rPr>
          <w:sz w:val="24"/>
          <w:lang w:val="da-DK"/>
        </w:rPr>
        <w:tab/>
      </w:r>
      <w:r w:rsidRPr="0043217B">
        <w:rPr>
          <w:sz w:val="24"/>
          <w:lang w:val="da-DK"/>
        </w:rPr>
        <w:t xml:space="preserve">Europa-Parlamentets henstilling af 15. marts 2023 til Rådet og næstformanden for Kommissionen/Unionens højtstående repræsentant for udenrigsanliggender og sikkerhedspolitik om status over EU-Udenrigstjenestens funktionsmåde og om et stærkere EU i verden </w:t>
      </w:r>
      <w:r w:rsidR="004057DA">
        <w:rPr>
          <w:sz w:val="24"/>
          <w:lang w:val="da-DK"/>
        </w:rPr>
        <w:t>(</w:t>
      </w:r>
      <w:r w:rsidRPr="0043217B">
        <w:rPr>
          <w:sz w:val="24"/>
          <w:lang w:val="da-DK"/>
        </w:rPr>
        <w:t xml:space="preserve">EUT C, C/2023/410, 23.11.2023, ELI: </w:t>
      </w:r>
      <w:hyperlink r:id="rId15" w:history="1">
        <w:r w:rsidRPr="0043217B">
          <w:rPr>
            <w:rStyle w:val="Hyperlink"/>
            <w:sz w:val="24"/>
            <w:lang w:val="da-DK"/>
          </w:rPr>
          <w:t>http://data.europa.eu/eli/C/2023/410/oj</w:t>
        </w:r>
      </w:hyperlink>
      <w:r w:rsidR="004057DA">
        <w:rPr>
          <w:rStyle w:val="Hyperlink"/>
          <w:color w:val="auto"/>
          <w:sz w:val="24"/>
          <w:u w:val="none"/>
          <w:lang w:val="da-DK"/>
        </w:rPr>
        <w:t>)</w:t>
      </w:r>
      <w:r w:rsidRPr="0043217B">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DA"/>
    <w:docVar w:name="dvnumam" w:val="0"/>
    <w:docVar w:name="dvpe" w:val="765.084"/>
    <w:docVar w:name="dvrapporteur" w:val="Ordfører: "/>
    <w:docVar w:name="dvtitre" w:val="Europa-Parlamentets beslutning af xx. april 2025 om gennemførelsen af den fælles udenrigs- og sikkerhedspolitik – årsrapport 2024(2024/2080(INI))"/>
  </w:docVars>
  <w:rsids>
    <w:rsidRoot w:val="0039402B"/>
    <w:rsid w:val="00002272"/>
    <w:rsid w:val="0001789B"/>
    <w:rsid w:val="00046DF6"/>
    <w:rsid w:val="00064002"/>
    <w:rsid w:val="000677B9"/>
    <w:rsid w:val="00070753"/>
    <w:rsid w:val="000831BA"/>
    <w:rsid w:val="000A42CC"/>
    <w:rsid w:val="000C07EE"/>
    <w:rsid w:val="000E7DD9"/>
    <w:rsid w:val="0010095E"/>
    <w:rsid w:val="00125B37"/>
    <w:rsid w:val="00187494"/>
    <w:rsid w:val="001F32AE"/>
    <w:rsid w:val="00207651"/>
    <w:rsid w:val="00247575"/>
    <w:rsid w:val="002767FF"/>
    <w:rsid w:val="002A4EC1"/>
    <w:rsid w:val="002B18FE"/>
    <w:rsid w:val="002B5493"/>
    <w:rsid w:val="002C5176"/>
    <w:rsid w:val="002D2E0B"/>
    <w:rsid w:val="00332EE3"/>
    <w:rsid w:val="00334522"/>
    <w:rsid w:val="00343214"/>
    <w:rsid w:val="00361C00"/>
    <w:rsid w:val="0039402B"/>
    <w:rsid w:val="00395FA1"/>
    <w:rsid w:val="003E15D4"/>
    <w:rsid w:val="003E71D5"/>
    <w:rsid w:val="004057DA"/>
    <w:rsid w:val="00411CCE"/>
    <w:rsid w:val="0041666E"/>
    <w:rsid w:val="00421060"/>
    <w:rsid w:val="0043217B"/>
    <w:rsid w:val="00442600"/>
    <w:rsid w:val="00471C19"/>
    <w:rsid w:val="004867E3"/>
    <w:rsid w:val="00494A28"/>
    <w:rsid w:val="004B3078"/>
    <w:rsid w:val="004C0004"/>
    <w:rsid w:val="004C2537"/>
    <w:rsid w:val="004C5D52"/>
    <w:rsid w:val="004E4A8E"/>
    <w:rsid w:val="004F0248"/>
    <w:rsid w:val="0050519A"/>
    <w:rsid w:val="005072A1"/>
    <w:rsid w:val="00514517"/>
    <w:rsid w:val="00545827"/>
    <w:rsid w:val="00560270"/>
    <w:rsid w:val="0058001E"/>
    <w:rsid w:val="005C2568"/>
    <w:rsid w:val="005F1B17"/>
    <w:rsid w:val="006037C0"/>
    <w:rsid w:val="00652321"/>
    <w:rsid w:val="006631B6"/>
    <w:rsid w:val="00680577"/>
    <w:rsid w:val="006F74FA"/>
    <w:rsid w:val="0071454E"/>
    <w:rsid w:val="00721E1D"/>
    <w:rsid w:val="00725BBE"/>
    <w:rsid w:val="00731ADD"/>
    <w:rsid w:val="00734777"/>
    <w:rsid w:val="00741D62"/>
    <w:rsid w:val="00747932"/>
    <w:rsid w:val="00751A4A"/>
    <w:rsid w:val="00756632"/>
    <w:rsid w:val="00762C74"/>
    <w:rsid w:val="00786EC0"/>
    <w:rsid w:val="007C02AC"/>
    <w:rsid w:val="007D1690"/>
    <w:rsid w:val="007E08CC"/>
    <w:rsid w:val="007E22AD"/>
    <w:rsid w:val="007F0931"/>
    <w:rsid w:val="0081545A"/>
    <w:rsid w:val="00817416"/>
    <w:rsid w:val="00842779"/>
    <w:rsid w:val="00847432"/>
    <w:rsid w:val="0086333E"/>
    <w:rsid w:val="00865F67"/>
    <w:rsid w:val="00874618"/>
    <w:rsid w:val="00881A7B"/>
    <w:rsid w:val="008840E5"/>
    <w:rsid w:val="00887B3E"/>
    <w:rsid w:val="008C0BC2"/>
    <w:rsid w:val="008C2AC6"/>
    <w:rsid w:val="00906C33"/>
    <w:rsid w:val="00930C23"/>
    <w:rsid w:val="0093193B"/>
    <w:rsid w:val="009509D8"/>
    <w:rsid w:val="00950B64"/>
    <w:rsid w:val="00954EE6"/>
    <w:rsid w:val="00976DD3"/>
    <w:rsid w:val="00981893"/>
    <w:rsid w:val="009B7EB2"/>
    <w:rsid w:val="009C492F"/>
    <w:rsid w:val="009D3CA6"/>
    <w:rsid w:val="009F760A"/>
    <w:rsid w:val="00A1687D"/>
    <w:rsid w:val="00A3098D"/>
    <w:rsid w:val="00A43E52"/>
    <w:rsid w:val="00A4678D"/>
    <w:rsid w:val="00A778C7"/>
    <w:rsid w:val="00A915E0"/>
    <w:rsid w:val="00AB1B4D"/>
    <w:rsid w:val="00AB441E"/>
    <w:rsid w:val="00AB6293"/>
    <w:rsid w:val="00AC07BA"/>
    <w:rsid w:val="00AD6B48"/>
    <w:rsid w:val="00AE0928"/>
    <w:rsid w:val="00AE6868"/>
    <w:rsid w:val="00AF3B82"/>
    <w:rsid w:val="00B0060F"/>
    <w:rsid w:val="00B12E95"/>
    <w:rsid w:val="00B22876"/>
    <w:rsid w:val="00B558F0"/>
    <w:rsid w:val="00BA5BAC"/>
    <w:rsid w:val="00BD48FE"/>
    <w:rsid w:val="00BD7BD8"/>
    <w:rsid w:val="00BE47A6"/>
    <w:rsid w:val="00BE6ADC"/>
    <w:rsid w:val="00C05BFE"/>
    <w:rsid w:val="00C23CD4"/>
    <w:rsid w:val="00C61C0C"/>
    <w:rsid w:val="00C941CB"/>
    <w:rsid w:val="00CA6F29"/>
    <w:rsid w:val="00CC2357"/>
    <w:rsid w:val="00CF071A"/>
    <w:rsid w:val="00D058B8"/>
    <w:rsid w:val="00D56C11"/>
    <w:rsid w:val="00D834A0"/>
    <w:rsid w:val="00D872DF"/>
    <w:rsid w:val="00D91E21"/>
    <w:rsid w:val="00D94AF8"/>
    <w:rsid w:val="00DA7FCD"/>
    <w:rsid w:val="00E2699C"/>
    <w:rsid w:val="00E365E1"/>
    <w:rsid w:val="00E37738"/>
    <w:rsid w:val="00E723EA"/>
    <w:rsid w:val="00E820A4"/>
    <w:rsid w:val="00E87D3F"/>
    <w:rsid w:val="00EB006A"/>
    <w:rsid w:val="00EB4772"/>
    <w:rsid w:val="00ED169E"/>
    <w:rsid w:val="00ED4235"/>
    <w:rsid w:val="00F04346"/>
    <w:rsid w:val="00F075DC"/>
    <w:rsid w:val="00F149E9"/>
    <w:rsid w:val="00F22DEF"/>
    <w:rsid w:val="00F27C56"/>
    <w:rsid w:val="00F5134D"/>
    <w:rsid w:val="00F74202"/>
    <w:rsid w:val="00F87713"/>
    <w:rsid w:val="00FB033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6E094"/>
  <w15:chartTrackingRefBased/>
  <w15:docId w15:val="{5B14962C-877F-485E-8627-BAD4D785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4A8E"/>
    <w:pPr>
      <w:spacing w:after="240"/>
      <w:ind w:left="567" w:hanging="567"/>
    </w:pPr>
  </w:style>
  <w:style w:type="paragraph" w:customStyle="1" w:styleId="EPComma">
    <w:name w:val="EPComma"/>
    <w:basedOn w:val="Normal"/>
    <w:rsid w:val="004E4A8E"/>
    <w:pPr>
      <w:spacing w:before="480" w:after="240"/>
    </w:pPr>
  </w:style>
  <w:style w:type="character" w:styleId="Emphasis">
    <w:name w:val="Emphasis"/>
    <w:basedOn w:val="DefaultParagraphFont"/>
    <w:uiPriority w:val="20"/>
    <w:qFormat/>
    <w:rsid w:val="004E4A8E"/>
    <w:rPr>
      <w:i/>
      <w:iCs/>
    </w:rPr>
  </w:style>
  <w:style w:type="character" w:styleId="Hyperlink">
    <w:name w:val="Hyperlink"/>
    <w:basedOn w:val="DefaultParagraphFont"/>
    <w:uiPriority w:val="99"/>
    <w:unhideWhenUsed/>
    <w:rsid w:val="004E4A8E"/>
    <w:rPr>
      <w:color w:val="0000FF"/>
      <w:u w:val="single"/>
    </w:rPr>
  </w:style>
  <w:style w:type="character" w:customStyle="1" w:styleId="NormalHanging12aChar">
    <w:name w:val="NormalHanging12a Char"/>
    <w:basedOn w:val="DefaultParagraphFont"/>
    <w:link w:val="NormalHanging12a"/>
    <w:rsid w:val="004E4A8E"/>
    <w:rPr>
      <w:sz w:val="24"/>
      <w:lang w:val="da-DK"/>
    </w:rPr>
  </w:style>
  <w:style w:type="character" w:styleId="CommentReference">
    <w:name w:val="annotation reference"/>
    <w:basedOn w:val="DefaultParagraphFont"/>
    <w:rsid w:val="00847432"/>
    <w:rPr>
      <w:sz w:val="16"/>
      <w:szCs w:val="16"/>
    </w:rPr>
  </w:style>
  <w:style w:type="paragraph" w:styleId="CommentText">
    <w:name w:val="annotation text"/>
    <w:basedOn w:val="Normal"/>
    <w:link w:val="CommentTextChar"/>
    <w:rsid w:val="00847432"/>
    <w:rPr>
      <w:sz w:val="20"/>
    </w:rPr>
  </w:style>
  <w:style w:type="character" w:customStyle="1" w:styleId="CommentTextChar">
    <w:name w:val="Comment Text Char"/>
    <w:basedOn w:val="DefaultParagraphFont"/>
    <w:link w:val="CommentText"/>
    <w:rsid w:val="00847432"/>
    <w:rPr>
      <w:lang w:val="da-DK"/>
    </w:rPr>
  </w:style>
  <w:style w:type="paragraph" w:styleId="CommentSubject">
    <w:name w:val="annotation subject"/>
    <w:basedOn w:val="CommentText"/>
    <w:next w:val="CommentText"/>
    <w:link w:val="CommentSubjectChar"/>
    <w:rsid w:val="00847432"/>
    <w:rPr>
      <w:b/>
      <w:bCs/>
    </w:rPr>
  </w:style>
  <w:style w:type="character" w:customStyle="1" w:styleId="CommentSubjectChar">
    <w:name w:val="Comment Subject Char"/>
    <w:basedOn w:val="CommentTextChar"/>
    <w:link w:val="CommentSubject"/>
    <w:rsid w:val="00847432"/>
    <w:rPr>
      <w:b/>
      <w:bCs/>
      <w:lang w:val="da-DK"/>
    </w:rPr>
  </w:style>
  <w:style w:type="paragraph" w:styleId="BalloonText">
    <w:name w:val="Balloon Text"/>
    <w:basedOn w:val="Normal"/>
    <w:link w:val="BalloonTextChar"/>
    <w:rsid w:val="00847432"/>
    <w:rPr>
      <w:rFonts w:ascii="Segoe UI" w:hAnsi="Segoe UI" w:cs="Segoe UI"/>
      <w:sz w:val="18"/>
      <w:szCs w:val="18"/>
    </w:rPr>
  </w:style>
  <w:style w:type="character" w:customStyle="1" w:styleId="BalloonTextChar">
    <w:name w:val="Balloon Text Char"/>
    <w:basedOn w:val="DefaultParagraphFont"/>
    <w:link w:val="BalloonText"/>
    <w:rsid w:val="00847432"/>
    <w:rPr>
      <w:rFonts w:ascii="Segoe UI" w:hAnsi="Segoe UI" w:cs="Segoe UI"/>
      <w:sz w:val="18"/>
      <w:szCs w:val="18"/>
      <w:lang w:val="da-DK"/>
    </w:rPr>
  </w:style>
  <w:style w:type="character" w:styleId="FollowedHyperlink">
    <w:name w:val="FollowedHyperlink"/>
    <w:basedOn w:val="DefaultParagraphFont"/>
    <w:rsid w:val="004057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4C4BC-5B5D-4569-A41E-C70D2F4A2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24216</Words>
  <Characters>138037</Characters>
  <Application>Microsoft Office Word</Application>
  <DocSecurity>0</DocSecurity>
  <Lines>1150</Lines>
  <Paragraphs>323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2025-05-06T07:11:00Z</dcterms:created>
  <dcterms:modified xsi:type="dcterms:W3CDTF">2025-05-06T07:11:00Z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P10_TA-PROV(2025)0057_A10-0010_2025_</vt:lpwstr>
  </property>
  <property fmtid="{D5CDD505-2E9C-101B-9397-08002B2CF9AE}" pid="4" name="&lt;Type&gt;">
    <vt:lpwstr>RR</vt:lpwstr>
  </property>
</Properties>
</file>