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30C46" w14:paraId="7804A89B" w14:textId="77777777" w:rsidTr="0010095E">
        <w:trPr>
          <w:trHeight w:hRule="exact" w:val="1418"/>
        </w:trPr>
        <w:tc>
          <w:tcPr>
            <w:tcW w:w="6804" w:type="dxa"/>
            <w:shd w:val="clear" w:color="auto" w:fill="auto"/>
            <w:vAlign w:val="center"/>
          </w:tcPr>
          <w:p w14:paraId="2B9B1338" w14:textId="77777777" w:rsidR="00751A4A" w:rsidRPr="00F30C46" w:rsidRDefault="002B3A46" w:rsidP="0010095E">
            <w:pPr>
              <w:pStyle w:val="EPName"/>
            </w:pPr>
            <w:r w:rsidRPr="00F30C46">
              <w:t>Parlamento Europeo</w:t>
            </w:r>
          </w:p>
          <w:p w14:paraId="773D1179" w14:textId="77777777" w:rsidR="00751A4A" w:rsidRPr="00F30C46" w:rsidRDefault="005F1B17" w:rsidP="005F1B17">
            <w:pPr>
              <w:pStyle w:val="EPTerm"/>
              <w:rPr>
                <w:rStyle w:val="HideTWBExt"/>
                <w:noProof w:val="0"/>
                <w:vanish w:val="0"/>
                <w:color w:val="auto"/>
              </w:rPr>
            </w:pPr>
            <w:r w:rsidRPr="00F30C46">
              <w:t>2024</w:t>
            </w:r>
            <w:r w:rsidR="00817416" w:rsidRPr="00F30C46">
              <w:t>-202</w:t>
            </w:r>
            <w:r w:rsidRPr="00F30C46">
              <w:t>9</w:t>
            </w:r>
          </w:p>
        </w:tc>
        <w:tc>
          <w:tcPr>
            <w:tcW w:w="2268" w:type="dxa"/>
            <w:shd w:val="clear" w:color="auto" w:fill="auto"/>
          </w:tcPr>
          <w:p w14:paraId="7CD44FC1" w14:textId="77777777" w:rsidR="00751A4A" w:rsidRPr="00F30C46" w:rsidRDefault="00187494" w:rsidP="0010095E">
            <w:pPr>
              <w:pStyle w:val="EPLogo"/>
            </w:pPr>
            <w:r w:rsidRPr="00F30C46">
              <w:rPr>
                <w:noProof/>
                <w:lang w:eastAsia="es-ES_tradnl"/>
              </w:rPr>
              <w:drawing>
                <wp:inline distT="0" distB="0" distL="0" distR="0" wp14:anchorId="060C8ACB" wp14:editId="2A354B6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5C52822" w14:textId="77777777" w:rsidR="00D058B8" w:rsidRPr="00F30C46" w:rsidRDefault="00D058B8" w:rsidP="004C5D52">
      <w:pPr>
        <w:pStyle w:val="LineTop"/>
      </w:pPr>
    </w:p>
    <w:p w14:paraId="57A19ADC" w14:textId="77777777" w:rsidR="00680577" w:rsidRPr="00F30C46" w:rsidRDefault="002B3A46" w:rsidP="00680577">
      <w:pPr>
        <w:pStyle w:val="EPBodyTA1"/>
      </w:pPr>
      <w:r w:rsidRPr="00F30C46">
        <w:t>TEXTOS APROBADOS</w:t>
      </w:r>
    </w:p>
    <w:p w14:paraId="6DBEC316" w14:textId="77777777" w:rsidR="00D058B8" w:rsidRPr="00F30C46" w:rsidRDefault="00D058B8" w:rsidP="00D058B8">
      <w:pPr>
        <w:pStyle w:val="LineBottom"/>
      </w:pPr>
    </w:p>
    <w:p w14:paraId="4A4F02AD" w14:textId="41C30AE2" w:rsidR="002B3A46" w:rsidRPr="00F30C46" w:rsidRDefault="002B3A46" w:rsidP="002B3A46">
      <w:pPr>
        <w:pStyle w:val="ATHeading1"/>
      </w:pPr>
      <w:bookmarkStart w:id="0" w:name="TANumber"/>
      <w:r w:rsidRPr="00F30C46">
        <w:t>P10_</w:t>
      </w:r>
      <w:proofErr w:type="gramStart"/>
      <w:r w:rsidRPr="00F30C46">
        <w:t>TA(</w:t>
      </w:r>
      <w:proofErr w:type="gramEnd"/>
      <w:r w:rsidRPr="00F30C46">
        <w:t>2025)00</w:t>
      </w:r>
      <w:r w:rsidR="00991D71" w:rsidRPr="00F30C46">
        <w:t>57</w:t>
      </w:r>
      <w:bookmarkEnd w:id="0"/>
    </w:p>
    <w:p w14:paraId="54267F0A" w14:textId="77777777" w:rsidR="002B3A46" w:rsidRPr="00F30C46" w:rsidRDefault="002B3A46" w:rsidP="002B3A46">
      <w:pPr>
        <w:pStyle w:val="ATHeading2"/>
      </w:pPr>
      <w:bookmarkStart w:id="1" w:name="title"/>
      <w:r w:rsidRPr="00F30C46">
        <w:t>Aplicación de la política exterior y de seguridad común: informe anual 2024</w:t>
      </w:r>
      <w:bookmarkEnd w:id="1"/>
    </w:p>
    <w:p w14:paraId="63E47474" w14:textId="77777777" w:rsidR="002B3A46" w:rsidRPr="00F30C46" w:rsidRDefault="002B3A46" w:rsidP="002B3A46">
      <w:pPr>
        <w:rPr>
          <w:i/>
          <w:vanish/>
        </w:rPr>
      </w:pPr>
      <w:r w:rsidRPr="00F30C46">
        <w:rPr>
          <w:i/>
        </w:rPr>
        <w:fldChar w:fldCharType="begin"/>
      </w:r>
      <w:r w:rsidRPr="00F30C46">
        <w:rPr>
          <w:i/>
        </w:rPr>
        <w:instrText xml:space="preserve"> TC"(</w:instrText>
      </w:r>
      <w:bookmarkStart w:id="2" w:name="DocNumber"/>
      <w:r w:rsidRPr="00F30C46">
        <w:rPr>
          <w:i/>
        </w:rPr>
        <w:instrText>A10-0010/2025</w:instrText>
      </w:r>
      <w:bookmarkEnd w:id="2"/>
      <w:r w:rsidRPr="00F30C46">
        <w:rPr>
          <w:i/>
        </w:rPr>
        <w:instrText xml:space="preserve"> - Ponente: David McAllister)"\l3 \n&gt; \* MERGEFORMAT </w:instrText>
      </w:r>
      <w:r w:rsidRPr="00F30C46">
        <w:rPr>
          <w:i/>
        </w:rPr>
        <w:fldChar w:fldCharType="end"/>
      </w:r>
    </w:p>
    <w:p w14:paraId="4E546D77" w14:textId="77777777" w:rsidR="002B3A46" w:rsidRPr="00F30C46" w:rsidRDefault="002B3A46" w:rsidP="002B3A46">
      <w:pPr>
        <w:rPr>
          <w:vanish/>
        </w:rPr>
      </w:pPr>
      <w:bookmarkStart w:id="3" w:name="Commission"/>
      <w:r w:rsidRPr="00F30C46">
        <w:rPr>
          <w:vanish/>
        </w:rPr>
        <w:t>Comisión de Asuntos Exteriores</w:t>
      </w:r>
      <w:bookmarkEnd w:id="3"/>
    </w:p>
    <w:p w14:paraId="17F85A94" w14:textId="77777777" w:rsidR="002B3A46" w:rsidRPr="00F30C46" w:rsidRDefault="002B3A46" w:rsidP="002B3A46">
      <w:pPr>
        <w:rPr>
          <w:vanish/>
        </w:rPr>
      </w:pPr>
      <w:bookmarkStart w:id="4" w:name="PE"/>
      <w:r w:rsidRPr="00F30C46">
        <w:rPr>
          <w:vanish/>
        </w:rPr>
        <w:t>PE765.084</w:t>
      </w:r>
      <w:bookmarkEnd w:id="4"/>
    </w:p>
    <w:p w14:paraId="2DB7AC45" w14:textId="77777777" w:rsidR="002B3A46" w:rsidRPr="00F30C46" w:rsidRDefault="002B3A46" w:rsidP="002B3A46">
      <w:pPr>
        <w:pStyle w:val="ATHeading3"/>
      </w:pPr>
      <w:bookmarkStart w:id="5" w:name="Sujet"/>
      <w:r w:rsidRPr="00F30C46">
        <w:t xml:space="preserve">Resolución del Parlamento Europeo, de </w:t>
      </w:r>
      <w:r w:rsidR="006951C3" w:rsidRPr="00F30C46">
        <w:t>2</w:t>
      </w:r>
      <w:r w:rsidRPr="00F30C46">
        <w:t xml:space="preserve"> de abril de 2025, sobre la aplicación de la política exterior y de seguridad común: informe anual 2024</w:t>
      </w:r>
      <w:bookmarkEnd w:id="5"/>
      <w:r w:rsidRPr="00F30C46">
        <w:t xml:space="preserve"> </w:t>
      </w:r>
      <w:bookmarkStart w:id="6" w:name="References"/>
      <w:r w:rsidRPr="00F30C46">
        <w:t>(2024/2080(INI))</w:t>
      </w:r>
      <w:bookmarkEnd w:id="6"/>
    </w:p>
    <w:p w14:paraId="7A5897FF" w14:textId="77777777" w:rsidR="002F2AE4" w:rsidRPr="00F30C46" w:rsidRDefault="002F2AE4" w:rsidP="006951C3">
      <w:pPr>
        <w:pStyle w:val="EPComma"/>
        <w:widowControl/>
        <w:spacing w:before="360"/>
      </w:pPr>
      <w:r w:rsidRPr="00F30C46">
        <w:rPr>
          <w:i/>
          <w:iCs/>
        </w:rPr>
        <w:t>El Parlamento Europeo</w:t>
      </w:r>
      <w:r w:rsidRPr="00F30C46">
        <w:t>,</w:t>
      </w:r>
    </w:p>
    <w:p w14:paraId="33CC1609" w14:textId="77777777" w:rsidR="002F2AE4" w:rsidRPr="00F30C46" w:rsidRDefault="002F2AE4" w:rsidP="002F2AE4">
      <w:pPr>
        <w:pStyle w:val="NormalHanging12a"/>
        <w:widowControl/>
      </w:pPr>
      <w:r w:rsidRPr="00F30C46">
        <w:t>–</w:t>
      </w:r>
      <w:r w:rsidRPr="00F30C46">
        <w:tab/>
        <w:t>Visto el Tratado de la Unión Europea (</w:t>
      </w:r>
      <w:proofErr w:type="spellStart"/>
      <w:r w:rsidRPr="00F30C46">
        <w:t>TUE</w:t>
      </w:r>
      <w:proofErr w:type="spellEnd"/>
      <w:r w:rsidRPr="00F30C46">
        <w:t>), en particular sus artículos 14, 16, 21, 24, 36 y 41,</w:t>
      </w:r>
    </w:p>
    <w:p w14:paraId="37762F9C" w14:textId="77777777" w:rsidR="002F2AE4" w:rsidRPr="00F30C46" w:rsidRDefault="002F2AE4" w:rsidP="002F2AE4">
      <w:pPr>
        <w:pStyle w:val="NormalHanging12a"/>
        <w:widowControl/>
      </w:pPr>
      <w:r w:rsidRPr="00F30C46">
        <w:t>–</w:t>
      </w:r>
      <w:r w:rsidRPr="00F30C46">
        <w:tab/>
        <w:t>Visto el Acuerdo Interinstitucional, de 16 de diciembre de 2020, entre el Parlamento Europeo, el Consejo de la Unión Europea y la Comisión Europea sobre disciplina presupuestaria, cooperación en materia presupuestaria y buena gestión financiera, así como sobre nuevos recursos propios, en particular una hoja de ruta para la introducción de nuevos recursos propios</w:t>
      </w:r>
      <w:r w:rsidRPr="00F30C46">
        <w:rPr>
          <w:rStyle w:val="FootnoteReference"/>
        </w:rPr>
        <w:footnoteReference w:id="1"/>
      </w:r>
      <w:r w:rsidRPr="00F30C46">
        <w:t>,</w:t>
      </w:r>
    </w:p>
    <w:p w14:paraId="4C0D536E" w14:textId="77777777" w:rsidR="002F2AE4" w:rsidRPr="00F30C46" w:rsidRDefault="002F2AE4" w:rsidP="002F2AE4">
      <w:pPr>
        <w:pStyle w:val="NormalHanging12a"/>
        <w:widowControl/>
      </w:pPr>
      <w:r w:rsidRPr="00F30C46">
        <w:t>–</w:t>
      </w:r>
      <w:r w:rsidRPr="00F30C46">
        <w:tab/>
        <w:t>Visto el informe, de 20 de junio de 2024, del vicepresidente de la Comisión / alto representante de la Unión para Asuntos Exteriores y Política de Seguridad (</w:t>
      </w:r>
      <w:proofErr w:type="spellStart"/>
      <w:r w:rsidRPr="00F30C46">
        <w:t>VP</w:t>
      </w:r>
      <w:proofErr w:type="spellEnd"/>
      <w:r w:rsidRPr="00F30C46">
        <w:t>/AR), titulado «</w:t>
      </w:r>
      <w:proofErr w:type="spellStart"/>
      <w:r w:rsidRPr="00F30C46">
        <w:t>Common</w:t>
      </w:r>
      <w:proofErr w:type="spellEnd"/>
      <w:r w:rsidRPr="00F30C46">
        <w:t xml:space="preserve"> </w:t>
      </w:r>
      <w:proofErr w:type="spellStart"/>
      <w:r w:rsidRPr="00F30C46">
        <w:t>Foreign</w:t>
      </w:r>
      <w:proofErr w:type="spellEnd"/>
      <w:r w:rsidRPr="00F30C46">
        <w:t xml:space="preserve"> and Security </w:t>
      </w:r>
      <w:proofErr w:type="spellStart"/>
      <w:r w:rsidRPr="00F30C46">
        <w:t>Policy</w:t>
      </w:r>
      <w:proofErr w:type="spellEnd"/>
      <w:r w:rsidRPr="00F30C46">
        <w:t xml:space="preserve"> </w:t>
      </w:r>
      <w:proofErr w:type="spellStart"/>
      <w:r w:rsidRPr="00F30C46">
        <w:t>Report</w:t>
      </w:r>
      <w:proofErr w:type="spellEnd"/>
      <w:r w:rsidRPr="00F30C46">
        <w:t xml:space="preserve"> – </w:t>
      </w:r>
      <w:proofErr w:type="spellStart"/>
      <w:r w:rsidRPr="00F30C46">
        <w:t>Our</w:t>
      </w:r>
      <w:proofErr w:type="spellEnd"/>
      <w:r w:rsidRPr="00F30C46">
        <w:t xml:space="preserve"> </w:t>
      </w:r>
      <w:proofErr w:type="spellStart"/>
      <w:r w:rsidRPr="00F30C46">
        <w:t>Priorities</w:t>
      </w:r>
      <w:proofErr w:type="spellEnd"/>
      <w:r w:rsidRPr="00F30C46">
        <w:t xml:space="preserve"> in 2024» (Informe sobre la política exterior y de seguridad común: nuestras prioridades para 2024),</w:t>
      </w:r>
    </w:p>
    <w:p w14:paraId="3646820C" w14:textId="77777777" w:rsidR="002F2AE4" w:rsidRPr="00F30C46" w:rsidRDefault="002F2AE4" w:rsidP="002F2AE4">
      <w:pPr>
        <w:pStyle w:val="NormalHanging12a"/>
        <w:widowControl/>
      </w:pPr>
      <w:r w:rsidRPr="00F30C46">
        <w:t>–</w:t>
      </w:r>
      <w:r w:rsidRPr="00F30C46">
        <w:tab/>
        <w:t>Visto el documento titulado «Una Brújula Estratégica para la Seguridad y la Defensa – Por una Unión Europea que proteja a sus ciudadanos, defienda sus valores e intereses y contribuya a la paz y la seguridad internacionales», refrendado por el Consejo Europeo el 21 de marzo de 2022,</w:t>
      </w:r>
    </w:p>
    <w:p w14:paraId="49F7CD17" w14:textId="77777777" w:rsidR="002F2AE4" w:rsidRPr="00F30C46" w:rsidRDefault="002F2AE4" w:rsidP="002F2AE4">
      <w:pPr>
        <w:pStyle w:val="NormalHanging12a"/>
        <w:widowControl/>
      </w:pPr>
      <w:r w:rsidRPr="00F30C46">
        <w:t xml:space="preserve">– </w:t>
      </w:r>
      <w:r w:rsidRPr="00F30C46">
        <w:tab/>
        <w:t>Visto el Concepto Estratégico 2022 de la OTAN, adoptado el 29 de junio de 2022,</w:t>
      </w:r>
    </w:p>
    <w:p w14:paraId="4283D72D" w14:textId="1EF27AE4" w:rsidR="002F2AE4" w:rsidRPr="00F30C46" w:rsidRDefault="002F2AE4" w:rsidP="002F2AE4">
      <w:pPr>
        <w:pStyle w:val="NormalHanging12a"/>
        <w:widowControl/>
      </w:pPr>
      <w:r w:rsidRPr="00F30C46">
        <w:t>–</w:t>
      </w:r>
      <w:r w:rsidRPr="00F30C46">
        <w:tab/>
        <w:t>Vistas las Conclusiones del Consejo Europeo de 22 de marzo de 2024, de 18 de abril de 2024, de 27 de junio de 2024</w:t>
      </w:r>
      <w:r w:rsidR="00317795" w:rsidRPr="00F30C46">
        <w:t>,</w:t>
      </w:r>
      <w:r w:rsidRPr="00F30C46">
        <w:t xml:space="preserve"> de 19 de diciembre de 2024</w:t>
      </w:r>
      <w:r w:rsidR="00317795" w:rsidRPr="00F30C46">
        <w:t>, de 6 de marzo de 2025 y de 20 de marzo de 2025</w:t>
      </w:r>
      <w:r w:rsidRPr="00F30C46">
        <w:t>,</w:t>
      </w:r>
    </w:p>
    <w:p w14:paraId="56E2C1CC" w14:textId="576147C1" w:rsidR="002F2AE4" w:rsidRPr="00F30C46" w:rsidRDefault="002F2AE4" w:rsidP="002F2AE4">
      <w:pPr>
        <w:pStyle w:val="NormalHanging12a"/>
        <w:widowControl/>
      </w:pPr>
      <w:r w:rsidRPr="00F30C46">
        <w:t>–</w:t>
      </w:r>
      <w:r w:rsidRPr="00F30C46">
        <w:tab/>
        <w:t>Vistas las Conclusiones del Consejo de Asuntos Exteriores de 18 de marzo de 2024, 22 de abril de 2024, 24 de mayo de 2024, 24 de junio de 2024, 22 de julio de 2024, 14 de octubre de 2024, 18 de noviembre de 2024</w:t>
      </w:r>
      <w:r w:rsidR="00317795" w:rsidRPr="00F30C46">
        <w:t>,</w:t>
      </w:r>
      <w:r w:rsidRPr="00F30C46">
        <w:t xml:space="preserve"> 16 de diciembre de 2024</w:t>
      </w:r>
      <w:r w:rsidR="00317795" w:rsidRPr="00F30C46">
        <w:t>, 27 de enero de 2025, 24 de febrero de 2025 y 17 de marzo de 2025</w:t>
      </w:r>
      <w:r w:rsidRPr="00F30C46">
        <w:t>,</w:t>
      </w:r>
    </w:p>
    <w:p w14:paraId="543190E4" w14:textId="77777777" w:rsidR="002F2AE4" w:rsidRPr="00F30C46" w:rsidRDefault="002F2AE4" w:rsidP="002F2AE4">
      <w:pPr>
        <w:pStyle w:val="NormalHanging12a"/>
        <w:widowControl/>
      </w:pPr>
      <w:r w:rsidRPr="00F30C46">
        <w:lastRenderedPageBreak/>
        <w:t>–</w:t>
      </w:r>
      <w:r w:rsidRPr="00F30C46">
        <w:tab/>
        <w:t xml:space="preserve">Vista la declaración de la Cumbre entre la UE y la Comunidad de Estados Latinoamericanos y </w:t>
      </w:r>
      <w:proofErr w:type="gramStart"/>
      <w:r w:rsidRPr="00F30C46">
        <w:t>Caribeños</w:t>
      </w:r>
      <w:proofErr w:type="gramEnd"/>
      <w:r w:rsidRPr="00F30C46">
        <w:t xml:space="preserve"> (</w:t>
      </w:r>
      <w:proofErr w:type="spellStart"/>
      <w:r w:rsidRPr="00F30C46">
        <w:t>CELAC</w:t>
      </w:r>
      <w:proofErr w:type="spellEnd"/>
      <w:r w:rsidRPr="00F30C46">
        <w:t>), adoptada el 18 de julio de 2023,</w:t>
      </w:r>
    </w:p>
    <w:p w14:paraId="0C90563E" w14:textId="77777777" w:rsidR="002F2AE4" w:rsidRPr="00F30C46" w:rsidRDefault="002F2AE4" w:rsidP="002F2AE4">
      <w:pPr>
        <w:pStyle w:val="NormalHanging12a"/>
        <w:widowControl/>
      </w:pPr>
      <w:r w:rsidRPr="00F30C46">
        <w:t>–</w:t>
      </w:r>
      <w:r w:rsidRPr="00F30C46">
        <w:tab/>
        <w:t>Vista la Decisión (</w:t>
      </w:r>
      <w:proofErr w:type="spellStart"/>
      <w:r w:rsidRPr="00F30C46">
        <w:t>PESC</w:t>
      </w:r>
      <w:proofErr w:type="spellEnd"/>
      <w:r w:rsidRPr="00F30C46">
        <w:t>) 2021/509 del Consejo, de 22 de marzo de 2021, por la que se crea un Fondo Europeo de Apoyo a la Paz y se deroga la Decisión (</w:t>
      </w:r>
      <w:proofErr w:type="spellStart"/>
      <w:r w:rsidRPr="00F30C46">
        <w:t>PESC</w:t>
      </w:r>
      <w:proofErr w:type="spellEnd"/>
      <w:r w:rsidRPr="00F30C46">
        <w:t>) 2015/528</w:t>
      </w:r>
      <w:r w:rsidRPr="00F30C46">
        <w:rPr>
          <w:rStyle w:val="FootnoteReference"/>
        </w:rPr>
        <w:footnoteReference w:id="2"/>
      </w:r>
      <w:r w:rsidRPr="00F30C46">
        <w:t>,</w:t>
      </w:r>
    </w:p>
    <w:p w14:paraId="18495314" w14:textId="77777777" w:rsidR="002F2AE4" w:rsidRPr="00F30C46" w:rsidRDefault="002F2AE4" w:rsidP="002F2AE4">
      <w:pPr>
        <w:pStyle w:val="NormalHanging12a"/>
        <w:widowControl/>
      </w:pPr>
      <w:r w:rsidRPr="00F30C46">
        <w:t>–</w:t>
      </w:r>
      <w:r w:rsidRPr="00F30C46">
        <w:tab/>
        <w:t xml:space="preserve">Vistas las orientaciones políticas de la presidenta de la Comisión para 2024-2029, </w:t>
      </w:r>
    </w:p>
    <w:p w14:paraId="5004F5D7" w14:textId="77777777" w:rsidR="002F2AE4" w:rsidRPr="00F30C46" w:rsidRDefault="002F2AE4" w:rsidP="002F2AE4">
      <w:pPr>
        <w:pStyle w:val="NormalHanging12a"/>
        <w:widowControl/>
      </w:pPr>
      <w:r w:rsidRPr="00F30C46">
        <w:t xml:space="preserve">– </w:t>
      </w:r>
      <w:r w:rsidRPr="00F30C46">
        <w:tab/>
        <w:t xml:space="preserve">Vistos los informes sobre la ampliación de 2024 presentados por la Comisión el 30 de octubre de 2024, </w:t>
      </w:r>
    </w:p>
    <w:p w14:paraId="69580F32" w14:textId="77777777" w:rsidR="002F2AE4" w:rsidRPr="00F30C46" w:rsidRDefault="002F2AE4" w:rsidP="002F2AE4">
      <w:pPr>
        <w:pStyle w:val="NormalHanging12a"/>
        <w:widowControl/>
      </w:pPr>
      <w:r w:rsidRPr="00F30C46">
        <w:t>–</w:t>
      </w:r>
      <w:r w:rsidRPr="00F30C46">
        <w:tab/>
        <w:t>Vista la Comunicación de la Comisión, de 30 de octubre de 2024, titulada «Comunicación de 2024 sobre la política de ampliación de la UE» (</w:t>
      </w:r>
      <w:proofErr w:type="gramStart"/>
      <w:r w:rsidRPr="00F30C46">
        <w:t>COM(</w:t>
      </w:r>
      <w:proofErr w:type="gramEnd"/>
      <w:r w:rsidRPr="00F30C46">
        <w:t xml:space="preserve">2024)0690), </w:t>
      </w:r>
    </w:p>
    <w:p w14:paraId="724BE60D" w14:textId="3B721EF0" w:rsidR="002F2AE4" w:rsidRPr="00F30C46" w:rsidRDefault="002F2AE4" w:rsidP="002F2AE4">
      <w:pPr>
        <w:pStyle w:val="NormalHanging12a"/>
        <w:widowControl/>
      </w:pPr>
      <w:r w:rsidRPr="00F30C46">
        <w:t>–</w:t>
      </w:r>
      <w:r w:rsidRPr="00F30C46">
        <w:tab/>
        <w:t>Visto el Reglamento (UE) 2024/1449 del Parlamento Europeo y del Consejo, de 14 de mayo de 2024, por el que se establece el Mecanismo de Reforma y Crecimiento para los Balcanes Occidentales</w:t>
      </w:r>
      <w:r w:rsidRPr="00F30C46">
        <w:rPr>
          <w:rStyle w:val="FootnoteReference"/>
        </w:rPr>
        <w:footnoteReference w:id="3"/>
      </w:r>
      <w:r w:rsidRPr="00F30C46">
        <w:t xml:space="preserve">, </w:t>
      </w:r>
    </w:p>
    <w:p w14:paraId="2419B142" w14:textId="682F5840" w:rsidR="00317795" w:rsidRPr="00F30C46" w:rsidRDefault="00317795" w:rsidP="002F2AE4">
      <w:pPr>
        <w:pStyle w:val="NormalHanging12a"/>
        <w:widowControl/>
      </w:pPr>
      <w:r w:rsidRPr="00F30C46">
        <w:t>–</w:t>
      </w:r>
      <w:r w:rsidRPr="00F30C46">
        <w:tab/>
        <w:t>Visto el Reglamento (UE) 2025/535 del Parlamento Europeo y del Consejo, de 18 de marzo de 2025, por el que se establece el Mecanismo de Reforma y Crecimiento para la República de Moldavia</w:t>
      </w:r>
      <w:r w:rsidRPr="00F30C46">
        <w:rPr>
          <w:rStyle w:val="FootnoteReference"/>
        </w:rPr>
        <w:footnoteReference w:id="4"/>
      </w:r>
      <w:r w:rsidRPr="00F30C46">
        <w:t>,</w:t>
      </w:r>
    </w:p>
    <w:p w14:paraId="64C56859" w14:textId="77777777" w:rsidR="002F2AE4" w:rsidRPr="00F30C46" w:rsidRDefault="002F2AE4" w:rsidP="002F2AE4">
      <w:pPr>
        <w:pStyle w:val="NormalHanging12a"/>
        <w:widowControl/>
      </w:pPr>
      <w:r w:rsidRPr="00F30C46">
        <w:t>–</w:t>
      </w:r>
      <w:r w:rsidRPr="00F30C46">
        <w:tab/>
        <w:t xml:space="preserve">Visto el informe de </w:t>
      </w:r>
      <w:proofErr w:type="spellStart"/>
      <w:r w:rsidRPr="00F30C46">
        <w:t>Sauli</w:t>
      </w:r>
      <w:proofErr w:type="spellEnd"/>
      <w:r w:rsidRPr="00F30C46">
        <w:t xml:space="preserve"> Niinistö, de 30 de octubre de 2024, sobre el fortalecimiento de la respuesta y la preparación civil y militar de Europa,</w:t>
      </w:r>
    </w:p>
    <w:p w14:paraId="04410044" w14:textId="77777777" w:rsidR="002F2AE4" w:rsidRPr="00F30C46" w:rsidRDefault="002F2AE4" w:rsidP="002F2AE4">
      <w:pPr>
        <w:pStyle w:val="NormalHanging12a"/>
        <w:widowControl/>
      </w:pPr>
      <w:r w:rsidRPr="00F30C46">
        <w:t>–</w:t>
      </w:r>
      <w:r w:rsidRPr="00F30C46">
        <w:tab/>
        <w:t>Vistas las Directrices de la UE sobre Defensores de los Derechos Humanos, adoptadas en 2004, actualizadas en 2008 y completadas en mayor medida en 2020 con una nota orientativa sobre la aplicación de las Directrices,</w:t>
      </w:r>
    </w:p>
    <w:p w14:paraId="4CB3F3B0" w14:textId="77777777" w:rsidR="002F2AE4" w:rsidRPr="00F30C46" w:rsidRDefault="002F2AE4" w:rsidP="002F2AE4">
      <w:pPr>
        <w:pStyle w:val="NormalHanging12a"/>
        <w:widowControl/>
      </w:pPr>
      <w:r w:rsidRPr="00F30C46">
        <w:t>–</w:t>
      </w:r>
      <w:r w:rsidRPr="00F30C46">
        <w:tab/>
        <w:t>Vistas sus Resoluciones sobre casos de violaciones de los derechos humanos, de la democracia y del Estado de Derecho, aprobadas de conformidad con el artículo 150 de su Reglamento interno,</w:t>
      </w:r>
    </w:p>
    <w:p w14:paraId="2E988F9D" w14:textId="77777777" w:rsidR="002F2AE4" w:rsidRPr="00F30C46" w:rsidRDefault="002F2AE4" w:rsidP="002F2AE4">
      <w:pPr>
        <w:pStyle w:val="NormalHanging12a"/>
        <w:widowControl/>
      </w:pPr>
      <w:r w:rsidRPr="00F30C46">
        <w:t>–</w:t>
      </w:r>
      <w:r w:rsidRPr="00F30C46">
        <w:tab/>
        <w:t>Vista la Comunicación conjunta de la Comisión y el alto representante de la Unión para Asuntos Exteriores y Política de Seguridad, de 20 de junio de 2023, relativa a la Estrategia Europea de Seguridad Económica (</w:t>
      </w:r>
      <w:proofErr w:type="spellStart"/>
      <w:proofErr w:type="gramStart"/>
      <w:r w:rsidRPr="00F30C46">
        <w:t>JOIN</w:t>
      </w:r>
      <w:proofErr w:type="spellEnd"/>
      <w:r w:rsidRPr="00F30C46">
        <w:t>(</w:t>
      </w:r>
      <w:proofErr w:type="gramEnd"/>
      <w:r w:rsidRPr="00F30C46">
        <w:t>2023)0020),</w:t>
      </w:r>
    </w:p>
    <w:p w14:paraId="2DCA4A5C" w14:textId="77777777" w:rsidR="002F2AE4" w:rsidRPr="00F30C46" w:rsidRDefault="002F2AE4" w:rsidP="002F2AE4">
      <w:pPr>
        <w:pStyle w:val="NormalHanging12a"/>
        <w:widowControl/>
      </w:pPr>
      <w:r w:rsidRPr="00F30C46">
        <w:t>–</w:t>
      </w:r>
      <w:r w:rsidRPr="00F30C46">
        <w:tab/>
        <w:t>Vista la Comunicación conjunta de la Comisión y el alto representante de la Unión para Asuntos Exteriores y Política de Seguridad, de 16 de diciembre de 2020, titulada «La Estrategia de Ciberseguridad de la UE para la Década Digital» (</w:t>
      </w:r>
      <w:proofErr w:type="spellStart"/>
      <w:proofErr w:type="gramStart"/>
      <w:r w:rsidRPr="00F30C46">
        <w:t>JOIN</w:t>
      </w:r>
      <w:proofErr w:type="spellEnd"/>
      <w:r w:rsidRPr="00F30C46">
        <w:t>(</w:t>
      </w:r>
      <w:proofErr w:type="gramEnd"/>
      <w:r w:rsidRPr="00F30C46">
        <w:t xml:space="preserve">2020)0018), </w:t>
      </w:r>
    </w:p>
    <w:p w14:paraId="44937A79" w14:textId="77777777" w:rsidR="002F2AE4" w:rsidRPr="00F30C46" w:rsidRDefault="002F2AE4" w:rsidP="002F2AE4">
      <w:pPr>
        <w:pStyle w:val="NormalHanging12a"/>
        <w:widowControl/>
      </w:pPr>
      <w:r w:rsidRPr="00F30C46">
        <w:t>–</w:t>
      </w:r>
      <w:r w:rsidRPr="00F30C46">
        <w:tab/>
        <w:t>Vista la Recomendación de la Comisión, de 3 de octubre de 2023, sobre ámbitos tecnológicos críticos para la seguridad económica de la UE con vistas a realizar evaluaciones de riesgos adicionales conjuntamente con los Estados miembros (</w:t>
      </w:r>
      <w:proofErr w:type="gramStart"/>
      <w:r w:rsidRPr="00F30C46">
        <w:t>C(</w:t>
      </w:r>
      <w:proofErr w:type="gramEnd"/>
      <w:r w:rsidRPr="00F30C46">
        <w:t xml:space="preserve">2023)6689), </w:t>
      </w:r>
    </w:p>
    <w:p w14:paraId="68CE3FA2" w14:textId="77777777" w:rsidR="002F2AE4" w:rsidRPr="00F30C46" w:rsidRDefault="002F2AE4" w:rsidP="002F2AE4">
      <w:pPr>
        <w:pStyle w:val="NormalHanging12a"/>
        <w:widowControl/>
      </w:pPr>
      <w:r w:rsidRPr="00F30C46">
        <w:lastRenderedPageBreak/>
        <w:t>–</w:t>
      </w:r>
      <w:r w:rsidRPr="00F30C46">
        <w:tab/>
        <w:t>Vista la Decisión (</w:t>
      </w:r>
      <w:proofErr w:type="spellStart"/>
      <w:r w:rsidRPr="00F30C46">
        <w:t>PESC</w:t>
      </w:r>
      <w:proofErr w:type="spellEnd"/>
      <w:r w:rsidRPr="00F30C46">
        <w:t>) 2019/797 del Consejo, de 17 de mayo de 2019, relativa a medidas restrictivas contra los ciberataques que amenacen a la Unión o a sus Estados miembros</w:t>
      </w:r>
      <w:r w:rsidRPr="00F30C46">
        <w:rPr>
          <w:rStyle w:val="FootnoteReference"/>
        </w:rPr>
        <w:footnoteReference w:id="5"/>
      </w:r>
      <w:r w:rsidRPr="00F30C46">
        <w:t xml:space="preserve">, </w:t>
      </w:r>
    </w:p>
    <w:p w14:paraId="4B6C1539" w14:textId="77777777" w:rsidR="002F2AE4" w:rsidRPr="00F30C46" w:rsidRDefault="002F2AE4" w:rsidP="002F2AE4">
      <w:pPr>
        <w:pStyle w:val="NormalHanging12a"/>
        <w:widowControl/>
      </w:pPr>
      <w:r w:rsidRPr="00F30C46">
        <w:t>–</w:t>
      </w:r>
      <w:r w:rsidRPr="00F30C46">
        <w:tab/>
        <w:t>Vista su Resolución, de 1 de junio de 2023, sobre las injerencias extranjeras en todos los procesos democráticos de la Unión Europea, en particular la desinformación</w:t>
      </w:r>
      <w:r w:rsidRPr="00F30C46">
        <w:rPr>
          <w:rStyle w:val="FootnoteReference"/>
        </w:rPr>
        <w:footnoteReference w:id="6"/>
      </w:r>
      <w:r w:rsidRPr="00F30C46">
        <w:t>,</w:t>
      </w:r>
    </w:p>
    <w:p w14:paraId="0C7710B7" w14:textId="77777777" w:rsidR="002F2AE4" w:rsidRPr="00F30C46" w:rsidRDefault="002F2AE4" w:rsidP="002F2AE4">
      <w:pPr>
        <w:pStyle w:val="NormalHanging12a"/>
        <w:widowControl/>
      </w:pPr>
      <w:r w:rsidRPr="00F30C46">
        <w:t>–</w:t>
      </w:r>
      <w:r w:rsidRPr="00F30C46">
        <w:tab/>
        <w:t>Vista su Resolución, de 9 de octubre de 2024, sobre el refuerzo de la resiliencia de Moldavia frente a la injerencia rusa ante la perspectiva de las próximas elecciones presidenciales y un referéndum constitucional sobre la integración en la Unión</w:t>
      </w:r>
      <w:r w:rsidRPr="00F30C46">
        <w:rPr>
          <w:rStyle w:val="FootnoteReference"/>
        </w:rPr>
        <w:footnoteReference w:id="7"/>
      </w:r>
      <w:r w:rsidRPr="00F30C46">
        <w:t xml:space="preserve">, </w:t>
      </w:r>
    </w:p>
    <w:p w14:paraId="4EC8EA43" w14:textId="77777777" w:rsidR="002F2AE4" w:rsidRPr="00F30C46" w:rsidRDefault="002F2AE4" w:rsidP="002F2AE4">
      <w:pPr>
        <w:pStyle w:val="NormalHanging12a"/>
        <w:widowControl/>
      </w:pPr>
      <w:r w:rsidRPr="00F30C46">
        <w:t>–</w:t>
      </w:r>
      <w:r w:rsidRPr="00F30C46">
        <w:tab/>
        <w:t>Vista su Resolución, de 24 de octubre de 2024, sobre la interpretación errónea de la Resolución 2758 de la Asamblea General de las Naciones Unidas por parte de la República Popular China y sus continuas provocaciones militares en torno a Taiwán</w:t>
      </w:r>
      <w:r w:rsidRPr="00F30C46">
        <w:rPr>
          <w:rStyle w:val="FootnoteReference"/>
        </w:rPr>
        <w:footnoteReference w:id="8"/>
      </w:r>
      <w:r w:rsidRPr="00F30C46">
        <w:t xml:space="preserve">, </w:t>
      </w:r>
    </w:p>
    <w:p w14:paraId="0CCFE582" w14:textId="77777777" w:rsidR="002F2AE4" w:rsidRPr="00F30C46" w:rsidRDefault="002F2AE4" w:rsidP="002F2AE4">
      <w:pPr>
        <w:pStyle w:val="NormalHanging12a"/>
        <w:widowControl/>
      </w:pPr>
      <w:r w:rsidRPr="00F30C46">
        <w:t>–</w:t>
      </w:r>
      <w:r w:rsidRPr="00F30C46">
        <w:tab/>
        <w:t>Vista su Resolución, de 17 de enero de 2024, sobre las implicaciones en materia de seguridad y defensa de la influencia de China en las infraestructuras críticas en la Unión Europea</w:t>
      </w:r>
      <w:r w:rsidRPr="00F30C46">
        <w:rPr>
          <w:rStyle w:val="FootnoteReference"/>
        </w:rPr>
        <w:footnoteReference w:id="9"/>
      </w:r>
      <w:r w:rsidRPr="00F30C46">
        <w:t>,</w:t>
      </w:r>
    </w:p>
    <w:p w14:paraId="1EA4658D" w14:textId="77777777" w:rsidR="002F2AE4" w:rsidRPr="00F30C46" w:rsidRDefault="002F2AE4" w:rsidP="002F2AE4">
      <w:pPr>
        <w:pStyle w:val="NormalHanging12a"/>
        <w:widowControl/>
      </w:pPr>
      <w:r w:rsidRPr="00F30C46">
        <w:t>–</w:t>
      </w:r>
      <w:r w:rsidRPr="00F30C46">
        <w:tab/>
        <w:t>Vistas sus Resoluciones, de 24 de octubre de 2024, sobre la situación en Azerbaiyán, la violación de los derechos humanos y del Derecho internacional y las relaciones con Armenia</w:t>
      </w:r>
      <w:r w:rsidRPr="00F30C46">
        <w:rPr>
          <w:rStyle w:val="FootnoteReference"/>
        </w:rPr>
        <w:footnoteReference w:id="10"/>
      </w:r>
      <w:r w:rsidRPr="00F30C46">
        <w:t xml:space="preserve"> y, de 5 de octubre de 2023, sobre la situación en Nagorno Karabaj tras el ataque de Azerbaiyán y las amenazas continuas contra Armenia</w:t>
      </w:r>
      <w:r w:rsidRPr="00F30C46">
        <w:rPr>
          <w:rStyle w:val="FootnoteReference"/>
        </w:rPr>
        <w:footnoteReference w:id="11"/>
      </w:r>
      <w:r w:rsidRPr="00F30C46">
        <w:t>,</w:t>
      </w:r>
    </w:p>
    <w:p w14:paraId="23D883FA" w14:textId="77777777" w:rsidR="002F2AE4" w:rsidRPr="00F30C46" w:rsidRDefault="002F2AE4" w:rsidP="002F2AE4">
      <w:pPr>
        <w:pStyle w:val="NormalHanging12a"/>
        <w:widowControl/>
      </w:pPr>
      <w:r w:rsidRPr="00F30C46">
        <w:t>–</w:t>
      </w:r>
      <w:r w:rsidRPr="00F30C46">
        <w:tab/>
        <w:t>Vistas sus Resoluciones sobre la memoria histórica, incluidas sus Resoluciones, de 2 de abril de 2009, sobre la conciencia europea y el totalitarismo</w:t>
      </w:r>
      <w:r w:rsidRPr="00F30C46">
        <w:rPr>
          <w:rStyle w:val="FootnoteReference"/>
        </w:rPr>
        <w:footnoteReference w:id="12"/>
      </w:r>
      <w:r w:rsidRPr="00F30C46">
        <w:t>, de 19 de septiembre de 2019, sobre la importancia de la memoria histórica europea para el futuro de Europa</w:t>
      </w:r>
      <w:r w:rsidRPr="00F30C46">
        <w:rPr>
          <w:rStyle w:val="FootnoteReference"/>
        </w:rPr>
        <w:footnoteReference w:id="13"/>
      </w:r>
      <w:r w:rsidRPr="00F30C46">
        <w:t xml:space="preserve">, de 15 de diciembre de 2022, sobre los noventa años del </w:t>
      </w:r>
      <w:proofErr w:type="spellStart"/>
      <w:r w:rsidRPr="00F30C46">
        <w:t>Holodomor</w:t>
      </w:r>
      <w:proofErr w:type="spellEnd"/>
      <w:r w:rsidRPr="00F30C46">
        <w:t>: reconocimiento de la matanza en masa por hambruna como genocidio</w:t>
      </w:r>
      <w:r w:rsidRPr="00F30C46">
        <w:rPr>
          <w:rStyle w:val="FootnoteReference"/>
        </w:rPr>
        <w:footnoteReference w:id="14"/>
      </w:r>
      <w:r w:rsidRPr="00F30C46">
        <w:t>, y de 17 de enero de 2024, sobre la conciencia histórica europea</w:t>
      </w:r>
      <w:r w:rsidRPr="00F30C46">
        <w:rPr>
          <w:rStyle w:val="FootnoteReference"/>
        </w:rPr>
        <w:footnoteReference w:id="15"/>
      </w:r>
      <w:r w:rsidRPr="00F30C46">
        <w:t>,</w:t>
      </w:r>
    </w:p>
    <w:p w14:paraId="444BD8AC" w14:textId="77777777" w:rsidR="002F2AE4" w:rsidRPr="00F30C46" w:rsidRDefault="002F2AE4" w:rsidP="002F2AE4">
      <w:pPr>
        <w:pStyle w:val="NormalHanging12a"/>
        <w:widowControl/>
      </w:pPr>
      <w:r w:rsidRPr="00F30C46">
        <w:t>–</w:t>
      </w:r>
      <w:r w:rsidRPr="00F30C46">
        <w:tab/>
        <w:t>Visto el informe, de 9 de mayo de 2022, sobre el resultado final de la Conferencia sobre el Futuro de Europa,</w:t>
      </w:r>
    </w:p>
    <w:p w14:paraId="2CC429EF" w14:textId="77777777" w:rsidR="002F2AE4" w:rsidRPr="00F30C46" w:rsidRDefault="002F2AE4" w:rsidP="002F2AE4">
      <w:pPr>
        <w:pStyle w:val="NormalHanging12a"/>
        <w:widowControl/>
      </w:pPr>
      <w:r w:rsidRPr="00F30C46">
        <w:t>–</w:t>
      </w:r>
      <w:r w:rsidRPr="00F30C46">
        <w:tab/>
        <w:t>Visto el Plan de acción de la UE para la igualdad de género y el empoderamiento de la mujer en la acción exterior 2021-2025 (GAP III),</w:t>
      </w:r>
    </w:p>
    <w:p w14:paraId="7C897B6E" w14:textId="77777777" w:rsidR="002F2AE4" w:rsidRPr="00F30C46" w:rsidRDefault="002F2AE4" w:rsidP="002F2AE4">
      <w:pPr>
        <w:pStyle w:val="NormalHanging12a"/>
        <w:widowControl/>
      </w:pPr>
      <w:r w:rsidRPr="00F30C46">
        <w:t>–</w:t>
      </w:r>
      <w:r w:rsidRPr="00F30C46">
        <w:tab/>
        <w:t xml:space="preserve">Visto el Convenio del Consejo de Europa sobre Prevención y Lucha contra la Violencia contra las Mujeres y la Violencia Doméstica (Convenio de Estambul), que entró en vigor en la Unión el 1 de octubre de 2023, </w:t>
      </w:r>
    </w:p>
    <w:p w14:paraId="41512159" w14:textId="77777777" w:rsidR="002F2AE4" w:rsidRPr="00F30C46" w:rsidRDefault="002F2AE4" w:rsidP="002F2AE4">
      <w:pPr>
        <w:pStyle w:val="NormalHanging12a"/>
        <w:widowControl/>
      </w:pPr>
      <w:r w:rsidRPr="00F30C46">
        <w:lastRenderedPageBreak/>
        <w:t>–</w:t>
      </w:r>
      <w:r w:rsidRPr="00F30C46">
        <w:tab/>
        <w:t>Vista la Resolución de las Naciones Unidas aprobada por la Asamblea General de las Naciones Unidas el 25 de septiembre de 2015 en la Cumbre de las Naciones Unidas sobre el Desarrollo Sostenible celebrada en Nueva York titulada «Transformar nuestro mundo: la Agenda 2030 para el Desarrollo Sostenible» (Agenda 2030), que estableció los Objetivos de Desarrollo Sostenible (</w:t>
      </w:r>
      <w:proofErr w:type="spellStart"/>
      <w:r w:rsidRPr="00F30C46">
        <w:t>ODS</w:t>
      </w:r>
      <w:proofErr w:type="spellEnd"/>
      <w:r w:rsidRPr="00F30C46">
        <w:t>),</w:t>
      </w:r>
    </w:p>
    <w:p w14:paraId="60792CDF" w14:textId="77777777" w:rsidR="002F2AE4" w:rsidRPr="00F30C46" w:rsidRDefault="002F2AE4" w:rsidP="002F2AE4">
      <w:pPr>
        <w:pStyle w:val="NormalHanging12a"/>
        <w:widowControl/>
      </w:pPr>
      <w:r w:rsidRPr="00F30C46">
        <w:t>–</w:t>
      </w:r>
      <w:r w:rsidRPr="00F30C46">
        <w:tab/>
        <w:t>Vista la Resolución de las Naciones Unidas aprobada por la Asamblea General de las Naciones Unidas el 8 de diciembre de 1949 sobre la ayuda a los refugiados de Palestina,</w:t>
      </w:r>
    </w:p>
    <w:p w14:paraId="23BB432D" w14:textId="77777777" w:rsidR="002F2AE4" w:rsidRPr="00F30C46" w:rsidRDefault="002F2AE4" w:rsidP="002F2AE4">
      <w:pPr>
        <w:pStyle w:val="NormalHanging12a"/>
        <w:widowControl/>
        <w:rPr>
          <w:szCs w:val="24"/>
        </w:rPr>
      </w:pPr>
      <w:r w:rsidRPr="00F30C46">
        <w:t>–</w:t>
      </w:r>
      <w:r w:rsidRPr="00F30C46">
        <w:tab/>
        <w:t xml:space="preserve">Vista la Resolución del Consejo de Seguridad de las Naciones Unidas, de 22 de noviembre de 1967, </w:t>
      </w:r>
      <w:r w:rsidRPr="00F30C46">
        <w:rPr>
          <w:shd w:val="clear" w:color="auto" w:fill="FFFFFF"/>
        </w:rPr>
        <w:t>sobre una solución pacífica y aceptada a la situación en Oriente Próximo</w:t>
      </w:r>
      <w:r w:rsidRPr="00F30C46">
        <w:t xml:space="preserve">, </w:t>
      </w:r>
    </w:p>
    <w:p w14:paraId="620CD8DB" w14:textId="77777777" w:rsidR="002F2AE4" w:rsidRPr="00F30C46" w:rsidRDefault="002F2AE4" w:rsidP="002F2AE4">
      <w:pPr>
        <w:pStyle w:val="NormalHanging12a"/>
        <w:widowControl/>
      </w:pPr>
      <w:r w:rsidRPr="00F30C46">
        <w:t>–</w:t>
      </w:r>
      <w:r w:rsidRPr="00F30C46">
        <w:tab/>
        <w:t xml:space="preserve">Vista la Resolución del Consejo de Seguridad de las Naciones Unidas, de 11 de agosto de 2006, sobre la situación en Oriente Próximo, </w:t>
      </w:r>
    </w:p>
    <w:p w14:paraId="21E83CA7" w14:textId="77777777" w:rsidR="002F2AE4" w:rsidRPr="00F30C46" w:rsidRDefault="002F2AE4" w:rsidP="002F2AE4">
      <w:pPr>
        <w:pStyle w:val="NormalHanging12a"/>
        <w:widowControl/>
      </w:pPr>
      <w:r w:rsidRPr="00F30C46">
        <w:t>–</w:t>
      </w:r>
      <w:r w:rsidRPr="00F30C46">
        <w:tab/>
        <w:t>Vistas la Convención de las Naciones Unidas para la Prevención y la Sanción del Delito de Genocidio de 1948, y la Resolución del Consejo de Derechos Humanos de las Naciones Unidas, de 22 de junio de 2020, sobre la prevención del genocidio,</w:t>
      </w:r>
    </w:p>
    <w:p w14:paraId="656B8624" w14:textId="77777777" w:rsidR="002F2AE4" w:rsidRPr="00F30C46" w:rsidRDefault="002F2AE4" w:rsidP="002F2AE4">
      <w:pPr>
        <w:pStyle w:val="NormalHanging12a"/>
        <w:widowControl/>
      </w:pPr>
      <w:r w:rsidRPr="00F30C46">
        <w:t>–</w:t>
      </w:r>
      <w:r w:rsidRPr="00F30C46">
        <w:tab/>
        <w:t>Visto el Estatuto de Roma de la Corte Penal Internacional (CPI),</w:t>
      </w:r>
    </w:p>
    <w:p w14:paraId="69060B1C" w14:textId="77777777" w:rsidR="002F2AE4" w:rsidRPr="00F30C46" w:rsidRDefault="002F2AE4" w:rsidP="002F2AE4">
      <w:pPr>
        <w:pStyle w:val="NormalHanging12a"/>
        <w:widowControl/>
      </w:pPr>
      <w:r w:rsidRPr="00F30C46">
        <w:t>–</w:t>
      </w:r>
      <w:r w:rsidRPr="00F30C46">
        <w:tab/>
        <w:t>Visto el Acuerdo entre la Corte Penal Internacional y la Unión Europea sobre cooperación y asistencia</w:t>
      </w:r>
      <w:r w:rsidRPr="00F30C46">
        <w:rPr>
          <w:rStyle w:val="FootnoteReference"/>
        </w:rPr>
        <w:footnoteReference w:id="16"/>
      </w:r>
      <w:r w:rsidRPr="00F30C46">
        <w:t>, de 28 de abril de 2006,</w:t>
      </w:r>
    </w:p>
    <w:p w14:paraId="27E530ED" w14:textId="77777777" w:rsidR="002F2AE4" w:rsidRPr="00F30C46" w:rsidRDefault="002F2AE4" w:rsidP="002F2AE4">
      <w:pPr>
        <w:pStyle w:val="NormalHanging12a"/>
        <w:widowControl/>
      </w:pPr>
      <w:r w:rsidRPr="00F30C46">
        <w:t>–</w:t>
      </w:r>
      <w:r w:rsidRPr="00F30C46">
        <w:tab/>
        <w:t>Vista la opinión consultiva solicitada a la Corte Internacional de Justicia por la Asamblea General de las Naciones Unidas en su Resolución de 30 de diciembre de 2022 titulada «Prácticas israelíes que afectan a los derechos humanos del pueblo palestino en el Territorio Palestino Ocupado, incluida Jerusalén Oriental»,</w:t>
      </w:r>
    </w:p>
    <w:p w14:paraId="6F619FBB" w14:textId="54239925" w:rsidR="00472492" w:rsidRPr="00F30C46" w:rsidRDefault="00472492" w:rsidP="002F2AE4">
      <w:pPr>
        <w:pStyle w:val="NormalHanging12a"/>
        <w:widowControl/>
      </w:pPr>
      <w:r w:rsidRPr="00F30C46">
        <w:t>–</w:t>
      </w:r>
      <w:r w:rsidRPr="00F30C46">
        <w:tab/>
        <w:t>Vista la Comunicación conjunta de la Comisión y de la alta representante de la Unión para Asuntos Exteriores y Política de Seguridad, de 19 de marzo de 2025, titulada «</w:t>
      </w:r>
      <w:proofErr w:type="spellStart"/>
      <w:r w:rsidRPr="00F30C46">
        <w:t>Joint</w:t>
      </w:r>
      <w:proofErr w:type="spellEnd"/>
      <w:r w:rsidRPr="00F30C46">
        <w:t xml:space="preserve"> White </w:t>
      </w:r>
      <w:proofErr w:type="spellStart"/>
      <w:r w:rsidRPr="00F30C46">
        <w:t>Paper</w:t>
      </w:r>
      <w:proofErr w:type="spellEnd"/>
      <w:r w:rsidRPr="00F30C46">
        <w:t xml:space="preserve"> </w:t>
      </w:r>
      <w:proofErr w:type="spellStart"/>
      <w:r w:rsidRPr="00F30C46">
        <w:t>for</w:t>
      </w:r>
      <w:proofErr w:type="spellEnd"/>
      <w:r w:rsidRPr="00F30C46">
        <w:t xml:space="preserve"> </w:t>
      </w:r>
      <w:proofErr w:type="spellStart"/>
      <w:r w:rsidRPr="00F30C46">
        <w:t>European</w:t>
      </w:r>
      <w:proofErr w:type="spellEnd"/>
      <w:r w:rsidRPr="00F30C46">
        <w:t xml:space="preserve"> </w:t>
      </w:r>
      <w:proofErr w:type="spellStart"/>
      <w:r w:rsidRPr="00F30C46">
        <w:t>Defence</w:t>
      </w:r>
      <w:proofErr w:type="spellEnd"/>
      <w:r w:rsidRPr="00F30C46">
        <w:t xml:space="preserve"> </w:t>
      </w:r>
      <w:proofErr w:type="spellStart"/>
      <w:r w:rsidRPr="00F30C46">
        <w:t>Readiness</w:t>
      </w:r>
      <w:proofErr w:type="spellEnd"/>
      <w:r w:rsidRPr="00F30C46">
        <w:t xml:space="preserve"> 2030» (Libro Blanco sobre el futuro de la defensa europea) (</w:t>
      </w:r>
      <w:proofErr w:type="spellStart"/>
      <w:proofErr w:type="gramStart"/>
      <w:r w:rsidRPr="00F30C46">
        <w:t>JOIN</w:t>
      </w:r>
      <w:proofErr w:type="spellEnd"/>
      <w:r w:rsidRPr="00F30C46">
        <w:t>(</w:t>
      </w:r>
      <w:proofErr w:type="gramEnd"/>
      <w:r w:rsidRPr="00F30C46">
        <w:t>2025)0120),</w:t>
      </w:r>
    </w:p>
    <w:p w14:paraId="7F35B5E7" w14:textId="77777777" w:rsidR="002F2AE4" w:rsidRPr="00F30C46" w:rsidRDefault="002F2AE4" w:rsidP="002F2AE4">
      <w:pPr>
        <w:pStyle w:val="NormalHanging12a"/>
        <w:widowControl/>
      </w:pPr>
      <w:r w:rsidRPr="00F30C46">
        <w:t>–</w:t>
      </w:r>
      <w:r w:rsidRPr="00F30C46">
        <w:tab/>
        <w:t>Visto el artículo 55 de su Reglamento interno,</w:t>
      </w:r>
    </w:p>
    <w:p w14:paraId="4A905142" w14:textId="77777777" w:rsidR="002F2AE4" w:rsidRPr="00F30C46" w:rsidRDefault="002F2AE4" w:rsidP="002F2AE4">
      <w:pPr>
        <w:pStyle w:val="NormalHanging12a"/>
        <w:widowControl/>
      </w:pPr>
      <w:r w:rsidRPr="00F30C46">
        <w:t>–</w:t>
      </w:r>
      <w:r w:rsidRPr="00F30C46">
        <w:tab/>
        <w:t>Visto el informe de la Comisión de Asuntos Exteriores (A10-0010/2025),</w:t>
      </w:r>
    </w:p>
    <w:p w14:paraId="1D8A3203" w14:textId="77777777" w:rsidR="002F2AE4" w:rsidRPr="00F30C46" w:rsidRDefault="002F2AE4" w:rsidP="002F2AE4">
      <w:pPr>
        <w:pStyle w:val="NormalHanging12a"/>
        <w:widowControl/>
      </w:pPr>
      <w:r w:rsidRPr="00F30C46">
        <w:t>A.</w:t>
      </w:r>
      <w:r w:rsidRPr="00F30C46">
        <w:tab/>
        <w:t xml:space="preserve">Considerando que el mundo se enfrenta a rápidos cambios geopolíticos, con potencias autocráticas, tanto individualmente como en esfuerzos coordinados, que cuestionan activamente el orden internacional basado en normas y sus instituciones multilaterales, el Derecho internacional y las instituciones y sociedades democráticas, así como nuestras alianzas; que debe evaluarse toda la influencia de la Unión para disuadir a los países de apoyar la agresión de Rusia;  </w:t>
      </w:r>
    </w:p>
    <w:p w14:paraId="59AD592E" w14:textId="77777777" w:rsidR="002F2AE4" w:rsidRPr="00F30C46" w:rsidRDefault="002F2AE4" w:rsidP="002F2AE4">
      <w:pPr>
        <w:pStyle w:val="NormalHanging12a"/>
        <w:widowControl/>
      </w:pPr>
      <w:r w:rsidRPr="00F30C46">
        <w:t>B.</w:t>
      </w:r>
      <w:r w:rsidRPr="00F30C46">
        <w:tab/>
        <w:t xml:space="preserve">Considerando que la cumbre de los países </w:t>
      </w:r>
      <w:proofErr w:type="spellStart"/>
      <w:r w:rsidRPr="00F30C46">
        <w:t>BRICS</w:t>
      </w:r>
      <w:proofErr w:type="spellEnd"/>
      <w:r w:rsidRPr="00F30C46">
        <w:t xml:space="preserve"> celebrada en Kazán (Rusia) del 22 al 24 de octubre de 2024 pone de relieve la manera en la que aprovecha Putin las plataformas internacionales para contrarrestar el aislamiento y construir alianzas; que se </w:t>
      </w:r>
      <w:r w:rsidRPr="00F30C46">
        <w:lastRenderedPageBreak/>
        <w:t>requiere una respuesta unificada y estratégica de la Unión para defender los principios del orden internacional basado en normas;</w:t>
      </w:r>
    </w:p>
    <w:p w14:paraId="6A432D79" w14:textId="77777777" w:rsidR="002F2AE4" w:rsidRPr="00F30C46" w:rsidRDefault="002F2AE4" w:rsidP="002F2AE4">
      <w:pPr>
        <w:pStyle w:val="NormalHanging12a"/>
        <w:widowControl/>
      </w:pPr>
      <w:r w:rsidRPr="00F30C46">
        <w:t>C.</w:t>
      </w:r>
      <w:r w:rsidRPr="00F30C46">
        <w:tab/>
        <w:t>Considerando que la Unión y los Estados miembros deben reevaluar la ayuda al desarrollo prestada a los Gobiernos de aquellos países que apoyen abiertamente la guerra de agresión de Rusia contra Ucrania, y supervisar el sentido de su voto en las resoluciones pertinentes de las Naciones Unidas;</w:t>
      </w:r>
    </w:p>
    <w:p w14:paraId="2E346D26" w14:textId="77777777" w:rsidR="002F2AE4" w:rsidRPr="00F30C46" w:rsidRDefault="002F2AE4" w:rsidP="002F2AE4">
      <w:pPr>
        <w:pStyle w:val="NormalHanging12a"/>
        <w:widowControl/>
      </w:pPr>
      <w:r w:rsidRPr="00F30C46">
        <w:t>D.</w:t>
      </w:r>
      <w:r w:rsidRPr="00F30C46">
        <w:tab/>
        <w:t>Considerando que la confrontación geopolítica entre democracias y regímenes autoritarios y dictatoriales está aumentando, que los conflictos se multiplican y que cada vez más se recurre al uso de la fuerza como herramienta estándar para perseguir objetivos políticos; que la fuerza no solo la ejercen los Estados, sino también un amplio abanico de agentes no estatales; que la Unión debe reforzar las relaciones transatlánticas y establecer asociaciones constructivas con socios afines en el Sur Global;</w:t>
      </w:r>
    </w:p>
    <w:p w14:paraId="2C4C1DC0" w14:textId="77777777" w:rsidR="002F2AE4" w:rsidRPr="00F30C46" w:rsidRDefault="002F2AE4" w:rsidP="002F2AE4">
      <w:pPr>
        <w:pStyle w:val="NormalHanging12a"/>
        <w:widowControl/>
      </w:pPr>
      <w:r w:rsidRPr="00F30C46">
        <w:t>E.</w:t>
      </w:r>
      <w:r w:rsidRPr="00F30C46">
        <w:tab/>
        <w:t>Considerando que el contexto geopolítico en el que actúa la Unión ha acentuado la necesidad de una acción de la Unión más ambiciosa, creíble, decisiva y unificada y una verdadera política exterior europea en la escena mundial y ha puesto de relieve la necesidad de que los Estados miembros demuestren la voluntad política necesaria para reconstruir sus capacidades de defensa, reforzando al mismo tiempo las asociaciones y los vínculos transatlánticos con países afines; que la política exterior y de seguridad común (</w:t>
      </w:r>
      <w:proofErr w:type="spellStart"/>
      <w:r w:rsidRPr="00F30C46">
        <w:t>PESC</w:t>
      </w:r>
      <w:proofErr w:type="spellEnd"/>
      <w:r w:rsidRPr="00F30C46">
        <w:t xml:space="preserve">) debe convertirse en una verdadera política de la Unión a través de la cual la Unión pueda abordar los principales retos geopolíticos; que la Unión debe guiarse en su acción exterior por los valores y principios consagrados en el artículo 2, el artículo 3, apartado 5, y el artículo 21 del </w:t>
      </w:r>
      <w:proofErr w:type="spellStart"/>
      <w:r w:rsidRPr="00F30C46">
        <w:t>TUE</w:t>
      </w:r>
      <w:proofErr w:type="spellEnd"/>
      <w:r w:rsidRPr="00F30C46">
        <w:t>, que han inspirado la propia creación de la Unión, su desarrollo y su ampliación; que redunda en interés de la Unión defender en consecuencia valores, normas y principios universales como la libertad y las normas democráticas, así como los derechos humanos, el Estado de Derecho, la justicia internacional y el Acta Final de Helsinki, en particular por cuanto respecta a la no violación de las fronteras internacionales;</w:t>
      </w:r>
    </w:p>
    <w:p w14:paraId="7F1E2B82" w14:textId="77777777" w:rsidR="002F2AE4" w:rsidRPr="00F30C46" w:rsidRDefault="002F2AE4" w:rsidP="002F2AE4">
      <w:pPr>
        <w:pStyle w:val="NormalHanging12a"/>
        <w:widowControl/>
      </w:pPr>
      <w:r w:rsidRPr="00F30C46">
        <w:t>F.</w:t>
      </w:r>
      <w:r w:rsidRPr="00F30C46">
        <w:tab/>
        <w:t>Considerando que la Unión se enfrenta al rápido aumento de nuevas amenazas en sus fronteras y en su territorio, que están desestabilizando el funcionamiento de la Unión, en particular la desinformación selectiva, los ataques cibernéticos e híbridos y la instrumentalización de los flujos migratorios, además del terrorismo internacional y el radicalismo religioso;</w:t>
      </w:r>
    </w:p>
    <w:p w14:paraId="4378157C" w14:textId="77777777" w:rsidR="002F2AE4" w:rsidRPr="00F30C46" w:rsidRDefault="002F2AE4" w:rsidP="002F2AE4">
      <w:pPr>
        <w:pStyle w:val="NormalHanging12a"/>
        <w:widowControl/>
      </w:pPr>
      <w:r w:rsidRPr="00F30C46">
        <w:t>G.</w:t>
      </w:r>
      <w:r w:rsidRPr="00F30C46">
        <w:tab/>
        <w:t>Considerando que la autonomía estratégica requiere que la Unión actúe con independencia en la escena mundial en caso necesario, particularmente en materia de política exterior y de seguridad; que la Unión ha reconocido la necesidad de reducir la dependencia indebida de agentes externos para salvaguardar sus intereses en un mundo impredecible y multipolar;</w:t>
      </w:r>
    </w:p>
    <w:p w14:paraId="70DD083E" w14:textId="77777777" w:rsidR="002F2AE4" w:rsidRPr="00F30C46" w:rsidRDefault="002F2AE4" w:rsidP="002F2AE4">
      <w:pPr>
        <w:pStyle w:val="NormalHanging12a"/>
        <w:widowControl/>
      </w:pPr>
      <w:r w:rsidRPr="00F30C46">
        <w:t>H.</w:t>
      </w:r>
      <w:r w:rsidRPr="00F30C46">
        <w:tab/>
        <w:t>Considerando que la Unión debe desarrollar una diplomacia europea independiente y autónoma, incluida la diplomacia pública y cultural, económica, climática, digital y cibernética, dirigida por un servicio diplomático de la Unión impulsado por una cultura diplomática común;</w:t>
      </w:r>
    </w:p>
    <w:p w14:paraId="6A921653" w14:textId="77777777" w:rsidR="002F2AE4" w:rsidRPr="00F30C46" w:rsidRDefault="002F2AE4" w:rsidP="002F2AE4">
      <w:pPr>
        <w:pStyle w:val="NormalHanging12a"/>
        <w:widowControl/>
      </w:pPr>
      <w:r w:rsidRPr="00F30C46">
        <w:t>I.</w:t>
      </w:r>
      <w:r w:rsidRPr="00F30C46">
        <w:tab/>
        <w:t>Considerando que la agresión de Rusia contra Ucrania viola el orden internacional basado en normas, los principios fundamentales del Derecho internacional consagrados en la Carta de las Naciones Unidas y convenios y resoluciones clave, el Acta Final de Helsinki y el Convenio Europeo de Derechos Humanos;</w:t>
      </w:r>
    </w:p>
    <w:p w14:paraId="016F6C43" w14:textId="77777777" w:rsidR="002F2AE4" w:rsidRPr="00F30C46" w:rsidRDefault="002F2AE4" w:rsidP="002F2AE4">
      <w:pPr>
        <w:pStyle w:val="NormalHanging12a"/>
        <w:widowControl/>
      </w:pPr>
      <w:r w:rsidRPr="00F30C46">
        <w:lastRenderedPageBreak/>
        <w:t>J.</w:t>
      </w:r>
      <w:r w:rsidRPr="00F30C46">
        <w:tab/>
        <w:t>Considerando que las violaciones rusas del Convenio de Ginebra relativo al trato debido a los prisioneros de guerra incluyen ejecuciones de prisioneros y la denegación de acceso a organizaciones humanitarias y tratamiento médico para los prisioneros;</w:t>
      </w:r>
    </w:p>
    <w:p w14:paraId="2A98EE5A" w14:textId="77777777" w:rsidR="002F2AE4" w:rsidRPr="00F30C46" w:rsidRDefault="002F2AE4" w:rsidP="002F2AE4">
      <w:pPr>
        <w:pStyle w:val="NormalHanging12a"/>
        <w:widowControl/>
      </w:pPr>
      <w:r w:rsidRPr="00F30C46">
        <w:t>K.</w:t>
      </w:r>
      <w:r w:rsidRPr="00F30C46">
        <w:tab/>
        <w:t xml:space="preserve">Considerando que la CPI ha emitido una orden de detención contra Vladímir Putin y Maria </w:t>
      </w:r>
      <w:proofErr w:type="spellStart"/>
      <w:r w:rsidRPr="00F30C46">
        <w:t>Lvova-Belova</w:t>
      </w:r>
      <w:proofErr w:type="spellEnd"/>
      <w:r w:rsidRPr="00F30C46">
        <w:t xml:space="preserve">, comisaria rusa para los Derechos del Niño, por su participación en la sustracción de niños ucranianos para llevarlos a Rusia; que Rusia, con la ayuda del régimen bielorruso, está reeducando a niños ucranianos y les está despojando de su identidad ucraniana; que debe exigirse plena responsabilidad al régimen de </w:t>
      </w:r>
      <w:proofErr w:type="spellStart"/>
      <w:r w:rsidRPr="00F30C46">
        <w:t>Aliaksandr</w:t>
      </w:r>
      <w:proofErr w:type="spellEnd"/>
      <w:r w:rsidRPr="00F30C46">
        <w:t xml:space="preserve"> </w:t>
      </w:r>
      <w:proofErr w:type="spellStart"/>
      <w:r w:rsidRPr="00F30C46">
        <w:t>Lukashenka</w:t>
      </w:r>
      <w:proofErr w:type="spellEnd"/>
      <w:r w:rsidRPr="00F30C46">
        <w:t xml:space="preserve"> de Bielorrusia por su complicidad en la guerra de agresión contra Ucrania y crímenes de guerra tales como el secuestro de miles de niños ucranianos; </w:t>
      </w:r>
    </w:p>
    <w:p w14:paraId="47FCCC63" w14:textId="77777777" w:rsidR="002F2AE4" w:rsidRPr="00F30C46" w:rsidRDefault="002F2AE4" w:rsidP="002F2AE4">
      <w:pPr>
        <w:pStyle w:val="NormalHanging12a"/>
        <w:widowControl/>
      </w:pPr>
      <w:r w:rsidRPr="00F30C46">
        <w:t>L.</w:t>
      </w:r>
      <w:r w:rsidRPr="00F30C46">
        <w:tab/>
        <w:t xml:space="preserve">Considerando que, además, la CPI ha emitido órdenes de detención contra los dirigentes militares rusos Serguéi </w:t>
      </w:r>
      <w:proofErr w:type="spellStart"/>
      <w:r w:rsidRPr="00F30C46">
        <w:t>Shoigu</w:t>
      </w:r>
      <w:proofErr w:type="spellEnd"/>
      <w:r w:rsidRPr="00F30C46">
        <w:t xml:space="preserve">, Valery </w:t>
      </w:r>
      <w:proofErr w:type="spellStart"/>
      <w:r w:rsidRPr="00F30C46">
        <w:t>Gerasimov</w:t>
      </w:r>
      <w:proofErr w:type="spellEnd"/>
      <w:r w:rsidRPr="00F30C46">
        <w:t xml:space="preserve">, Viktor </w:t>
      </w:r>
      <w:proofErr w:type="spellStart"/>
      <w:r w:rsidRPr="00F30C46">
        <w:t>Sokolov</w:t>
      </w:r>
      <w:proofErr w:type="spellEnd"/>
      <w:r w:rsidRPr="00F30C46">
        <w:t xml:space="preserve"> y Serguéi </w:t>
      </w:r>
      <w:proofErr w:type="spellStart"/>
      <w:r w:rsidRPr="00F30C46">
        <w:t>Kobylash</w:t>
      </w:r>
      <w:proofErr w:type="spellEnd"/>
      <w:r w:rsidRPr="00F30C46">
        <w:t>, acusados de dirigir ataques contra objetivos civiles;</w:t>
      </w:r>
    </w:p>
    <w:p w14:paraId="4839C134" w14:textId="6DFBA2BC" w:rsidR="002F2AE4" w:rsidRPr="00F30C46" w:rsidRDefault="002F2AE4" w:rsidP="002F2AE4">
      <w:pPr>
        <w:pStyle w:val="NormalHanging12a"/>
        <w:widowControl/>
      </w:pPr>
      <w:r w:rsidRPr="00F30C46">
        <w:t>M</w:t>
      </w:r>
      <w:r w:rsidR="00FA3868" w:rsidRPr="00F30C46">
        <w:t>.</w:t>
      </w:r>
      <w:r w:rsidRPr="00F30C46">
        <w:tab/>
      </w:r>
      <w:r w:rsidR="00472492" w:rsidRPr="00F30C46">
        <w:t>Considerando que el Gobierno húngaro está bloqueando el Fondo de Ayuda a Ucrania, de un valor de 5 000 000 000 EUR, establecido en marzo de 2024 en el marco del Fondo Europeo de Apoyo a la Paz (</w:t>
      </w:r>
      <w:proofErr w:type="spellStart"/>
      <w:r w:rsidR="00472492" w:rsidRPr="00F30C46">
        <w:t>FEAP</w:t>
      </w:r>
      <w:proofErr w:type="spellEnd"/>
      <w:r w:rsidR="00472492" w:rsidRPr="00F30C46">
        <w:t xml:space="preserve">); que el Gobierno húngaro ha estado bloqueando el octavo tramo de los reembolsos del </w:t>
      </w:r>
      <w:proofErr w:type="spellStart"/>
      <w:r w:rsidR="00472492" w:rsidRPr="00F30C46">
        <w:t>FEAP</w:t>
      </w:r>
      <w:proofErr w:type="spellEnd"/>
      <w:r w:rsidR="00472492" w:rsidRPr="00F30C46">
        <w:t xml:space="preserve"> para los Estados miembros que han entregado ayuda militar a Ucrania, desde mayo de 2023</w:t>
      </w:r>
      <w:r w:rsidRPr="00F30C46">
        <w:t>;</w:t>
      </w:r>
    </w:p>
    <w:p w14:paraId="6AB5B1C5" w14:textId="77777777" w:rsidR="002F2AE4" w:rsidRPr="00F30C46" w:rsidRDefault="002F2AE4" w:rsidP="002F2AE4">
      <w:pPr>
        <w:pStyle w:val="NormalHanging12a"/>
        <w:widowControl/>
      </w:pPr>
      <w:r w:rsidRPr="00F30C46">
        <w:t>N.</w:t>
      </w:r>
      <w:r w:rsidRPr="00F30C46">
        <w:tab/>
        <w:t>Considerando que los petroleros de la flota clandestina rusa suponen un riesgo considerable para la seguridad marítima y medioambiental, al apagar o manipular sus sistemas de identificación automática; que estos buques aportan alrededor de 12 000 </w:t>
      </w:r>
      <w:r w:rsidR="006951C3" w:rsidRPr="00F30C46">
        <w:t>000 000</w:t>
      </w:r>
      <w:r w:rsidRPr="00F30C46">
        <w:t> USD mensuales al presupuesto de guerra de Rusia, financiando así directamente sus agresivas operaciones militares;</w:t>
      </w:r>
    </w:p>
    <w:p w14:paraId="5771B027" w14:textId="77777777" w:rsidR="002F2AE4" w:rsidRPr="00F30C46" w:rsidRDefault="002F2AE4" w:rsidP="002F2AE4">
      <w:pPr>
        <w:pStyle w:val="NormalHanging12a"/>
        <w:widowControl/>
      </w:pPr>
      <w:r w:rsidRPr="00F30C46">
        <w:t>O.</w:t>
      </w:r>
      <w:r w:rsidRPr="00F30C46">
        <w:tab/>
        <w:t xml:space="preserve">Considerando que el régimen de Vladímir Putin ha instrumentalizado la historia en un intento de garantizar la lealtad de la población rusa, suscitando nostalgia por la supuesta grandeza del Imperio soviético, falsificando la historia de Rusia y Ucrania, rechazando la política de </w:t>
      </w:r>
      <w:proofErr w:type="spellStart"/>
      <w:r w:rsidRPr="00F30C46">
        <w:t>Nikita</w:t>
      </w:r>
      <w:proofErr w:type="spellEnd"/>
      <w:r w:rsidRPr="00F30C46">
        <w:t xml:space="preserve"> </w:t>
      </w:r>
      <w:proofErr w:type="spellStart"/>
      <w:r w:rsidRPr="00F30C46">
        <w:t>Jrushchov</w:t>
      </w:r>
      <w:proofErr w:type="spellEnd"/>
      <w:r w:rsidRPr="00F30C46">
        <w:t xml:space="preserve"> de reconocer y condenar los crímenes estalinistas, renegando del reconocimiento y condena del Pacto </w:t>
      </w:r>
      <w:proofErr w:type="spellStart"/>
      <w:r w:rsidRPr="00F30C46">
        <w:t>Mólotov-Ribbentrop</w:t>
      </w:r>
      <w:proofErr w:type="spellEnd"/>
      <w:r w:rsidRPr="00F30C46">
        <w:t xml:space="preserve"> por parte de Mijaíl Gorbachov y declarando que el colapso de la Unión Soviética fue la mayor tragedia del siglo pasado;</w:t>
      </w:r>
    </w:p>
    <w:p w14:paraId="3F7F9CFD" w14:textId="77777777" w:rsidR="002F2AE4" w:rsidRPr="00F30C46" w:rsidRDefault="002F2AE4" w:rsidP="002F2AE4">
      <w:pPr>
        <w:pStyle w:val="NormalHanging12a"/>
        <w:widowControl/>
      </w:pPr>
      <w:r w:rsidRPr="00F30C46">
        <w:t>P.</w:t>
      </w:r>
      <w:r w:rsidRPr="00F30C46">
        <w:tab/>
        <w:t>Considerando que Rusia y otros agentes malintencionados de sus países vecinos promueven una retórica antioccidental y divisiva y aprovechan las tensiones étnicas en los Balcanes Occidentales para inflamar los conflictos y dividir a las comunidades, también mediante la instrumentalización de la Iglesia ortodoxa serbia;</w:t>
      </w:r>
    </w:p>
    <w:p w14:paraId="1DB66111" w14:textId="77777777" w:rsidR="002F2AE4" w:rsidRPr="00F30C46" w:rsidRDefault="002F2AE4" w:rsidP="002F2AE4">
      <w:pPr>
        <w:pStyle w:val="NormalHanging12a"/>
        <w:widowControl/>
      </w:pPr>
      <w:r w:rsidRPr="00F30C46">
        <w:t>Q.</w:t>
      </w:r>
      <w:r w:rsidRPr="00F30C46">
        <w:tab/>
        <w:t>Considerando que en 2024 se cumplen veinte años de la gran ampliación, cuando diez países se adhirieron a la Unión; que la ampliación reviste la máxima importancia estratégica para la Unión, ya que representa una inversión geoestratégica en la paz, la democracia, la estabilidad, la seguridad, la protección del clima y la prosperidad a largo plazo en todo el continente, en particular ante la guerra de agresión de Rusia contra Ucrania; que la preparación para la ampliación requiere reformas en la Unión y que esta debe llevar a cabo el proceso de ampliación de forma paralela a las reformas institucionales y de la toma de decisiones necesarias para salvaguardar la capacidad de integración de la Unión;</w:t>
      </w:r>
    </w:p>
    <w:p w14:paraId="78B683C4" w14:textId="77777777" w:rsidR="002F2AE4" w:rsidRPr="00F30C46" w:rsidRDefault="002F2AE4" w:rsidP="002F2AE4">
      <w:pPr>
        <w:pStyle w:val="NormalHanging12a"/>
        <w:widowControl/>
      </w:pPr>
      <w:r w:rsidRPr="00F30C46">
        <w:lastRenderedPageBreak/>
        <w:t>R.</w:t>
      </w:r>
      <w:r w:rsidRPr="00F30C46">
        <w:tab/>
        <w:t xml:space="preserve">Considerando que la Unión debe mantener el impulso para acelerar su política de ampliación mientras los países adherentes continúan el proceso de reforma y alcanzan los criterios de referencia requeridos vinculados al acervo de la Unión; que unos mensajes coherentes y un itinerario claro hacia la integración de los países candidatos son fundamentales para mantener viva la perspectiva </w:t>
      </w:r>
      <w:proofErr w:type="spellStart"/>
      <w:r w:rsidRPr="00F30C46">
        <w:t>proeuropea</w:t>
      </w:r>
      <w:proofErr w:type="spellEnd"/>
      <w:r w:rsidRPr="00F30C46">
        <w:t>;</w:t>
      </w:r>
    </w:p>
    <w:p w14:paraId="0CE9F80F" w14:textId="77777777" w:rsidR="002F2AE4" w:rsidRPr="00F30C46" w:rsidRDefault="002F2AE4" w:rsidP="002F2AE4">
      <w:pPr>
        <w:pStyle w:val="NormalHanging12a"/>
        <w:widowControl/>
      </w:pPr>
      <w:r w:rsidRPr="00F30C46">
        <w:t>S.</w:t>
      </w:r>
      <w:r w:rsidRPr="00F30C46">
        <w:tab/>
        <w:t>Considerando que el futuro de los Balcanes y los países de la vecindad oriental pasa por la Unión;</w:t>
      </w:r>
    </w:p>
    <w:p w14:paraId="06DE02B0" w14:textId="77777777" w:rsidR="002F2AE4" w:rsidRPr="00F30C46" w:rsidRDefault="002F2AE4" w:rsidP="002F2AE4">
      <w:pPr>
        <w:pStyle w:val="NormalHanging12a"/>
        <w:widowControl/>
      </w:pPr>
      <w:r w:rsidRPr="00F30C46">
        <w:t>T.</w:t>
      </w:r>
      <w:r w:rsidRPr="00F30C46">
        <w:tab/>
        <w:t>Considerando que la Unión se fundamenta en los valores de la democracia, el Estado de Derecho y el respeto de los derechos humanos, que forman parte de los criterios de Copenhague y que constituyen el conjunto principal de los criterios para la adhesión a la Unión; que el proceso de adhesión es un proceso reversible y basado en los méritos;</w:t>
      </w:r>
    </w:p>
    <w:p w14:paraId="0E19C600" w14:textId="77777777" w:rsidR="002F2AE4" w:rsidRPr="00F30C46" w:rsidRDefault="002F2AE4" w:rsidP="002F2AE4">
      <w:pPr>
        <w:pStyle w:val="NormalHanging12a"/>
        <w:widowControl/>
      </w:pPr>
      <w:r w:rsidRPr="00F30C46">
        <w:t>U.</w:t>
      </w:r>
      <w:r w:rsidRPr="00F30C46">
        <w:tab/>
        <w:t xml:space="preserve">Considerando que la adhesión a la Unión requiere una armonización de la política exterior, también por lo que respecta a las votaciones de las resoluciones de la Asamblea General de las Naciones Unidas, el apoyo a Ucrania y la adaptación a las sanciones contra Rusia; que la mayoría de los países de los Balcanes Occidentales han alcanzado altos niveles de adaptación a la </w:t>
      </w:r>
      <w:proofErr w:type="spellStart"/>
      <w:r w:rsidRPr="00F30C46">
        <w:t>PESC</w:t>
      </w:r>
      <w:proofErr w:type="spellEnd"/>
      <w:r w:rsidRPr="00F30C46">
        <w:t>, con la excepción notable de Serbia;</w:t>
      </w:r>
    </w:p>
    <w:p w14:paraId="0DCD99FC" w14:textId="77777777" w:rsidR="002F2AE4" w:rsidRPr="00F30C46" w:rsidRDefault="002F2AE4" w:rsidP="002F2AE4">
      <w:pPr>
        <w:pStyle w:val="NormalHanging12a"/>
        <w:widowControl/>
      </w:pPr>
      <w:r w:rsidRPr="00F30C46">
        <w:t>V.</w:t>
      </w:r>
      <w:r w:rsidRPr="00F30C46">
        <w:tab/>
        <w:t xml:space="preserve">Considerando que Macedonia del Norte celebró el Acuerdo de </w:t>
      </w:r>
      <w:proofErr w:type="spellStart"/>
      <w:r w:rsidRPr="00F30C46">
        <w:t>Prespa</w:t>
      </w:r>
      <w:proofErr w:type="spellEnd"/>
      <w:r w:rsidRPr="00F30C46">
        <w:t xml:space="preserve"> con Grecia y el Tratado de amistad, buena vecindad y cooperación con Bulgaria;</w:t>
      </w:r>
    </w:p>
    <w:p w14:paraId="239923ED" w14:textId="77777777" w:rsidR="002F2AE4" w:rsidRPr="00F30C46" w:rsidRDefault="002F2AE4" w:rsidP="002F2AE4">
      <w:pPr>
        <w:pStyle w:val="NormalHanging12a"/>
        <w:widowControl/>
      </w:pPr>
      <w:r w:rsidRPr="00F30C46">
        <w:t>W.</w:t>
      </w:r>
      <w:r w:rsidRPr="00F30C46">
        <w:tab/>
        <w:t xml:space="preserve">Considerando que los ciudadanos de Georgia han demostrado su compromiso con los valores democráticos y con el avance de su país en la integración en la Unión; que es necesario revertir el retroceso democrático en Georgia; que las autoridades georgianas deben tener en cuenta la voluntad del pueblo georgiano de adherirse a la Unión y deben garantizar la celebración de elecciones libres y justas, detener el retroceso democrático, abandonar las leyes que ponen en peligro el futuro europeo de Georgia y llevar a cabo reformas democráticas </w:t>
      </w:r>
      <w:proofErr w:type="spellStart"/>
      <w:r w:rsidRPr="00F30C46">
        <w:t>proeuropeas</w:t>
      </w:r>
      <w:proofErr w:type="spellEnd"/>
      <w:r w:rsidRPr="00F30C46">
        <w:t xml:space="preserve">; que Georgia debe adaptarse a la </w:t>
      </w:r>
      <w:proofErr w:type="spellStart"/>
      <w:r w:rsidRPr="00F30C46">
        <w:t>PESC</w:t>
      </w:r>
      <w:proofErr w:type="spellEnd"/>
      <w:r w:rsidRPr="00F30C46">
        <w:t xml:space="preserve"> de la Unión, incluidas las sanciones adoptadas por unanimidad contra Rusia;</w:t>
      </w:r>
    </w:p>
    <w:p w14:paraId="45040A99" w14:textId="77777777" w:rsidR="002F2AE4" w:rsidRPr="00F30C46" w:rsidRDefault="002F2AE4" w:rsidP="002F2AE4">
      <w:pPr>
        <w:pStyle w:val="NormalHanging12a"/>
        <w:widowControl/>
      </w:pPr>
      <w:r w:rsidRPr="00F30C46">
        <w:t>X.</w:t>
      </w:r>
      <w:r w:rsidRPr="00F30C46">
        <w:tab/>
        <w:t>Considerando que todo acuerdo de asociación entre la Unión y Azerbaiyán, también en el ámbito de la energía, debe ir acompañado de condiciones sólidas relativas al respeto del Derecho internacional, los derechos fundamentales y las obligaciones internacionales y, en particular, a unos avances sustanciales de Azerbaiyán hacia un acuerdo de paz global y sostenible con Armenia;</w:t>
      </w:r>
    </w:p>
    <w:p w14:paraId="47175EB5" w14:textId="77777777" w:rsidR="002F2AE4" w:rsidRPr="00F30C46" w:rsidRDefault="002F2AE4" w:rsidP="002F2AE4">
      <w:pPr>
        <w:pStyle w:val="NormalHanging12a"/>
        <w:widowControl/>
      </w:pPr>
      <w:r w:rsidRPr="00F30C46">
        <w:t>Y.</w:t>
      </w:r>
      <w:r w:rsidRPr="00F30C46">
        <w:tab/>
        <w:t>Considerando que el Mediterráneo es de gran importancia para la Unión, tanto histórica como geográficamente; que los países de la vecindad meridional desempeñan un papel importante a la hora de garantizar que los flujos de migración irregular se gestionen sobre la base de los principios de solidaridad, equilibrio y responsabilidad compartida y de plena conformidad con el Derecho internacional y de la Unión aplicable y, en particular, con el Derecho humanitario y en materia de derechos humanos;</w:t>
      </w:r>
    </w:p>
    <w:p w14:paraId="66991866" w14:textId="77777777" w:rsidR="002F2AE4" w:rsidRPr="00F30C46" w:rsidRDefault="002F2AE4" w:rsidP="002F2AE4">
      <w:pPr>
        <w:pStyle w:val="NormalHanging12a"/>
        <w:widowControl/>
      </w:pPr>
      <w:r w:rsidRPr="00F30C46">
        <w:t>Z.</w:t>
      </w:r>
      <w:r w:rsidRPr="00F30C46">
        <w:tab/>
        <w:t xml:space="preserve">Considerando que las asociaciones y acuerdos estratégicos entre la Unión y los países de origen y de tránsito, como los celebrados entre la Unión y Mauritania, están demostrando ser modelos de éxito para la prevención de la migración irregular y la lucha contra los traficantes de migrantes; </w:t>
      </w:r>
    </w:p>
    <w:p w14:paraId="1A49E84F" w14:textId="77777777" w:rsidR="002F2AE4" w:rsidRPr="00F30C46" w:rsidRDefault="002F2AE4" w:rsidP="002F2AE4">
      <w:pPr>
        <w:pStyle w:val="NormalHanging12a"/>
        <w:widowControl/>
      </w:pPr>
      <w:r w:rsidRPr="00F30C46">
        <w:t>AA.</w:t>
      </w:r>
      <w:r w:rsidRPr="00F30C46">
        <w:tab/>
        <w:t xml:space="preserve">Considerando que el suministro de miles de drones </w:t>
      </w:r>
      <w:proofErr w:type="spellStart"/>
      <w:r w:rsidRPr="00F30C46">
        <w:t>Shahed</w:t>
      </w:r>
      <w:proofErr w:type="spellEnd"/>
      <w:r w:rsidRPr="00F30C46">
        <w:t xml:space="preserve"> de la República Islámica de Irán a Rusia ha reforzado aún más el papel de Irán como Estado paria; que Corea del </w:t>
      </w:r>
      <w:r w:rsidRPr="00F30C46">
        <w:lastRenderedPageBreak/>
        <w:t xml:space="preserve">Norte y China siguen demostrando su inquebrantable desprecio por el Derecho y las normas internacionales; </w:t>
      </w:r>
    </w:p>
    <w:p w14:paraId="2061DDB7" w14:textId="77777777" w:rsidR="002F2AE4" w:rsidRPr="00F30C46" w:rsidRDefault="002F2AE4" w:rsidP="002F2AE4">
      <w:pPr>
        <w:pStyle w:val="NormalHanging12a"/>
        <w:widowControl/>
      </w:pPr>
      <w:r w:rsidRPr="00F30C46">
        <w:t>AB.</w:t>
      </w:r>
      <w:r w:rsidRPr="00F30C46">
        <w:tab/>
        <w:t>Considerando que, el 28 de mayo de 2024, Noruega, Irlanda y España reconocieron el Estado palestino, y que, el 4 de junio de 2024, el Parlamento de Eslovenia tomó la misma decisión;</w:t>
      </w:r>
    </w:p>
    <w:p w14:paraId="6583861A" w14:textId="77777777" w:rsidR="002F2AE4" w:rsidRPr="00F30C46" w:rsidRDefault="002F2AE4" w:rsidP="002F2AE4">
      <w:pPr>
        <w:pStyle w:val="NormalHanging12a"/>
        <w:widowControl/>
      </w:pPr>
      <w:r w:rsidRPr="00F30C46">
        <w:t>AC.</w:t>
      </w:r>
      <w:r w:rsidRPr="00F30C46">
        <w:tab/>
        <w:t>Considerando que China se define como «Estado cuasi ártico» y se esfuerza por desarrollar, en estrecha colaboración con Rusia, una Ruta de la Seda Polar;</w:t>
      </w:r>
    </w:p>
    <w:p w14:paraId="01BC7E5F" w14:textId="10D83B92" w:rsidR="002F2AE4" w:rsidRPr="00F30C46" w:rsidRDefault="002F2AE4" w:rsidP="002F2AE4">
      <w:pPr>
        <w:pStyle w:val="NormalHanging12a"/>
        <w:widowControl/>
      </w:pPr>
      <w:r w:rsidRPr="00F30C46">
        <w:t>AD.</w:t>
      </w:r>
      <w:r w:rsidRPr="00F30C46">
        <w:tab/>
      </w:r>
      <w:r w:rsidR="00472492" w:rsidRPr="00F30C46">
        <w:t>Considerando que la iniciativa de la Franja y la Ruta representa un desafío para los intereses de la Unión</w:t>
      </w:r>
      <w:r w:rsidRPr="00F30C46">
        <w:t>;</w:t>
      </w:r>
    </w:p>
    <w:p w14:paraId="3748BDB5" w14:textId="77777777" w:rsidR="002F2AE4" w:rsidRPr="00F30C46" w:rsidRDefault="002F2AE4" w:rsidP="002F2AE4">
      <w:pPr>
        <w:pStyle w:val="NormalHanging12a"/>
        <w:widowControl/>
      </w:pPr>
      <w:proofErr w:type="spellStart"/>
      <w:r w:rsidRPr="00F30C46">
        <w:t>AE</w:t>
      </w:r>
      <w:proofErr w:type="spellEnd"/>
      <w:r w:rsidRPr="00F30C46">
        <w:t>.</w:t>
      </w:r>
      <w:r w:rsidRPr="00F30C46">
        <w:tab/>
        <w:t xml:space="preserve">Considerando que, el 14 de octubre de 2024, el alto representante de la Unión para Asuntos Exteriores y Política de Seguridad y el secretario de Asuntos Exteriores británico acordaron iniciar consultas estratégicas sobre cuestiones como la guerra de agresión rusa contra Ucrania, la región </w:t>
      </w:r>
      <w:proofErr w:type="spellStart"/>
      <w:r w:rsidRPr="00F30C46">
        <w:t>indopacífica</w:t>
      </w:r>
      <w:proofErr w:type="spellEnd"/>
      <w:r w:rsidRPr="00F30C46">
        <w:t xml:space="preserve">, los Balcanes Occidentales y las amenazas híbridas; </w:t>
      </w:r>
    </w:p>
    <w:p w14:paraId="7CA28F43" w14:textId="77777777" w:rsidR="002F2AE4" w:rsidRPr="00F30C46" w:rsidRDefault="002F2AE4" w:rsidP="002F2AE4">
      <w:pPr>
        <w:pStyle w:val="NormalHanging12a"/>
        <w:widowControl/>
      </w:pPr>
      <w:proofErr w:type="spellStart"/>
      <w:r w:rsidRPr="00F30C46">
        <w:t>AF</w:t>
      </w:r>
      <w:proofErr w:type="spellEnd"/>
      <w:r w:rsidRPr="00F30C46">
        <w:t>.</w:t>
      </w:r>
      <w:r w:rsidRPr="00F30C46">
        <w:tab/>
        <w:t>Considerando que todos los organismos de las Naciones Unidas encarnan el orden internacional basado en normas, ya que defienden y aplican tanto la letra como el espíritu de la Carta de las Naciones Unidas, que todos los Estados miembros de las Naciones Unidas deben respetar;</w:t>
      </w:r>
    </w:p>
    <w:p w14:paraId="035EEB44" w14:textId="77777777" w:rsidR="002F2AE4" w:rsidRPr="00F30C46" w:rsidRDefault="002F2AE4" w:rsidP="002F2AE4">
      <w:pPr>
        <w:pStyle w:val="NormalHanging12a"/>
        <w:widowControl/>
      </w:pPr>
      <w:r w:rsidRPr="00F30C46">
        <w:t>AG.</w:t>
      </w:r>
      <w:r w:rsidRPr="00F30C46">
        <w:tab/>
        <w:t>Considerando que la credibilidad y la coherencia de la Unión es un requisito capital para la correcta ejecución de su acción exterior, ya que refuerza la confianza en la Unión entre distintos agentes y terceros países; que la eficacia de las acciones de la Unión en todo el mundo depende de la garantía del máximo nivel de coordinación y coherencia en la acción exterior de la Unión; que debe reforzarse la coordinación entre la Comisión y el Servicio Europeo de Acción Exterior (SEAE), en particular debido al insuficiente presupuesto operativo del SEAE;</w:t>
      </w:r>
    </w:p>
    <w:p w14:paraId="6B742ECC" w14:textId="77777777" w:rsidR="002F2AE4" w:rsidRPr="00F30C46" w:rsidRDefault="002F2AE4" w:rsidP="002F2AE4">
      <w:pPr>
        <w:pStyle w:val="NormalHanging12a"/>
        <w:widowControl/>
      </w:pPr>
      <w:r w:rsidRPr="00F30C46">
        <w:t>AH.</w:t>
      </w:r>
      <w:r w:rsidRPr="00F30C46">
        <w:tab/>
        <w:t xml:space="preserve">Considerando que la aplicación de la igualdad de género y de la agenda sobre las mujeres, la paz y la seguridad requiere iniciativas que promuevan el liderazgo con perspectiva de género, protejan los derechos de las mujeres y luchen contra la violencia sexual y de género en situaciones de conflicto y posconflicto; que la financiación de estas iniciativas es esencial para apoyar a las organizaciones locales de la sociedad civil y prestar un apoyo centrado en los supervivientes; </w:t>
      </w:r>
    </w:p>
    <w:p w14:paraId="6334308F" w14:textId="77777777" w:rsidR="002F2AE4" w:rsidRPr="00F30C46" w:rsidRDefault="002F2AE4" w:rsidP="002F2AE4">
      <w:pPr>
        <w:pStyle w:val="NormalHanging12a"/>
        <w:widowControl/>
      </w:pPr>
      <w:proofErr w:type="spellStart"/>
      <w:r w:rsidRPr="00F30C46">
        <w:t>AI</w:t>
      </w:r>
      <w:proofErr w:type="spellEnd"/>
      <w:r w:rsidRPr="00F30C46">
        <w:t>.</w:t>
      </w:r>
      <w:r w:rsidRPr="00F30C46">
        <w:tab/>
        <w:t xml:space="preserve">Considerando que los defensores de los derechos humanos son los principales aliados de la Unión a la hora de defender y promover los derechos humanos en el extranjero; que los defensores de los derechos humanos corren cada vez más riesgo de sufrir ataques y amenazas por parte de agentes estatales y no estatales; que el Parlamento ha pedido sistemáticamente una aplicación adecuada y coordinada de las Directrices de la UE sobre Defensores de los Derechos Humanos (2008); que los Estados miembros, junto con las instituciones de la Unión, deben aplicar estas Directrices, que incluyen una serie de compromisos específicos, como la presentación de informes periódicos, la coordinación y la actuación en apoyo de los defensores de los derechos humanos; </w:t>
      </w:r>
    </w:p>
    <w:p w14:paraId="6437BFE1" w14:textId="77777777" w:rsidR="002F2AE4" w:rsidRPr="00F30C46" w:rsidRDefault="002F2AE4" w:rsidP="002F2AE4">
      <w:pPr>
        <w:pStyle w:val="NormalHanging12a"/>
        <w:widowControl/>
      </w:pPr>
      <w:r w:rsidRPr="00F30C46">
        <w:t>AJ.</w:t>
      </w:r>
      <w:r w:rsidRPr="00F30C46">
        <w:tab/>
        <w:t xml:space="preserve">Considerando que las consecuencias del cambio climático tendrán un efecto cada vez mayor en varios ámbitos de la vida humana, en particular el orden geopolítico y la estabilidad mundial; que reviste una importancia crucial que la </w:t>
      </w:r>
      <w:proofErr w:type="spellStart"/>
      <w:r w:rsidRPr="00F30C46">
        <w:t>PESC</w:t>
      </w:r>
      <w:proofErr w:type="spellEnd"/>
      <w:r w:rsidRPr="00F30C46">
        <w:t xml:space="preserve"> incorpore como </w:t>
      </w:r>
      <w:r w:rsidRPr="00F30C46">
        <w:lastRenderedPageBreak/>
        <w:t>piedra angular la lucha contra el cambio climático, incluyendo la necesidad de la acción por el clima, y la ayuda a quienes más sufren sus repercusiones; que la Comisión y los Estados miembros, en un enfoque conjunto, deben desempeñar un papel fundamental en el avance de la diplomacia climática a nivel mundial;</w:t>
      </w:r>
    </w:p>
    <w:p w14:paraId="49C90416" w14:textId="77777777" w:rsidR="002F2AE4" w:rsidRPr="00F30C46" w:rsidRDefault="002F2AE4" w:rsidP="002F2AE4">
      <w:pPr>
        <w:pStyle w:val="NormalHanging12a"/>
        <w:widowControl/>
      </w:pPr>
      <w:proofErr w:type="spellStart"/>
      <w:r w:rsidRPr="00F30C46">
        <w:t>AK</w:t>
      </w:r>
      <w:proofErr w:type="spellEnd"/>
      <w:r w:rsidRPr="00F30C46">
        <w:t>.</w:t>
      </w:r>
      <w:r w:rsidRPr="00F30C46">
        <w:tab/>
        <w:t>Considerando que el informe titulado «</w:t>
      </w:r>
      <w:proofErr w:type="spellStart"/>
      <w:r w:rsidRPr="00F30C46">
        <w:t>Safer</w:t>
      </w:r>
      <w:proofErr w:type="spellEnd"/>
      <w:r w:rsidRPr="00F30C46">
        <w:t xml:space="preserve"> </w:t>
      </w:r>
      <w:proofErr w:type="spellStart"/>
      <w:r w:rsidRPr="00F30C46">
        <w:t>Together</w:t>
      </w:r>
      <w:proofErr w:type="spellEnd"/>
      <w:r w:rsidRPr="00F30C46">
        <w:t xml:space="preserve"> – </w:t>
      </w:r>
      <w:proofErr w:type="spellStart"/>
      <w:r w:rsidRPr="00F30C46">
        <w:t>Strengthening</w:t>
      </w:r>
      <w:proofErr w:type="spellEnd"/>
      <w:r w:rsidRPr="00F30C46">
        <w:t xml:space="preserve"> </w:t>
      </w:r>
      <w:proofErr w:type="spellStart"/>
      <w:r w:rsidRPr="00F30C46">
        <w:t>Europe’s</w:t>
      </w:r>
      <w:proofErr w:type="spellEnd"/>
      <w:r w:rsidRPr="00F30C46">
        <w:t xml:space="preserve"> </w:t>
      </w:r>
      <w:proofErr w:type="spellStart"/>
      <w:r w:rsidRPr="00F30C46">
        <w:t>Civilian</w:t>
      </w:r>
      <w:proofErr w:type="spellEnd"/>
      <w:r w:rsidRPr="00F30C46">
        <w:t xml:space="preserve"> and </w:t>
      </w:r>
      <w:proofErr w:type="spellStart"/>
      <w:r w:rsidRPr="00F30C46">
        <w:t>Military</w:t>
      </w:r>
      <w:proofErr w:type="spellEnd"/>
      <w:r w:rsidRPr="00F30C46">
        <w:t xml:space="preserve"> </w:t>
      </w:r>
      <w:proofErr w:type="spellStart"/>
      <w:r w:rsidRPr="00F30C46">
        <w:t>Preparedness</w:t>
      </w:r>
      <w:proofErr w:type="spellEnd"/>
      <w:r w:rsidRPr="00F30C46">
        <w:t xml:space="preserve"> and </w:t>
      </w:r>
      <w:proofErr w:type="spellStart"/>
      <w:r w:rsidRPr="00F30C46">
        <w:t>Readiness</w:t>
      </w:r>
      <w:proofErr w:type="spellEnd"/>
      <w:r w:rsidRPr="00F30C46">
        <w:t xml:space="preserve">» (Más seguros juntos: fortalecimiento de la respuesta y la preparación civil y militar de Europa), presentado por </w:t>
      </w:r>
      <w:proofErr w:type="spellStart"/>
      <w:r w:rsidRPr="00F30C46">
        <w:t>Sauli</w:t>
      </w:r>
      <w:proofErr w:type="spellEnd"/>
      <w:r w:rsidRPr="00F30C46">
        <w:t xml:space="preserve"> Niinistö, asesor especial de la presidenta de la Comisión Europea, ofrece recomendaciones estratégicas para mejorar la preparación civil y militar de Europa a la luz de la escalada y las complejas amenazas para la seguridad;</w:t>
      </w:r>
    </w:p>
    <w:p w14:paraId="3FAEA8AB" w14:textId="77777777" w:rsidR="002F2AE4" w:rsidRPr="00F30C46" w:rsidRDefault="002F2AE4" w:rsidP="002F2AE4">
      <w:pPr>
        <w:pStyle w:val="NormalHanging12a"/>
        <w:widowControl/>
      </w:pPr>
      <w:r w:rsidRPr="00F30C46">
        <w:t>AL.</w:t>
      </w:r>
      <w:r w:rsidRPr="00F30C46">
        <w:tab/>
        <w:t xml:space="preserve">Considerando que el presente informe analiza, en primer lugar, el informe anual sobre la </w:t>
      </w:r>
      <w:proofErr w:type="spellStart"/>
      <w:r w:rsidRPr="00F30C46">
        <w:t>PESC</w:t>
      </w:r>
      <w:proofErr w:type="spellEnd"/>
      <w:r w:rsidRPr="00F30C46">
        <w:t xml:space="preserve"> del </w:t>
      </w:r>
      <w:proofErr w:type="spellStart"/>
      <w:r w:rsidRPr="00F30C46">
        <w:t>VP</w:t>
      </w:r>
      <w:proofErr w:type="spellEnd"/>
      <w:r w:rsidRPr="00F30C46">
        <w:t xml:space="preserve">/AR y, a continuación, lo complementa con las posiciones del Parlamento sobre los objetivos de la </w:t>
      </w:r>
      <w:proofErr w:type="spellStart"/>
      <w:r w:rsidRPr="00F30C46">
        <w:t>PESC</w:t>
      </w:r>
      <w:proofErr w:type="spellEnd"/>
      <w:r w:rsidRPr="00F30C46">
        <w:t xml:space="preserve"> en 2025; que, de este modo, el informe desarrolla, en particular, los siguientes elementos: 1) las consecuencias mundiales de la guerra de agresión de Rusia contra Ucrania, 2) el conflicto y la paz en Oriente Próximo, 3) la cooperación con socios afines y 4) la visibilidad e influencia generales de la acción de la Unión en el extranjero; que la posición con visión de futuro del Parlamento en materia de </w:t>
      </w:r>
      <w:proofErr w:type="spellStart"/>
      <w:r w:rsidRPr="00F30C46">
        <w:t>PESC</w:t>
      </w:r>
      <w:proofErr w:type="spellEnd"/>
      <w:r w:rsidRPr="00F30C46">
        <w:t xml:space="preserve"> queda finalmente reflejada a través de las principales exigencias relacionadas con el próximo marco financiero plurianual (</w:t>
      </w:r>
      <w:proofErr w:type="spellStart"/>
      <w:r w:rsidRPr="00F30C46">
        <w:t>MFP</w:t>
      </w:r>
      <w:proofErr w:type="spellEnd"/>
      <w:r w:rsidRPr="00F30C46">
        <w:t>) y el control parlamentario del mismo; que es necesario defender y reforzar el orden internacional basado en normas, las normas, los valores y los principios universales de la Carta de las Naciones Unidas, como los derechos humanos y la justicia internacional y el multilateralismo, y el Acta Final de Helsinki, particularmente en lo que respecta a la no violación de las fronteras internacionales;</w:t>
      </w:r>
    </w:p>
    <w:p w14:paraId="2A897872" w14:textId="77777777" w:rsidR="002F2AE4" w:rsidRPr="00F30C46" w:rsidRDefault="002F2AE4" w:rsidP="002F2AE4">
      <w:pPr>
        <w:pStyle w:val="NormalHanging12a"/>
        <w:widowControl/>
      </w:pPr>
      <w:r w:rsidRPr="00F30C46">
        <w:t>1.</w:t>
      </w:r>
      <w:r w:rsidRPr="00F30C46">
        <w:tab/>
        <w:t xml:space="preserve">Subraya que sus Resoluciones sobre la aplicación de la </w:t>
      </w:r>
      <w:proofErr w:type="spellStart"/>
      <w:r w:rsidRPr="00F30C46">
        <w:t>PESC</w:t>
      </w:r>
      <w:proofErr w:type="spellEnd"/>
      <w:r w:rsidRPr="00F30C46">
        <w:t xml:space="preserve"> son un componente clave de su contribución a la elaboración de la política exterior de la Unión; que estas Resoluciones ponen de manifiesto la repercusión práctica del refuerzo del derecho de control en el ámbito de la política exterior que confiere al Parlamento el Tratado de Lisboa; recuerda que la Resolución de 2024 es la primera de esta naturaleza en la legislatura en curso y tiene por objeto servir de guía para el Ejecutivo de la Unión a la hora de fijar las prioridades de política exterior para la legislatura actual; destaca que, en un entorno internacional cada vez más volátil, la Unión debe abordar simultáneamente numerosos retos de política exterior que le afectan directa e indirectamente, como la actual guerra de agresión rusa contra Ucrania, los conflictos en Oriente Próximo, el aumento de la competencia de grandes potencias, los constantes intentos de socavar el orden internacional multilateral basado en normas y un mayor nexo entre las crisis extranjeras e internas; expresa su pleno convencimiento de que, para seguir siendo relevante en el entorno internacional, la Unión debe llevar a cabo una política exterior determinada, disciplinada y asertiva que cumpla los objetivos estratégicos propios de la Unión y siga definiendo, afirmando y defendiendo sus intereses en el mundo; recuerda que la Unión debe guiarse en su acción exterior por los valores y principios consagrados en el artículo 2, el artículo 3, apartado 5, y el artículo 21 del </w:t>
      </w:r>
      <w:proofErr w:type="spellStart"/>
      <w:r w:rsidRPr="00F30C46">
        <w:t>TUE</w:t>
      </w:r>
      <w:proofErr w:type="spellEnd"/>
      <w:r w:rsidRPr="00F30C46">
        <w:t xml:space="preserve">, que han inspirado la creación, el desarrollo y la ampliación propios de la Unión, en particular la democracia, el Estado de Derecho, la universalidad e indivisibilidad de los derechos humanos y de las libertades fundamentales, el respeto de la dignidad humana y los principios de igualdad y solidaridad; considera, además, que la </w:t>
      </w:r>
      <w:proofErr w:type="spellStart"/>
      <w:r w:rsidRPr="00F30C46">
        <w:t>PESC</w:t>
      </w:r>
      <w:proofErr w:type="spellEnd"/>
      <w:r w:rsidRPr="00F30C46">
        <w:t xml:space="preserve"> debe garantizar la aplicación de la Agenda 2030 de las Naciones Unidas y los </w:t>
      </w:r>
      <w:proofErr w:type="spellStart"/>
      <w:r w:rsidRPr="00F30C46">
        <w:t>ODS</w:t>
      </w:r>
      <w:proofErr w:type="spellEnd"/>
      <w:r w:rsidRPr="00F30C46">
        <w:t>;</w:t>
      </w:r>
    </w:p>
    <w:p w14:paraId="76DE7C76" w14:textId="77777777" w:rsidR="00991D71" w:rsidRPr="00F30C46" w:rsidRDefault="00991D71" w:rsidP="002F2AE4">
      <w:pPr>
        <w:pStyle w:val="NormalHanging12a"/>
        <w:widowControl/>
      </w:pPr>
      <w:r w:rsidRPr="00F30C46">
        <w:lastRenderedPageBreak/>
        <w:t>2.</w:t>
      </w:r>
      <w:r w:rsidRPr="00F30C46">
        <w:tab/>
        <w:t xml:space="preserve">Hace hincapié en que los principios básicos de la </w:t>
      </w:r>
      <w:proofErr w:type="spellStart"/>
      <w:r w:rsidRPr="00F30C46">
        <w:t>PESC</w:t>
      </w:r>
      <w:proofErr w:type="spellEnd"/>
      <w:r w:rsidRPr="00F30C46">
        <w:t xml:space="preserve"> de la Unión se fundamentan en el firme compromiso de la Unión con un orden internacional multilateral basado en normas, consagrado en la Carta de las Naciones Unidas, y en la clara preferencia de la Unión por la cooperación diplomática pacífica entre todos sus Estados miembros; anima a todas las partes a que resuelvan las controversias a través del diálogo, con respeto mutuo en cuanto al Derecho internacional, la soberanía y la integridad territorial; reafirma su entrega al fomento de la paz y la estabilidad mundiales mediante el impulso de iniciativas diplomáticas tendentes a la prevención de conflictos y la resolución de controversias y que promuevan la colaboración internacional en relación con los principales desafíos mundiales, como el cambio climático, los derechos humanos y el desarrollo económico sostenible; pide que haya asociaciones permanentes con agentes internacionales al objeto de garantizar la eficacia de las iniciativas mundiales de mantenimiento y consolidación de la paz;</w:t>
      </w:r>
    </w:p>
    <w:p w14:paraId="5059ACE8" w14:textId="77777777" w:rsidR="002F2AE4" w:rsidRPr="00F30C46" w:rsidRDefault="002F2AE4" w:rsidP="002F2AE4">
      <w:pPr>
        <w:pStyle w:val="NormalHanging12a"/>
        <w:widowControl/>
        <w:rPr>
          <w:b/>
          <w:i/>
        </w:rPr>
      </w:pPr>
      <w:bookmarkStart w:id="7" w:name="_Hlk144544239"/>
      <w:r w:rsidRPr="00F30C46">
        <w:rPr>
          <w:b/>
          <w:i/>
        </w:rPr>
        <w:t xml:space="preserve">I. El </w:t>
      </w:r>
      <w:bookmarkStart w:id="8" w:name="_Hlk179196202"/>
      <w:r w:rsidRPr="00F30C46">
        <w:rPr>
          <w:b/>
          <w:i/>
        </w:rPr>
        <w:t xml:space="preserve">informe anual de 2024 del </w:t>
      </w:r>
      <w:proofErr w:type="spellStart"/>
      <w:r w:rsidRPr="00F30C46">
        <w:rPr>
          <w:b/>
          <w:i/>
        </w:rPr>
        <w:t>VP</w:t>
      </w:r>
      <w:proofErr w:type="spellEnd"/>
      <w:r w:rsidRPr="00F30C46">
        <w:rPr>
          <w:b/>
          <w:i/>
        </w:rPr>
        <w:t>/AR</w:t>
      </w:r>
      <w:bookmarkEnd w:id="8"/>
    </w:p>
    <w:bookmarkEnd w:id="7"/>
    <w:p w14:paraId="1B4B2BCE" w14:textId="5271F7C0" w:rsidR="002F2AE4" w:rsidRPr="00F30C46" w:rsidRDefault="002A086C" w:rsidP="002F2AE4">
      <w:pPr>
        <w:pStyle w:val="NormalHanging12a"/>
        <w:widowControl/>
        <w:ind w:left="570" w:hanging="570"/>
      </w:pPr>
      <w:r w:rsidRPr="00F30C46">
        <w:t>3</w:t>
      </w:r>
      <w:r w:rsidR="002F2AE4" w:rsidRPr="00F30C46">
        <w:t>.</w:t>
      </w:r>
      <w:r w:rsidR="002F2AE4" w:rsidRPr="00F30C46">
        <w:tab/>
        <w:t xml:space="preserve">Toma nota de que el informe se presentó al Parlamento Europeo el 20 de junio de 2024; recuerda que el informe debe tener un carácter prospectivo; procede a opinar, a continuación, sobre varios acontecimientos destacados por el </w:t>
      </w:r>
      <w:proofErr w:type="spellStart"/>
      <w:r w:rsidR="002F2AE4" w:rsidRPr="00F30C46">
        <w:t>VP</w:t>
      </w:r>
      <w:proofErr w:type="spellEnd"/>
      <w:r w:rsidR="002F2AE4" w:rsidRPr="00F30C46">
        <w:t xml:space="preserve">/AR en su informe; </w:t>
      </w:r>
    </w:p>
    <w:p w14:paraId="2DDC4A6A" w14:textId="793A64ED" w:rsidR="002F2AE4" w:rsidRPr="00F30C46" w:rsidRDefault="002A086C" w:rsidP="002F2AE4">
      <w:pPr>
        <w:pStyle w:val="NormalHanging12a"/>
        <w:widowControl/>
        <w:ind w:left="570" w:hanging="570"/>
      </w:pPr>
      <w:r w:rsidRPr="00F30C46">
        <w:t>4</w:t>
      </w:r>
      <w:r w:rsidR="002F2AE4" w:rsidRPr="00F30C46">
        <w:t>.</w:t>
      </w:r>
      <w:r w:rsidR="002F2AE4" w:rsidRPr="00F30C46">
        <w:tab/>
        <w:t xml:space="preserve">Acoge con satisfacción, en particular: </w:t>
      </w:r>
    </w:p>
    <w:p w14:paraId="771F9068" w14:textId="77777777" w:rsidR="002F2AE4" w:rsidRPr="00F30C46" w:rsidRDefault="003969EB" w:rsidP="00991D71">
      <w:pPr>
        <w:pStyle w:val="NormalHanging12a"/>
        <w:widowControl/>
        <w:ind w:left="1134"/>
      </w:pPr>
      <w:r w:rsidRPr="00F30C46">
        <w:rPr>
          <w:szCs w:val="24"/>
        </w:rPr>
        <w:t>–</w:t>
      </w:r>
      <w:r w:rsidR="002F2AE4" w:rsidRPr="00F30C46">
        <w:tab/>
        <w:t>las sociedades civiles locales y dinámicas de los países de la ampliación que desempeñan un papel constructivo en los procesos de integración en la Unión, subrayando al mismo tiempo que la sociedad civil es vital para fomentar la democracia y el pluralismo y promover la buena gobernanza, así como el progreso social, y que los países de la ampliación deben proporcionar un espacio propicio y un marco adecuado para la cooperación, a fin de garantizar su participación significativa;</w:t>
      </w:r>
    </w:p>
    <w:p w14:paraId="10F3E610" w14:textId="503ED2AE" w:rsidR="002F2AE4" w:rsidRPr="00F30C46" w:rsidRDefault="003969EB" w:rsidP="00991D71">
      <w:pPr>
        <w:pStyle w:val="NormalHanging12a"/>
        <w:widowControl/>
        <w:ind w:left="1134"/>
      </w:pPr>
      <w:r w:rsidRPr="00F30C46">
        <w:rPr>
          <w:szCs w:val="24"/>
        </w:rPr>
        <w:t>–</w:t>
      </w:r>
      <w:r w:rsidR="002F2AE4" w:rsidRPr="00F30C46">
        <w:tab/>
        <w:t xml:space="preserve">la finalización satisfactoria del proceso de análisis del grado de adecuación al acervo en Albania a finales de 2023 y la apertura del primer grupo de capítulos de negociación sobre </w:t>
      </w:r>
      <w:r w:rsidR="00991D71" w:rsidRPr="00F30C46">
        <w:t>«fundamentos básicos» y sobre relaciones exteriores (grupo 6) en 2024</w:t>
      </w:r>
      <w:r w:rsidR="002F2AE4" w:rsidRPr="00F30C46">
        <w:t>; acoge favorablemente el objetivo de Albania de cerrar rápidamente las negociaciones de adhesión; hace hincapié en la necesidad de seguir intensificando las reformas para abordar las deficiencias que persisten en relación con los «fundamentos básicos», en particular por cuanto se refiere al Estado de Derecho, la lucha contra la corrupción y la delincuencia organizada; previene contra el menoscabo de la labor de instituciones independientes, como la Estructura Especial contra la Corrupción y la Delincuencia Organizada (</w:t>
      </w:r>
      <w:proofErr w:type="spellStart"/>
      <w:r w:rsidR="002F2AE4" w:rsidRPr="00F30C46">
        <w:t>SPAK</w:t>
      </w:r>
      <w:proofErr w:type="spellEnd"/>
      <w:r w:rsidR="002F2AE4" w:rsidRPr="00F30C46">
        <w:t xml:space="preserve">); subraya la importancia de un pluralismo político viable y de una oposición competitiva, y pide un diálogo y un compromiso constructivo entre la mayoría y la oposición para superar la fuerte polarización política en el país y fomentar procesos democráticos inclusivos que respeten a todas las partes, incluidas las minorías griega, romaní y egipcia del país; elogia la coherente y plena armonización del país con la política exterior y de seguridad de la Unión, incluidas las medidas restrictivas de la Unión contra Rusia y Bielorrusia; </w:t>
      </w:r>
    </w:p>
    <w:p w14:paraId="77CDA616" w14:textId="77777777" w:rsidR="002F2AE4" w:rsidRPr="00F30C46" w:rsidRDefault="003969EB" w:rsidP="00991D71">
      <w:pPr>
        <w:pStyle w:val="NormalHanging12a"/>
        <w:widowControl/>
        <w:ind w:left="1134"/>
      </w:pPr>
      <w:r w:rsidRPr="00F30C46">
        <w:rPr>
          <w:szCs w:val="24"/>
        </w:rPr>
        <w:t>–</w:t>
      </w:r>
      <w:r w:rsidR="002F2AE4" w:rsidRPr="00F30C46">
        <w:tab/>
        <w:t xml:space="preserve">la decisión sobre la apertura de negociaciones de adhesión con Bosnia y Herzegovina; anima a las autoridades a que adopten todas las medidas pertinentes establecidas en la Recomendación de la Comisión de 12 de octubre de 2022; insta a los dirigentes políticos del país a que apliquen un conjunto de reformas </w:t>
      </w:r>
      <w:r w:rsidR="002F2AE4" w:rsidRPr="00F30C46">
        <w:lastRenderedPageBreak/>
        <w:t xml:space="preserve">sustanciales, incluidas las reformas electorales, de conformidad con las decisiones de los órganos jurisdiccionales nacionales e internacionales, a fin de garantizar los principios de igualdad y no discriminación de todos los ciudadanos y pueblos constituyentes, consagrados en su Constitución, y respetando plenamente las sentencias de los tribunales nacionales e internacionales, incluidas todas las sentencias del Tribunal Europeo de Derechos Humanos relativas a Bosnia y Herzegovina; denuncia la retórica incendiaria y las leyes y políticas secesionistas recurrentes por parte de los dirigentes de la República </w:t>
      </w:r>
      <w:proofErr w:type="spellStart"/>
      <w:r w:rsidR="002F2AE4" w:rsidRPr="00F30C46">
        <w:t>Srpska</w:t>
      </w:r>
      <w:proofErr w:type="spellEnd"/>
      <w:r w:rsidR="002F2AE4" w:rsidRPr="00F30C46">
        <w:t xml:space="preserve">, incluida la celebración del inconstitucional «Día de la República </w:t>
      </w:r>
      <w:proofErr w:type="spellStart"/>
      <w:r w:rsidR="002F2AE4" w:rsidRPr="00F30C46">
        <w:t>Srpska</w:t>
      </w:r>
      <w:proofErr w:type="spellEnd"/>
      <w:r w:rsidR="002F2AE4" w:rsidRPr="00F30C46">
        <w:t>» el 9 de enero de 2025; pide a los Estados miembros y a los representantes de la comunidad internacional en Bosnia y Herzegovina que promuevan y apoyen la aplicación de dichas sentencias;</w:t>
      </w:r>
      <w:r w:rsidR="00991D71" w:rsidRPr="00F30C46">
        <w:t xml:space="preserve"> toma nota de la sentencia de 26 de febrero de 2025 del Tribunal de Bosnia y Herzegovina en el proceso contra </w:t>
      </w:r>
      <w:proofErr w:type="spellStart"/>
      <w:r w:rsidR="00991D71" w:rsidRPr="00F30C46">
        <w:t>Milorad</w:t>
      </w:r>
      <w:proofErr w:type="spellEnd"/>
      <w:r w:rsidR="00991D71" w:rsidRPr="00F30C46">
        <w:t xml:space="preserve"> </w:t>
      </w:r>
      <w:proofErr w:type="spellStart"/>
      <w:r w:rsidR="00991D71" w:rsidRPr="00F30C46">
        <w:t>Dodik</w:t>
      </w:r>
      <w:proofErr w:type="spellEnd"/>
      <w:r w:rsidR="00991D71" w:rsidRPr="00F30C46">
        <w:t xml:space="preserve"> y condena los ataques sin precedentes de este contra las instituciones bosnioherzegovinas, junto con los dirigentes de la República </w:t>
      </w:r>
      <w:proofErr w:type="spellStart"/>
      <w:r w:rsidR="00991D71" w:rsidRPr="00F30C46">
        <w:t>Srpska</w:t>
      </w:r>
      <w:proofErr w:type="spellEnd"/>
      <w:r w:rsidR="00991D71" w:rsidRPr="00F30C46">
        <w:t xml:space="preserve">, así como la intimidación de la oposición en la República </w:t>
      </w:r>
      <w:proofErr w:type="spellStart"/>
      <w:r w:rsidR="00991D71" w:rsidRPr="00F30C46">
        <w:t>Srpska</w:t>
      </w:r>
      <w:proofErr w:type="spellEnd"/>
      <w:r w:rsidR="00991D71" w:rsidRPr="00F30C46">
        <w:t>;</w:t>
      </w:r>
      <w:r w:rsidR="002F2AE4" w:rsidRPr="00F30C46">
        <w:t xml:space="preserve"> reitera su llamamiento en favor de sanciones selectivas contra los actores desestabilizadores en Bosnia y Herzegovina, en particular </w:t>
      </w:r>
      <w:proofErr w:type="spellStart"/>
      <w:r w:rsidR="002F2AE4" w:rsidRPr="00F30C46">
        <w:t>Milorad</w:t>
      </w:r>
      <w:proofErr w:type="spellEnd"/>
      <w:r w:rsidR="002F2AE4" w:rsidRPr="00F30C46">
        <w:t xml:space="preserve"> </w:t>
      </w:r>
      <w:proofErr w:type="spellStart"/>
      <w:r w:rsidR="002F2AE4" w:rsidRPr="00F30C46">
        <w:t>Dodik</w:t>
      </w:r>
      <w:proofErr w:type="spellEnd"/>
      <w:r w:rsidR="002F2AE4" w:rsidRPr="00F30C46">
        <w:t xml:space="preserve">, así como otros altos funcionarios de la República </w:t>
      </w:r>
      <w:proofErr w:type="spellStart"/>
      <w:r w:rsidR="002F2AE4" w:rsidRPr="00F30C46">
        <w:t>Srpska</w:t>
      </w:r>
      <w:proofErr w:type="spellEnd"/>
      <w:r w:rsidR="002F2AE4" w:rsidRPr="00F30C46">
        <w:t xml:space="preserve"> y funcionarios serbios que prestan apoyo político y material a las políticas secesionistas;</w:t>
      </w:r>
      <w:r w:rsidR="00991D71" w:rsidRPr="00F30C46">
        <w:t xml:space="preserve"> expresa su apoyo a la declaración realizada por el secretario general de la OTAN, Mark </w:t>
      </w:r>
      <w:proofErr w:type="spellStart"/>
      <w:r w:rsidR="00991D71" w:rsidRPr="00F30C46">
        <w:t>Rutte</w:t>
      </w:r>
      <w:proofErr w:type="spellEnd"/>
      <w:r w:rsidR="00991D71" w:rsidRPr="00F30C46">
        <w:t>, el 10 de marzo de 2025 en Sarajevo y pide que haya diálogo entre todas las partes para salvaguardar la estabilidad en el país;</w:t>
      </w:r>
      <w:r w:rsidR="002F2AE4" w:rsidRPr="00F30C46">
        <w:t xml:space="preserve"> pide a todos los Estados miembros que garanticen que el Consejo pueda adoptar dichas sanciones e imponerlas de forma bilateral o en concertación con otros Estados miembros si su adopción en el Consejo no es posible; acoge favorablemente el acuerdo alcanzado para prorrogar el mandato de las fuerzas de la Unión en Bosnia y Herzegovina en el marco de la Operación </w:t>
      </w:r>
      <w:proofErr w:type="spellStart"/>
      <w:r w:rsidR="002F2AE4" w:rsidRPr="00F30C46">
        <w:t>Althea</w:t>
      </w:r>
      <w:proofErr w:type="spellEnd"/>
      <w:r w:rsidR="002F2AE4" w:rsidRPr="00F30C46">
        <w:t xml:space="preserve"> hasta noviembre de 2025, y recuerda que esta misión sigue desempeñando un papel central para la seguridad y la estabilidad de Bosnia y Herzegovina;</w:t>
      </w:r>
      <w:r w:rsidR="00991D71" w:rsidRPr="00F30C46">
        <w:t xml:space="preserve"> celebra la llegada de las fuerzas de reserva de la Operación </w:t>
      </w:r>
      <w:proofErr w:type="spellStart"/>
      <w:r w:rsidR="00991D71" w:rsidRPr="00F30C46">
        <w:t>Althea</w:t>
      </w:r>
      <w:proofErr w:type="spellEnd"/>
      <w:r w:rsidR="00991D71" w:rsidRPr="00F30C46">
        <w:t>;</w:t>
      </w:r>
      <w:r w:rsidR="002F2AE4" w:rsidRPr="00F30C46">
        <w:t xml:space="preserve"> insta a la misión militar de la Unión a prevenir activamente los desfiles ilegales y otras provocaciones, así como las amenazas contra todas las personas que trabajan para ayudar a las víctimas del genocidio y que invierten en la reconciliación interétnica y en un futuro pacífico para el país;</w:t>
      </w:r>
      <w:r w:rsidR="00991D71" w:rsidRPr="00F30C46">
        <w:t xml:space="preserve"> pide que se garantice la seguridad en el Centro Conmemorativo de Srebrenica-</w:t>
      </w:r>
      <w:proofErr w:type="spellStart"/>
      <w:r w:rsidR="00991D71" w:rsidRPr="00F30C46">
        <w:t>Potočari</w:t>
      </w:r>
      <w:proofErr w:type="spellEnd"/>
      <w:r w:rsidR="00991D71" w:rsidRPr="00F30C46">
        <w:t>;</w:t>
      </w:r>
    </w:p>
    <w:p w14:paraId="276995A0" w14:textId="77777777" w:rsidR="002F2AE4" w:rsidRPr="00F30C46" w:rsidRDefault="003969EB" w:rsidP="00991D71">
      <w:pPr>
        <w:pStyle w:val="NormalHanging12a"/>
        <w:widowControl/>
        <w:ind w:left="1134"/>
      </w:pPr>
      <w:r w:rsidRPr="00F30C46">
        <w:rPr>
          <w:szCs w:val="24"/>
        </w:rPr>
        <w:t>–</w:t>
      </w:r>
      <w:r w:rsidR="002F2AE4" w:rsidRPr="00F30C46">
        <w:tab/>
        <w:t xml:space="preserve">los avances en el Diálogo Belgrado-Pristina, especialmente en materia de libertad de circulación y energía; pide a Kosovo y Serbia que entablen este diálogo de forma permanente y sin más dilación, de buena fe y con un espíritu de compromiso, para alcanzar un acuerdo global y jurídicamente vinculante sobre la normalización de sus relaciones, fundado en el reconocimiento mutuo, de conformidad con el Derecho internacional; lamenta, en este contexto, la falta de avances en la materialización de la senda hacia la normalización y pide que se realicen esfuerzos y se dediquen capacidades al diálogo facilitado por la Unión; se compromete, por tanto, a colaborar estrechamente con el representante especial de la Unión Europea, tanto saliente como entrante, para el Diálogo Belgrado-Pristina y otras cuestiones regionales de los Balcanes Occidentales; pide a la </w:t>
      </w:r>
      <w:proofErr w:type="spellStart"/>
      <w:r w:rsidR="002F2AE4" w:rsidRPr="00F30C46">
        <w:t>VP</w:t>
      </w:r>
      <w:proofErr w:type="spellEnd"/>
      <w:r w:rsidR="002F2AE4" w:rsidRPr="00F30C46">
        <w:t>/AR que aproveche el nuevo mandato de la Comisión para superar el estancamiento y dar un nuevo impulso al diálogo, y que presente un nuevo enfoque innovador y equilibrado para la mediación;</w:t>
      </w:r>
    </w:p>
    <w:p w14:paraId="189DE9E1" w14:textId="6C7F1DE5" w:rsidR="002F2AE4" w:rsidRPr="00F30C46" w:rsidRDefault="003969EB" w:rsidP="00991D71">
      <w:pPr>
        <w:pStyle w:val="NormalHanging12a"/>
        <w:widowControl/>
        <w:ind w:left="1134"/>
      </w:pPr>
      <w:r w:rsidRPr="00F30C46">
        <w:rPr>
          <w:szCs w:val="24"/>
        </w:rPr>
        <w:lastRenderedPageBreak/>
        <w:t>–</w:t>
      </w:r>
      <w:r w:rsidR="002F2AE4" w:rsidRPr="00F30C46">
        <w:tab/>
        <w:t xml:space="preserve">el informe sobre la ampliación de 2024 sobre Serbia, presentado por la Comisión el 31 de octubre de 2024; reitera su posición de que las negociaciones de adhesión con Serbia solo deben avanzar si el país se ajusta a las sanciones de la Unión contra Rusia y realiza avances significativos en sus reformas relacionadas con la Unión, en particular en el ámbito de los «fundamentos básicos»; recuerda a las autoridades serbias que el correcto funcionamiento de las instituciones democráticas ocupa un lugar central en el proceso de adhesión de Serbia a la Unión y en la metodología de adhesión a la Unión; recuerda, en este contexto, su posición de que las elecciones parlamentarias y locales serbias celebradas el 17 de diciembre de 2023 se apartaron de las normas internacionales y del compromiso de Serbia de celebrar elecciones libres y justas; reitera su profunda preocupación por estas irregularidades y por el entorno electoral en general, peor del que cabe esperar de un país candidato a la adhesión a la Unión; insta a los dirigentes políticos de Serbia a que garanticen un diálogo constructivo e inclusivo en todo el espectro político y a que lleven a cabo las reformas necesarias para que Serbia avance en el camino hacia la adhesión a la Unión; </w:t>
      </w:r>
      <w:r w:rsidR="00991D71" w:rsidRPr="00F30C46">
        <w:t xml:space="preserve">ha seguido atentamente la amplia movilización estudiantil, a la que se han unido otros grupos de ciudadanos tras el trágico siniestro de la estación de tren de </w:t>
      </w:r>
      <w:proofErr w:type="spellStart"/>
      <w:r w:rsidR="00991D71" w:rsidRPr="00F30C46">
        <w:t>Novi</w:t>
      </w:r>
      <w:proofErr w:type="spellEnd"/>
      <w:r w:rsidR="00991D71" w:rsidRPr="00F30C46">
        <w:t xml:space="preserve"> </w:t>
      </w:r>
      <w:proofErr w:type="spellStart"/>
      <w:r w:rsidR="00991D71" w:rsidRPr="00F30C46">
        <w:t>Sad</w:t>
      </w:r>
      <w:proofErr w:type="spellEnd"/>
      <w:r w:rsidR="00991D71" w:rsidRPr="00F30C46">
        <w:t xml:space="preserve">; recuerda que la libertad de reunión es un derecho fundamental y defiende una política de tolerancia cero con respecto a la violencia contra manifestantes pacíficos; condena los casos denunciados de ataques abusivos, vigilancia digital y acoso contra periodistas, activistas de derechos humanos y organizaciones de la sociedad civil en Serbia, a lo que cabe añadir, más recientemente, la redada policial contra cuatro destacadas organizaciones de la sociedad civil efectuada el 25 de febrero de 2025 supuestamente a causa del uso indebido por parte de estas de fondos de </w:t>
      </w:r>
      <w:proofErr w:type="spellStart"/>
      <w:r w:rsidR="00991D71" w:rsidRPr="00F30C46">
        <w:t>USAID</w:t>
      </w:r>
      <w:proofErr w:type="spellEnd"/>
      <w:r w:rsidR="00991D71" w:rsidRPr="00F30C46">
        <w:t>; pide una investigación exhaustiva, imparcial y rápida de las acusaciones de actos de violencia contra manifestantes y de mala conducta policial durante las manifestaciones; expresa su solidaridad con los participantes en las manifestaciones pacíficas, en particular con los de la del 15 de marzo de 2025, la mayor manifestación multitudinaria de la historia moderna de Serbia; lamenta el enfoque apaciguador de la Comisión con respecto a Serbia a pesar de su retroceso de un año en el Estado de Derecho, la democracia y los derechos fundamentales, así como su influencia desestabilizadora en toda la región; insta a la Comisión, también al más alto nivel, a que emplee un lenguaje más claro con respecto a Serbia y aborde sistemáticamente sus notables deficiencias, su falta de avances e incluso su retroceso, defendiendo de este modo los valores fundamentales de la Unión</w:t>
      </w:r>
      <w:r w:rsidR="002F2AE4" w:rsidRPr="00F30C46">
        <w:t>;</w:t>
      </w:r>
    </w:p>
    <w:p w14:paraId="7D220C8A" w14:textId="63AAC7E2" w:rsidR="002F2AE4" w:rsidRPr="00F30C46" w:rsidRDefault="003969EB" w:rsidP="00991D71">
      <w:pPr>
        <w:pStyle w:val="NormalHanging12a"/>
        <w:widowControl/>
        <w:ind w:left="1134"/>
      </w:pPr>
      <w:r w:rsidRPr="00F30C46">
        <w:rPr>
          <w:szCs w:val="24"/>
        </w:rPr>
        <w:t>–</w:t>
      </w:r>
      <w:r w:rsidR="002F2AE4" w:rsidRPr="00F30C46">
        <w:tab/>
        <w:t xml:space="preserve">la solicitud de adhesión de Kosovo a la Unión y el informe sobre Kosovo de 2024, y </w:t>
      </w:r>
      <w:r w:rsidR="00991D71" w:rsidRPr="00F30C46">
        <w:t>reitera su llamamiento a los Estados miembros en el Consejo Europeo para que encarguen a la Comisión que presente el cuestionario y entregue su dictamen sobre los méritos de la solicitud del país</w:t>
      </w:r>
      <w:r w:rsidR="002F2AE4" w:rsidRPr="00F30C46">
        <w:t xml:space="preserve">; recuerda que la candidatura de Kosovo a ser considerado país candidato se evaluará en función de sus propios méritos y de sus progresos en el cumplimiento de los criterios de Copenhague relativos a la adhesión a la Unión; celebra, no obstante, la supresión de la obligación de visado para los ciudadanos de Kosovo; lamenta las medidas restrictivas impuestas por el Consejo contra Kosovo y pide su levantamiento inmediato, tal como propuso el </w:t>
      </w:r>
      <w:proofErr w:type="spellStart"/>
      <w:r w:rsidR="002F2AE4" w:rsidRPr="00F30C46">
        <w:t>VP</w:t>
      </w:r>
      <w:proofErr w:type="spellEnd"/>
      <w:r w:rsidR="002F2AE4" w:rsidRPr="00F30C46">
        <w:t>/AR;</w:t>
      </w:r>
    </w:p>
    <w:p w14:paraId="1E4805FE" w14:textId="77777777" w:rsidR="002F2AE4" w:rsidRPr="00F30C46" w:rsidRDefault="003969EB" w:rsidP="00991D71">
      <w:pPr>
        <w:pStyle w:val="NormalHanging12a"/>
        <w:widowControl/>
        <w:ind w:left="1134"/>
      </w:pPr>
      <w:r w:rsidRPr="00F30C46">
        <w:rPr>
          <w:szCs w:val="24"/>
        </w:rPr>
        <w:t>–</w:t>
      </w:r>
      <w:r w:rsidR="002F2AE4" w:rsidRPr="00F30C46">
        <w:tab/>
        <w:t xml:space="preserve">los progresos realizados por Montenegro para cumplir los criterios de referencia provisionales de los capítulos 23 y 24 del acervo de la Unión; anima a este país a que siga avanzando y aplicando rápidamente las reformas relacionadas con la </w:t>
      </w:r>
      <w:r w:rsidR="002F2AE4" w:rsidRPr="00F30C46">
        <w:lastRenderedPageBreak/>
        <w:t>Unión; expresa, no obstante, su preocupación por las controvertidas ideas de propuestas legislativas sobre la ciudadanía y los agentes extranjeros sugeridas en público; insiste en la importancia de que el nuevo Gobierno pueda llevar adelante las reformas relacionadas con la Unión y mantener firmemente a Montenegro en la senda estratégica de la UE, y se comprometa a ello; espera que el país empiece a cerrar capítulos en las negociaciones de adhesión y que esté listo para su adhesión a la Unión en estos próximos años;</w:t>
      </w:r>
    </w:p>
    <w:p w14:paraId="4C1A9E7D" w14:textId="77777777" w:rsidR="002F2AE4" w:rsidRPr="00F30C46" w:rsidRDefault="003969EB" w:rsidP="00991D71">
      <w:pPr>
        <w:pStyle w:val="NormalHanging12a"/>
        <w:widowControl/>
        <w:ind w:left="1134"/>
      </w:pPr>
      <w:r w:rsidRPr="00F30C46">
        <w:rPr>
          <w:szCs w:val="24"/>
        </w:rPr>
        <w:t>–</w:t>
      </w:r>
      <w:r w:rsidR="002F2AE4" w:rsidRPr="00F30C46">
        <w:tab/>
        <w:t>la finalización satisfactoria del proceso de análisis del grado de adecuación al acervo en Macedonia del Norte a finales de 2023; insta al Gobierno de Macedonia del Norte a que logre resultados tangibles en el cumplimiento de su obligación en virtud del marco de negociación de la Unión</w:t>
      </w:r>
      <w:r w:rsidR="00991D71" w:rsidRPr="00F30C46">
        <w:t xml:space="preserve"> y de las conclusiones de la reunión del Consejo Europeo del 18 de julio de 2022</w:t>
      </w:r>
      <w:r w:rsidR="002F2AE4" w:rsidRPr="00F30C46">
        <w:t>, incluidos los cambios constitucionales pertinentes, en consonancia con los compromisos del país;</w:t>
      </w:r>
    </w:p>
    <w:p w14:paraId="343F0A9C" w14:textId="77777777" w:rsidR="002F2AE4" w:rsidRPr="00F30C46" w:rsidRDefault="003969EB" w:rsidP="00991D71">
      <w:pPr>
        <w:pStyle w:val="NormalHanging12a"/>
        <w:widowControl/>
        <w:ind w:left="1134"/>
      </w:pPr>
      <w:r w:rsidRPr="00F30C46">
        <w:rPr>
          <w:szCs w:val="24"/>
        </w:rPr>
        <w:t>–</w:t>
      </w:r>
      <w:r w:rsidR="002F2AE4" w:rsidRPr="00F30C46">
        <w:tab/>
        <w:t xml:space="preserve">la reanudación satisfactoria del diálogo sobre la </w:t>
      </w:r>
      <w:proofErr w:type="spellStart"/>
      <w:r w:rsidR="002F2AE4" w:rsidRPr="00F30C46">
        <w:t>PESC</w:t>
      </w:r>
      <w:proofErr w:type="spellEnd"/>
      <w:r w:rsidR="002F2AE4" w:rsidRPr="00F30C46">
        <w:t xml:space="preserve"> entre la Unión y sus socios de los Balcanes Occidentales y la importancia de estas asociaciones para la paz y la seguridad; recuerda que la ampliación de la Unión es una inversión geoestratégica que requiere el compromiso tanto de la Unión como de los países candidatos en sus sendas de adhesión; recuerda, en este contexto, la continua necesidad de reformas relacionadas con el Estado de Derecho, los derechos fundamentales y la administración pública, así como de la armonización con la </w:t>
      </w:r>
      <w:proofErr w:type="spellStart"/>
      <w:r w:rsidR="002F2AE4" w:rsidRPr="00F30C46">
        <w:t>PESC</w:t>
      </w:r>
      <w:proofErr w:type="spellEnd"/>
      <w:r w:rsidR="002F2AE4" w:rsidRPr="00F30C46">
        <w:t>, también por cuanto respecta a las sanciones y a la política de visados de la Unión; destaca, además, las amenazas que plantean las injerencias extranjeras malintencionadas en la región y subraya la importancia de luchar contra la desinformación para contener la retórica antioccidental y divisiva que pretende aprovechar y exacerbar las tensiones étnicas en la región; advierte contra el compromiso con los rivales sistémicos de la Unión, que podría socavar el futuro próspero, sostenible y seguro que ofrece la adhesión a la Unión; recuerda, en este contexto, el valor añadido de las inversiones realizadas por la Unión en el marco del Instrumento de Ayuda Preadhesión III, el recién creado Mecanismo de Reforma y Crecimiento para los Balcanes Occidentales y el Marco de Inversión para los Balcanes Occidentales; pide a los países de los Balcanes Occidentales que utilicen todos los recursos puestos a disposición para apoyar su adaptación al acervo de la Unión; pide a la comisaria de Ampliación que aumente la visibilidad de la acción de la Unión en los Balcanes;</w:t>
      </w:r>
    </w:p>
    <w:p w14:paraId="7186DD68" w14:textId="77777777" w:rsidR="002F2AE4" w:rsidRPr="00F30C46" w:rsidRDefault="003969EB" w:rsidP="00991D71">
      <w:pPr>
        <w:pStyle w:val="NormalHanging12a"/>
        <w:widowControl/>
        <w:ind w:left="1134"/>
      </w:pPr>
      <w:r w:rsidRPr="00F30C46">
        <w:rPr>
          <w:szCs w:val="24"/>
        </w:rPr>
        <w:t>–</w:t>
      </w:r>
      <w:r w:rsidR="002F2AE4" w:rsidRPr="00F30C46">
        <w:tab/>
        <w:t xml:space="preserve">la decisión de iniciar negociaciones de adhesión con Ucrania y Moldavia; celebra que el nivel de adaptación de Moldavia a la </w:t>
      </w:r>
      <w:proofErr w:type="spellStart"/>
      <w:r w:rsidR="002F2AE4" w:rsidRPr="00F30C46">
        <w:t>PESC</w:t>
      </w:r>
      <w:proofErr w:type="spellEnd"/>
      <w:r w:rsidR="002F2AE4" w:rsidRPr="00F30C46">
        <w:t xml:space="preserve"> haya aumentado considerablemente, pasando de un 54 % en 2022 a un 86 % en 2024, y anima a Ucrania y a Moldavia a que continúen esta tendencia positiva hacia la plena adaptación; pide que se agilice el proceso de análisis del grado de adecuación al acervo y que se organicen en el momento oportuno las correspondientes conferencias intergubernamentales;</w:t>
      </w:r>
    </w:p>
    <w:p w14:paraId="5DE8DDB5" w14:textId="77777777" w:rsidR="002F2AE4" w:rsidRPr="00F30C46" w:rsidRDefault="003969EB" w:rsidP="00991D71">
      <w:pPr>
        <w:pStyle w:val="NormalHanging12a"/>
        <w:widowControl/>
        <w:ind w:left="1134"/>
      </w:pPr>
      <w:r w:rsidRPr="00F30C46">
        <w:rPr>
          <w:szCs w:val="24"/>
        </w:rPr>
        <w:t>–</w:t>
      </w:r>
      <w:r w:rsidR="002F2AE4" w:rsidRPr="00F30C46">
        <w:tab/>
        <w:t xml:space="preserve">la decisión de Armenia de suspender su participación en la Organización del Tratado de Seguridad Colectiva y de poner fin a todas las contribuciones a su presupuesto en 2024, toda vez que Rusia dejó de asistir a Armenia contra la agresión militar de Azerbaiyán, y de procurar una arquitectura de seguridad más fiable; apoya la solicitud oficial de Armenia a la Federación de Rusia de que retire de su aeropuerto internacional y de la frontera entre Armenia e Irán a sus guardias de fronteras del Servicio Federal de Seguridad; acoge con satisfacción las </w:t>
      </w:r>
      <w:r w:rsidR="002F2AE4" w:rsidRPr="00F30C46">
        <w:lastRenderedPageBreak/>
        <w:t xml:space="preserve">reuniones periódicas en el marco del diálogo político y en materia de seguridad entre la UE y Armenia y del Consejo de Asociación UE-Armenia, y elogia la decisión de adoptar las medidas de asistencia en el marco del </w:t>
      </w:r>
      <w:proofErr w:type="spellStart"/>
      <w:r w:rsidR="002F2AE4" w:rsidRPr="00F30C46">
        <w:t>FEAP</w:t>
      </w:r>
      <w:proofErr w:type="spellEnd"/>
      <w:r w:rsidR="002F2AE4" w:rsidRPr="00F30C46">
        <w:t xml:space="preserve"> en apoyo de las fuerzas armadas armenias, el 13 de junio y el 22 de julio de 2024, respectivamente;</w:t>
      </w:r>
    </w:p>
    <w:p w14:paraId="498E5D91" w14:textId="55E5C29E" w:rsidR="002F2AE4" w:rsidRPr="00F30C46" w:rsidRDefault="003969EB" w:rsidP="00991D71">
      <w:pPr>
        <w:pStyle w:val="NormalHanging12a"/>
        <w:widowControl/>
        <w:ind w:left="1134"/>
      </w:pPr>
      <w:r w:rsidRPr="00F30C46">
        <w:rPr>
          <w:szCs w:val="24"/>
        </w:rPr>
        <w:t>–</w:t>
      </w:r>
      <w:r w:rsidR="002F2AE4" w:rsidRPr="00F30C46">
        <w:tab/>
      </w:r>
      <w:r w:rsidR="00991D71" w:rsidRPr="00F30C46">
        <w:t>la conclusión satisfactoria de las negociaciones entre Armenia y Azerbaiyán sobre el texto completo del proyecto de Acuerdo de Paz y Establecimiento de Relaciones Interestatales; elogia a Armenia por allanar el camino para la finalización del texto e insta a los dirigentes azerbaiyanos a firmar y aplicar el acuerdo de paz de buena fe, tal como se concluyó en las negociaciones; alienta a que se siga avanzando en el marco del proceso de delimitación de la frontera entre Armenia y Azerbaiyán, que ha conducido a un acuerdo sobre varias secciones de la frontera y a la apertura de comunicaciones regionales sobre la base de la soberanía y la jurisdicción de ambos países, así como de la reciprocidad y la igualdad, como medida clave para desbloquear el desarrollo regional, mejorar la conectividad y fomentar la paz y la prosperidad sostenibles, además de facilitar la reconciliación entre las comunidades a partir del aumento de los contactos interpersonales; reafirma su apoyo a la soberanía y la integridad territorial tanto de Armenia como de Azerbaiyán y apoya firmemente la normalización de sus relaciones sobre la base de los principios de reconocimiento mutuo de la integridad territorial y la inviolabilidad de las fronteras de conformidad con la Declaración de Alma-Ata de 1991; reitera su exigencia de que los soldados de Azerbaiyán se retiren de todo el territorio soberano de Armenia y se libere a los veintitrés rehenes armenios restantes</w:t>
      </w:r>
      <w:r w:rsidR="002F2AE4" w:rsidRPr="00F30C46">
        <w:t>;</w:t>
      </w:r>
    </w:p>
    <w:p w14:paraId="75A86455" w14:textId="77777777" w:rsidR="002F2AE4" w:rsidRPr="00F30C46" w:rsidRDefault="003969EB" w:rsidP="00991D71">
      <w:pPr>
        <w:pStyle w:val="NormalHanging12a"/>
        <w:widowControl/>
        <w:ind w:left="1134"/>
      </w:pPr>
      <w:r w:rsidRPr="00F30C46">
        <w:rPr>
          <w:szCs w:val="24"/>
        </w:rPr>
        <w:t>–</w:t>
      </w:r>
      <w:r w:rsidR="002F2AE4" w:rsidRPr="00F30C46">
        <w:tab/>
        <w:t>las actividades de la Misión de la Unión Europea en Armenia (</w:t>
      </w:r>
      <w:proofErr w:type="spellStart"/>
      <w:r w:rsidR="002F2AE4" w:rsidRPr="00F30C46">
        <w:t>EUMA</w:t>
      </w:r>
      <w:proofErr w:type="spellEnd"/>
      <w:r w:rsidR="002F2AE4" w:rsidRPr="00F30C46">
        <w:t>) en el marco de la política común de seguridad y defensa (</w:t>
      </w:r>
      <w:proofErr w:type="spellStart"/>
      <w:r w:rsidR="002F2AE4" w:rsidRPr="00F30C46">
        <w:t>PCSD</w:t>
      </w:r>
      <w:proofErr w:type="spellEnd"/>
      <w:r w:rsidR="002F2AE4" w:rsidRPr="00F30C46">
        <w:t xml:space="preserve">), que contribuye a aumentar la seguridad en la región al disminuir considerablemente el número de incidentes en las zonas afectadas por conflictos y en las zonas fronterizas, y reduce el nivel de riesgos para la población que vive en dichas zonas; acoge con satisfacción la asistencia de Armenia con las actividades de la </w:t>
      </w:r>
      <w:proofErr w:type="spellStart"/>
      <w:r w:rsidR="002F2AE4" w:rsidRPr="00F30C46">
        <w:t>EUMA</w:t>
      </w:r>
      <w:proofErr w:type="spellEnd"/>
      <w:r w:rsidR="002F2AE4" w:rsidRPr="00F30C46">
        <w:t xml:space="preserve"> en su territorio; encomia al Consejo por la decisión de incrementar el número de expertos desplegados y la capacidad de la misión, y de ampliar su calendario de despliegue; pide una mayor expansión y presencia en la región; pide a la Comisión que preste apoyo a Armenia para la retirada de minas;</w:t>
      </w:r>
    </w:p>
    <w:p w14:paraId="581DF6DB" w14:textId="77777777" w:rsidR="002F2AE4" w:rsidRPr="00F30C46" w:rsidRDefault="003969EB" w:rsidP="00991D71">
      <w:pPr>
        <w:pStyle w:val="NormalHanging12a"/>
        <w:widowControl/>
        <w:ind w:left="1134"/>
      </w:pPr>
      <w:r w:rsidRPr="00F30C46">
        <w:rPr>
          <w:szCs w:val="24"/>
        </w:rPr>
        <w:t>–</w:t>
      </w:r>
      <w:r w:rsidR="002F2AE4" w:rsidRPr="00F30C46">
        <w:tab/>
        <w:t xml:space="preserve">el trabajo continuado del SEAE para abordar y contrarrestar la manipulación de información y la injerencia por parte de agentes extranjeros a través del conjunto de instrumentos creado a tal efecto, con la creación de un grupo de trabajo </w:t>
      </w:r>
      <w:proofErr w:type="spellStart"/>
      <w:r w:rsidR="002F2AE4" w:rsidRPr="00F30C46">
        <w:t>StratCom</w:t>
      </w:r>
      <w:proofErr w:type="spellEnd"/>
      <w:r w:rsidR="002F2AE4" w:rsidRPr="00F30C46">
        <w:t xml:space="preserve"> y mediante una estrecha cooperación con los Estados miembros, los socios internacionales, la sociedad civil y otras partes interesadas pertinentes; pide una vez más que se promueva un flujo continuo de inteligencia de los Estados miembros al SEAE sobre asuntos exteriores y problemas de seguridad registrados fuera de la Unión; pide, en este sentido, que se refuercen el </w:t>
      </w:r>
      <w:proofErr w:type="spellStart"/>
      <w:r w:rsidR="002F2AE4" w:rsidRPr="00F30C46">
        <w:t>INTCEN</w:t>
      </w:r>
      <w:proofErr w:type="spellEnd"/>
      <w:r w:rsidR="002F2AE4" w:rsidRPr="00F30C46">
        <w:t xml:space="preserve"> de la Unión y el Centro de Respuesta a las Crisis del SEAE, así como el Centro de Satélites de la Unión Europea, mediante la mejora de sus recursos humanos y financieros, así como de sus capacidades;  </w:t>
      </w:r>
    </w:p>
    <w:p w14:paraId="109411A5" w14:textId="77777777" w:rsidR="002F2AE4" w:rsidRPr="00F30C46" w:rsidRDefault="003969EB" w:rsidP="00991D71">
      <w:pPr>
        <w:pStyle w:val="NormalHanging12a"/>
        <w:widowControl/>
        <w:ind w:left="1134"/>
      </w:pPr>
      <w:r w:rsidRPr="00F30C46">
        <w:rPr>
          <w:szCs w:val="24"/>
        </w:rPr>
        <w:t>–</w:t>
      </w:r>
      <w:r w:rsidR="002F2AE4" w:rsidRPr="00F30C46">
        <w:tab/>
        <w:t xml:space="preserve">la propuesta del </w:t>
      </w:r>
      <w:proofErr w:type="spellStart"/>
      <w:r w:rsidR="002F2AE4" w:rsidRPr="00F30C46">
        <w:t>VP</w:t>
      </w:r>
      <w:proofErr w:type="spellEnd"/>
      <w:r w:rsidR="002F2AE4" w:rsidRPr="00F30C46">
        <w:t>/AR sobre el régimen de sanciones para combatir la corrupción, que permitiría a la Unión castigar en todo el mundo los actos de corrupción graves; pide su rápida adopción por el Consejo;</w:t>
      </w:r>
    </w:p>
    <w:p w14:paraId="1B759181" w14:textId="6A6805F5" w:rsidR="002F2AE4" w:rsidRPr="00F30C46" w:rsidRDefault="002A086C" w:rsidP="002F2AE4">
      <w:pPr>
        <w:pStyle w:val="NormalHanging12a"/>
        <w:widowControl/>
      </w:pPr>
      <w:r w:rsidRPr="00F30C46">
        <w:lastRenderedPageBreak/>
        <w:t>5</w:t>
      </w:r>
      <w:r w:rsidR="002F2AE4" w:rsidRPr="00F30C46">
        <w:t>.</w:t>
      </w:r>
      <w:r w:rsidR="002F2AE4" w:rsidRPr="00F30C46">
        <w:tab/>
        <w:t>Condena, en particular:</w:t>
      </w:r>
    </w:p>
    <w:p w14:paraId="085BBBF0" w14:textId="77777777" w:rsidR="002F2AE4" w:rsidRPr="00F30C46" w:rsidRDefault="003969EB" w:rsidP="00991D71">
      <w:pPr>
        <w:pStyle w:val="NormalHanging12a"/>
        <w:widowControl/>
        <w:ind w:left="1134"/>
      </w:pPr>
      <w:r w:rsidRPr="00F30C46">
        <w:rPr>
          <w:szCs w:val="24"/>
        </w:rPr>
        <w:t>–</w:t>
      </w:r>
      <w:r w:rsidR="002F2AE4" w:rsidRPr="00F30C46">
        <w:tab/>
        <w:t xml:space="preserve">la guerra de agresión rusa ilegal e injustificable en curso contra Ucrania y el aumento de los ataques rusos contra objetivos e infraestructuras civiles dentro de Ucrania; exige que Rusia y sus fuerzas subsidiarias pongan fin a todas las acciones militares y que la Federación de Rusia retire inmediata e incondicionalmente sus soldados y equipos de Ucrania y de cualquier otro país cuyo territorio, o partes del mismo, ocupe ilegalmente; </w:t>
      </w:r>
      <w:r w:rsidR="00991D71" w:rsidRPr="00F30C46">
        <w:t>reitera su política de no reconocimiento de los territorios de Ucrania temporalmente ocupados por Rusia, entre ellos el de la Península de Crimea;</w:t>
      </w:r>
      <w:r w:rsidR="00991D71" w:rsidRPr="00F30C46">
        <w:rPr>
          <w:b/>
          <w:i/>
        </w:rPr>
        <w:t xml:space="preserve"> </w:t>
      </w:r>
      <w:r w:rsidR="002F2AE4" w:rsidRPr="00F30C46">
        <w:t>condena todo ataque híbrido ejecutado por Rusia en Ucrania y denuncia enérgicamente la difusión de propaganda rusa sobre su guerra en Ucrania;</w:t>
      </w:r>
    </w:p>
    <w:p w14:paraId="424590E6" w14:textId="0A0F6AFA" w:rsidR="002F2AE4" w:rsidRPr="00F30C46" w:rsidRDefault="003969EB" w:rsidP="00991D71">
      <w:pPr>
        <w:pStyle w:val="NormalHanging12a"/>
        <w:widowControl/>
        <w:ind w:left="1134"/>
      </w:pPr>
      <w:r w:rsidRPr="00F30C46">
        <w:rPr>
          <w:szCs w:val="24"/>
        </w:rPr>
        <w:t>–</w:t>
      </w:r>
      <w:r w:rsidR="002F2AE4" w:rsidRPr="00F30C46">
        <w:tab/>
        <w:t xml:space="preserve">el papel del régimen ilegítimo de </w:t>
      </w:r>
      <w:proofErr w:type="spellStart"/>
      <w:r w:rsidR="002F2AE4" w:rsidRPr="00F30C46">
        <w:t>Aliaksandr</w:t>
      </w:r>
      <w:proofErr w:type="spellEnd"/>
      <w:r w:rsidR="002F2AE4" w:rsidRPr="00F30C46">
        <w:t xml:space="preserve"> </w:t>
      </w:r>
      <w:proofErr w:type="spellStart"/>
      <w:r w:rsidR="002F2AE4" w:rsidRPr="00F30C46">
        <w:t>Lukashenka</w:t>
      </w:r>
      <w:proofErr w:type="spellEnd"/>
      <w:r w:rsidR="002F2AE4" w:rsidRPr="00F30C46">
        <w:t xml:space="preserve"> por permitir que el país sirva de base militar rusa y entregar efectivamente la soberanía nacional al Kremlin con el fin de mantener su control sobre Bielorrusia, mientras oprime brutalmente al pueblo bielorruso para mantenerse en el poder; lamenta </w:t>
      </w:r>
      <w:r w:rsidR="00991D71" w:rsidRPr="00F30C46">
        <w:t>que se cometieran graves violaciones de los derechos humanos en el período previo a las elecciones fraudulentas del 26 de enero de 2025; expresa su consternación por</w:t>
      </w:r>
      <w:r w:rsidR="00991D71" w:rsidRPr="00F30C46">
        <w:rPr>
          <w:b/>
          <w:i/>
        </w:rPr>
        <w:t xml:space="preserve"> </w:t>
      </w:r>
      <w:r w:rsidR="002F2AE4" w:rsidRPr="00F30C46">
        <w:t>la instrumentalización de la migración por l</w:t>
      </w:r>
      <w:r w:rsidR="00A534EF" w:rsidRPr="00F30C46">
        <w:t>os</w:t>
      </w:r>
      <w:r w:rsidR="002F2AE4" w:rsidRPr="00F30C46">
        <w:t xml:space="preserve"> </w:t>
      </w:r>
      <w:r w:rsidR="00A534EF" w:rsidRPr="00F30C46">
        <w:t>regímenes</w:t>
      </w:r>
      <w:r w:rsidR="002F2AE4" w:rsidRPr="00F30C46">
        <w:t xml:space="preserve"> de </w:t>
      </w:r>
      <w:r w:rsidR="00991D71" w:rsidRPr="00F30C46">
        <w:t xml:space="preserve">Putin y </w:t>
      </w:r>
      <w:proofErr w:type="spellStart"/>
      <w:r w:rsidR="002F2AE4" w:rsidRPr="00F30C46">
        <w:t>Lukashenka</w:t>
      </w:r>
      <w:proofErr w:type="spellEnd"/>
      <w:r w:rsidR="002F2AE4" w:rsidRPr="00F30C46">
        <w:t>, en particular a la luz de la afluencia de miles de migrantes a Polonia</w:t>
      </w:r>
      <w:r w:rsidR="00991D71" w:rsidRPr="00F30C46">
        <w:t>, Lituania y Letonia que Rusia y Bielorrusia orquestan para forzar su paso a la Unión</w:t>
      </w:r>
      <w:r w:rsidR="002F2AE4" w:rsidRPr="00F30C46">
        <w:t xml:space="preserve">; </w:t>
      </w:r>
      <w:r w:rsidR="00991D71" w:rsidRPr="00F30C46">
        <w:t>lamenta la instrumentalización política de la migración por parte del régimen de Putin, lo que ha llevado al cierre de la frontera finlandesa con Rusia;</w:t>
      </w:r>
    </w:p>
    <w:p w14:paraId="01D48F91" w14:textId="77777777" w:rsidR="002F2AE4" w:rsidRPr="00F30C46" w:rsidRDefault="003969EB" w:rsidP="00991D71">
      <w:pPr>
        <w:pStyle w:val="NormalHanging12a"/>
        <w:widowControl/>
        <w:ind w:left="1134"/>
      </w:pPr>
      <w:r w:rsidRPr="00F30C46">
        <w:rPr>
          <w:szCs w:val="24"/>
        </w:rPr>
        <w:t>–</w:t>
      </w:r>
      <w:r w:rsidR="002F2AE4" w:rsidRPr="00F30C46">
        <w:tab/>
        <w:t>la participación ilegal de Corea del Norte en la guerra de agresión de Rusia contra Ucrania mediante el envío de equipos militares y munición a Rusia, así como el envío de miles de soldados para luchar contra Ucrania;</w:t>
      </w:r>
    </w:p>
    <w:p w14:paraId="52945024" w14:textId="77777777" w:rsidR="002F2AE4" w:rsidRPr="00F30C46" w:rsidRDefault="003969EB" w:rsidP="00991D71">
      <w:pPr>
        <w:pStyle w:val="NormalHanging12a"/>
        <w:widowControl/>
        <w:ind w:left="1134"/>
      </w:pPr>
      <w:r w:rsidRPr="00F30C46">
        <w:rPr>
          <w:szCs w:val="24"/>
        </w:rPr>
        <w:t>–</w:t>
      </w:r>
      <w:r w:rsidR="002F2AE4" w:rsidRPr="00F30C46">
        <w:tab/>
        <w:t xml:space="preserve">las continuas pruebas armamentísticas de Corea del Norte y el desarrollo de su programa nuclear, en violación de la resolución de las Naciones Unidas, y la intensificación de las tensiones en la región </w:t>
      </w:r>
      <w:proofErr w:type="spellStart"/>
      <w:r w:rsidR="002F2AE4" w:rsidRPr="00F30C46">
        <w:t>indopacífica</w:t>
      </w:r>
      <w:proofErr w:type="spellEnd"/>
      <w:r w:rsidR="002F2AE4" w:rsidRPr="00F30C46">
        <w:t>; pide que Corea del Norte abandone sus programas de armas de destrucción masiva y misiles balísticos de manera completa, verificable e irreversible; insta a las autoridades de Corea del Norte a que dejen de cometer crímenes de lesa humanidad y emprendan un proceso de reforma en el que se respeten y protejan todos los derechos humanos;</w:t>
      </w:r>
    </w:p>
    <w:p w14:paraId="1ED36434" w14:textId="77777777" w:rsidR="002F2AE4" w:rsidRPr="00F30C46" w:rsidRDefault="003969EB" w:rsidP="00991D71">
      <w:pPr>
        <w:pStyle w:val="NormalHanging12a"/>
        <w:widowControl/>
        <w:ind w:left="1134"/>
      </w:pPr>
      <w:r w:rsidRPr="00F30C46">
        <w:rPr>
          <w:szCs w:val="24"/>
        </w:rPr>
        <w:t>–</w:t>
      </w:r>
      <w:r w:rsidR="002F2AE4" w:rsidRPr="00F30C46">
        <w:tab/>
        <w:t>el aumento de las actividades malintencionadas, las injerencias y la guerra híbrida desplegadas por la Federación de Rusia, sus instituciones y sus agentes subsidiarios para socavar y subvertir la estabilidad democrática y la soberanía de Georgia y la República de Moldavia, y en particular la reciente injerencia en el referéndum constitucional sobre la adhesión a la Unión y en las elecciones presidenciales;</w:t>
      </w:r>
    </w:p>
    <w:p w14:paraId="2EB7D152" w14:textId="77777777" w:rsidR="002F2AE4" w:rsidRPr="00F30C46" w:rsidRDefault="003969EB" w:rsidP="00991D71">
      <w:pPr>
        <w:pStyle w:val="NormalHanging12a"/>
        <w:widowControl/>
        <w:ind w:left="1134"/>
      </w:pPr>
      <w:r w:rsidRPr="00F30C46">
        <w:rPr>
          <w:szCs w:val="24"/>
        </w:rPr>
        <w:t>–</w:t>
      </w:r>
      <w:r w:rsidR="002F2AE4" w:rsidRPr="00F30C46">
        <w:tab/>
        <w:t xml:space="preserve">el ataque contra agentes de policía kosovares por parte de paramilitares serbios bien organizados en </w:t>
      </w:r>
      <w:proofErr w:type="spellStart"/>
      <w:r w:rsidR="002F2AE4" w:rsidRPr="00F30C46">
        <w:t>Banjska</w:t>
      </w:r>
      <w:proofErr w:type="spellEnd"/>
      <w:r w:rsidR="002F2AE4" w:rsidRPr="00F30C46">
        <w:t>/</w:t>
      </w:r>
      <w:proofErr w:type="spellStart"/>
      <w:r w:rsidR="002F2AE4" w:rsidRPr="00F30C46">
        <w:t>Banjskë</w:t>
      </w:r>
      <w:proofErr w:type="spellEnd"/>
      <w:r w:rsidR="002F2AE4" w:rsidRPr="00F30C46">
        <w:t xml:space="preserve">, en el norte de Kosovo, el 24 de septiembre de 2023, que se saldó con la muerte del agente de policía kosovar </w:t>
      </w:r>
      <w:proofErr w:type="spellStart"/>
      <w:r w:rsidR="002F2AE4" w:rsidRPr="00F30C46">
        <w:t>Afrim</w:t>
      </w:r>
      <w:proofErr w:type="spellEnd"/>
      <w:r w:rsidR="002F2AE4" w:rsidRPr="00F30C46">
        <w:t xml:space="preserve"> </w:t>
      </w:r>
      <w:proofErr w:type="spellStart"/>
      <w:r w:rsidR="002F2AE4" w:rsidRPr="00F30C46">
        <w:t>Bunjaku</w:t>
      </w:r>
      <w:proofErr w:type="spellEnd"/>
      <w:r w:rsidR="002F2AE4" w:rsidRPr="00F30C46">
        <w:t xml:space="preserve"> y con otros dos agentes de policía kosovares heridos; condena el terrible atentado terrorista contra infraestructuras críticas cerca de </w:t>
      </w:r>
      <w:proofErr w:type="spellStart"/>
      <w:r w:rsidR="002F2AE4" w:rsidRPr="00F30C46">
        <w:t>Zubin</w:t>
      </w:r>
      <w:proofErr w:type="spellEnd"/>
      <w:r w:rsidR="002F2AE4" w:rsidRPr="00F30C46">
        <w:t xml:space="preserve"> </w:t>
      </w:r>
      <w:proofErr w:type="spellStart"/>
      <w:r w:rsidR="002F2AE4" w:rsidRPr="00F30C46">
        <w:t>Potok</w:t>
      </w:r>
      <w:proofErr w:type="spellEnd"/>
      <w:r w:rsidR="002F2AE4" w:rsidRPr="00F30C46">
        <w:t>; subraya que los autores de estos deplorables atentados deben rendir cuentas y ser llevados ante la justicia sin demora;</w:t>
      </w:r>
    </w:p>
    <w:p w14:paraId="5CE5F3A1" w14:textId="77777777" w:rsidR="00E95B51" w:rsidRPr="00F30C46" w:rsidRDefault="00E95B51" w:rsidP="00991D71">
      <w:pPr>
        <w:pStyle w:val="NormalHanging12a"/>
        <w:widowControl/>
        <w:ind w:left="1134"/>
      </w:pPr>
      <w:r w:rsidRPr="00F30C46">
        <w:lastRenderedPageBreak/>
        <w:t>–</w:t>
      </w:r>
      <w:r w:rsidRPr="00F30C46">
        <w:tab/>
        <w:t>la ocupación continuada y, con arreglo a lo establecido en el Derecho internacional, ilegal, por parte de Turquía, —país miembro de la OTAN—, del 37 % de Chipre, Estado miembro de la Unión;</w:t>
      </w:r>
    </w:p>
    <w:p w14:paraId="7CC05435" w14:textId="0C87B883" w:rsidR="002F2AE4" w:rsidRPr="00F30C46" w:rsidRDefault="003969EB" w:rsidP="00991D71">
      <w:pPr>
        <w:pStyle w:val="NormalHanging12a"/>
        <w:widowControl/>
        <w:ind w:left="1134"/>
      </w:pPr>
      <w:r w:rsidRPr="00F30C46">
        <w:rPr>
          <w:szCs w:val="24"/>
        </w:rPr>
        <w:t>–</w:t>
      </w:r>
      <w:r w:rsidR="002F2AE4" w:rsidRPr="00F30C46">
        <w:tab/>
        <w:t>los brutales e indiscriminados atentados terroristas perpetrados por Hamás en todo Israel el 7 de octubre de 2023, que desencadenaron una respuesta militar israelí y un conflicto en Gaza con efectos devastadores en la población civil que ha provocado una situación humanitaria catastrófica;</w:t>
      </w:r>
    </w:p>
    <w:p w14:paraId="796B6498" w14:textId="77777777" w:rsidR="002F2AE4" w:rsidRPr="00F30C46" w:rsidRDefault="003969EB" w:rsidP="00991D71">
      <w:pPr>
        <w:pStyle w:val="NormalHanging12a"/>
        <w:widowControl/>
        <w:ind w:left="1134"/>
      </w:pPr>
      <w:r w:rsidRPr="00F30C46">
        <w:rPr>
          <w:szCs w:val="24"/>
        </w:rPr>
        <w:t>–</w:t>
      </w:r>
      <w:r w:rsidR="002F2AE4" w:rsidRPr="00F30C46">
        <w:tab/>
        <w:t>el hecho de que Hamás haya tomado y siga reteniendo como rehenes a personas inocentes, incluidas mujeres y niños, y pide la liberación incondicional e inmediata de los rehenes;</w:t>
      </w:r>
    </w:p>
    <w:p w14:paraId="27FF186D" w14:textId="77777777" w:rsidR="002F2AE4" w:rsidRPr="00F30C46" w:rsidRDefault="003969EB" w:rsidP="00991D71">
      <w:pPr>
        <w:pStyle w:val="NormalHanging12a"/>
        <w:widowControl/>
        <w:ind w:left="1134"/>
      </w:pPr>
      <w:r w:rsidRPr="00F30C46">
        <w:rPr>
          <w:szCs w:val="24"/>
        </w:rPr>
        <w:t>–</w:t>
      </w:r>
      <w:r w:rsidR="002F2AE4" w:rsidRPr="00F30C46">
        <w:tab/>
        <w:t xml:space="preserve">el avivamiento deliberado y malintencionado de una situación excepcionalmente tensa, mediante repetidos ataques dirigidos contra Israel desde el 7 de octubre de 2023, por parte de agentes estatales y no estatales de la región, siendo Irán el principal instigador, así como los </w:t>
      </w:r>
      <w:proofErr w:type="spellStart"/>
      <w:r w:rsidR="002F2AE4" w:rsidRPr="00F30C46">
        <w:t>huzíes</w:t>
      </w:r>
      <w:proofErr w:type="spellEnd"/>
      <w:r w:rsidR="002F2AE4" w:rsidRPr="00F30C46">
        <w:t xml:space="preserve"> en Yemen e </w:t>
      </w:r>
      <w:proofErr w:type="spellStart"/>
      <w:r w:rsidR="002F2AE4" w:rsidRPr="00F30C46">
        <w:t>Hizbulá</w:t>
      </w:r>
      <w:proofErr w:type="spellEnd"/>
      <w:r w:rsidR="002F2AE4" w:rsidRPr="00F30C46">
        <w:t xml:space="preserve"> en el Líbano, que actúan como algunos de sus agentes subsidiarios;</w:t>
      </w:r>
    </w:p>
    <w:p w14:paraId="0058D529" w14:textId="77777777" w:rsidR="002F2AE4" w:rsidRPr="00F30C46" w:rsidRDefault="003969EB" w:rsidP="00991D71">
      <w:pPr>
        <w:pStyle w:val="NormalHanging12a"/>
        <w:widowControl/>
        <w:ind w:left="1134"/>
      </w:pPr>
      <w:r w:rsidRPr="00F30C46">
        <w:rPr>
          <w:szCs w:val="24"/>
        </w:rPr>
        <w:t>–</w:t>
      </w:r>
      <w:r w:rsidR="002F2AE4" w:rsidRPr="00F30C46">
        <w:tab/>
        <w:t>el persistente incumplimiento por Irán de sus obligaciones legales de control en el marco de su acuerdo de salvaguardias amplias y de sus compromisos en virtud del Plan de Acción Integral Conjunto (</w:t>
      </w:r>
      <w:proofErr w:type="spellStart"/>
      <w:r w:rsidR="002F2AE4" w:rsidRPr="00F30C46">
        <w:t>PAIC</w:t>
      </w:r>
      <w:proofErr w:type="spellEnd"/>
      <w:r w:rsidR="002F2AE4" w:rsidRPr="00F30C46">
        <w:t>); condena asimismo el avance de su programa nuclear más allá de toda justificación civil creíble y la consiguiente desestabilización de Oriente Próximo, incluso a través de agentes subsidiarios, por ejemplo, mediante atentados contra Israel y el patrocinio del terrorismo y los conflictos civiles, así como los atentados o intentos de atentado en la Unión por organizaciones y redes terroristas afiliadas a Irán;</w:t>
      </w:r>
    </w:p>
    <w:p w14:paraId="6AF624EA" w14:textId="77777777" w:rsidR="002F2AE4" w:rsidRPr="00F30C46" w:rsidRDefault="003969EB" w:rsidP="00991D71">
      <w:pPr>
        <w:pStyle w:val="NormalHanging12a"/>
        <w:widowControl/>
        <w:ind w:left="1134"/>
      </w:pPr>
      <w:r w:rsidRPr="00F30C46">
        <w:rPr>
          <w:szCs w:val="24"/>
        </w:rPr>
        <w:t>–</w:t>
      </w:r>
      <w:r w:rsidR="002F2AE4" w:rsidRPr="00F30C46">
        <w:tab/>
        <w:t xml:space="preserve">la detención indebida de ciudadanos europeos en Irán, la ejecución del ciudadano europeo de doble nacionalidad germano-iraní </w:t>
      </w:r>
      <w:proofErr w:type="spellStart"/>
      <w:r w:rsidR="002F2AE4" w:rsidRPr="00F30C46">
        <w:t>Jamshid</w:t>
      </w:r>
      <w:proofErr w:type="spellEnd"/>
      <w:r w:rsidR="002F2AE4" w:rsidRPr="00F30C46">
        <w:t xml:space="preserve"> </w:t>
      </w:r>
      <w:proofErr w:type="spellStart"/>
      <w:r w:rsidR="002F2AE4" w:rsidRPr="00F30C46">
        <w:t>Sharmahd</w:t>
      </w:r>
      <w:proofErr w:type="spellEnd"/>
      <w:r w:rsidR="002F2AE4" w:rsidRPr="00F30C46">
        <w:t xml:space="preserve">, el 29 de octubre de 2024, y la brutal opresión del pueblo iraní, en particular de las mujeres; reitera su apoyo inquebrantable a las mujeres de Irán, que siguen sometidas a graves violaciones de sus derechos fundamentales, dos años después de la brutal represión del movimiento «Mujeres, Vida, Libertad»; insta a la </w:t>
      </w:r>
      <w:proofErr w:type="spellStart"/>
      <w:r w:rsidR="002F2AE4" w:rsidRPr="00F30C46">
        <w:t>VP</w:t>
      </w:r>
      <w:proofErr w:type="spellEnd"/>
      <w:r w:rsidR="002F2AE4" w:rsidRPr="00F30C46">
        <w:t>/AR a que haga todo lo posible para lograr la puesta en libertad de estos ciudadanos y poner fin a la práctica iraní de la diplomacia de los rehenes, que se vale de la detención de civiles extranjeros y personas con doble nacionalidad</w:t>
      </w:r>
      <w:r w:rsidR="00E95B51" w:rsidRPr="00F30C46">
        <w:t>, y anima a los Estados miembros a que recomienden a sus ciudadanos que se abstengan de viajar a Irán</w:t>
      </w:r>
      <w:r w:rsidR="002F2AE4" w:rsidRPr="00F30C46">
        <w:t>;</w:t>
      </w:r>
    </w:p>
    <w:p w14:paraId="7FF3067D" w14:textId="77777777" w:rsidR="002F2AE4" w:rsidRPr="00F30C46" w:rsidRDefault="003969EB" w:rsidP="00991D71">
      <w:pPr>
        <w:pStyle w:val="NormalHanging12a"/>
        <w:widowControl/>
        <w:ind w:left="1134"/>
      </w:pPr>
      <w:r w:rsidRPr="00F30C46">
        <w:rPr>
          <w:szCs w:val="24"/>
        </w:rPr>
        <w:t>–</w:t>
      </w:r>
      <w:r w:rsidR="002F2AE4" w:rsidRPr="00F30C46">
        <w:tab/>
        <w:t>la creciente cooperación militar entre Irán y Rusia, en particular por la intención de firmar un tratado sobre una asociación estratégica global, y el suministro por Irán de drones y misiles balísticos a Rusia para que los utilice contra Ucrania y su población;</w:t>
      </w:r>
    </w:p>
    <w:p w14:paraId="294CDDC7" w14:textId="77777777" w:rsidR="002F2AE4" w:rsidRPr="00F30C46" w:rsidRDefault="003969EB" w:rsidP="00991D71">
      <w:pPr>
        <w:pStyle w:val="NormalHanging12a"/>
        <w:widowControl/>
        <w:ind w:left="1134"/>
      </w:pPr>
      <w:r w:rsidRPr="00F30C46">
        <w:rPr>
          <w:szCs w:val="24"/>
        </w:rPr>
        <w:t>–</w:t>
      </w:r>
      <w:r w:rsidR="002F2AE4" w:rsidRPr="00F30C46">
        <w:tab/>
        <w:t xml:space="preserve">la reciente aprobación de la ley sobre la «promoción de la virtud y la prevención del vicio» en Afganistán, así como la violación sistemática de los derechos humanos y las libertades fundamentales, en particular la interpretación extrema de la </w:t>
      </w:r>
      <w:proofErr w:type="spellStart"/>
      <w:r w:rsidR="002F2AE4" w:rsidRPr="00F30C46">
        <w:t>sharía</w:t>
      </w:r>
      <w:proofErr w:type="spellEnd"/>
      <w:r w:rsidR="002F2AE4" w:rsidRPr="00F30C46">
        <w:t xml:space="preserve">, que elimina a las mujeres de la vida pública, les prohíbe trabajar y obstaculiza su acceso a todo espacio público, si no cuentan con la supervisión de un familiar varón, y a la educación más allá del sexto grado, lo que equivale a un </w:t>
      </w:r>
      <w:r w:rsidR="002F2AE4" w:rsidRPr="00F30C46">
        <w:rPr>
          <w:i/>
          <w:iCs/>
        </w:rPr>
        <w:t>apartheid</w:t>
      </w:r>
      <w:r w:rsidR="002F2AE4" w:rsidRPr="00F30C46">
        <w:t xml:space="preserve"> de género; exige a las autoridades </w:t>
      </w:r>
      <w:r w:rsidR="002F2AE4" w:rsidRPr="00F30C46">
        <w:rPr>
          <w:i/>
          <w:iCs/>
        </w:rPr>
        <w:t>de facto</w:t>
      </w:r>
      <w:r w:rsidR="002F2AE4" w:rsidRPr="00F30C46">
        <w:t xml:space="preserve"> de Afganistán que procedan a la abolición de todas las restricciones de género sobre las mujeres y subraya que </w:t>
      </w:r>
      <w:r w:rsidR="002F2AE4" w:rsidRPr="00F30C46">
        <w:lastRenderedPageBreak/>
        <w:t xml:space="preserve">esto debe ser una condición indispensable para cualquier interacción de la comunidad internacional con los talibanes; insiste en mantener una interacción estricta y condicional con los talibanes sobre la base de los cinco criterios de referencia establecidos por el Consejo para colaborar con las autoridades </w:t>
      </w:r>
      <w:r w:rsidR="002F2AE4" w:rsidRPr="00F30C46">
        <w:rPr>
          <w:i/>
          <w:iCs/>
        </w:rPr>
        <w:t>de facto</w:t>
      </w:r>
      <w:r w:rsidR="002F2AE4" w:rsidRPr="00F30C46">
        <w:t xml:space="preserve"> y exigir responsabilidades a los autores de estas graves violaciones de los derechos de niñas y mujeres, también mediante medidas restrictivas;</w:t>
      </w:r>
    </w:p>
    <w:p w14:paraId="04E4D238" w14:textId="77777777" w:rsidR="002F2AE4" w:rsidRPr="00F30C46" w:rsidRDefault="003969EB" w:rsidP="00991D71">
      <w:pPr>
        <w:pStyle w:val="NormalHanging12a"/>
        <w:widowControl/>
        <w:ind w:left="1134"/>
      </w:pPr>
      <w:r w:rsidRPr="00F30C46">
        <w:rPr>
          <w:szCs w:val="24"/>
        </w:rPr>
        <w:t>–</w:t>
      </w:r>
      <w:r w:rsidR="002F2AE4" w:rsidRPr="00F30C46">
        <w:tab/>
        <w:t xml:space="preserve">la creciente amplitud e intensidad de las operaciones, incluidos los ciberataques y la manipulación de la información por agentes extranjeros, del Gobierno chino, así como las operaciones navales y aéreas en un intento de intimidar a los países vecinos de China, operaciones que violan la paz y la estabilidad en el estrecho de Taiwán y en las aguas internacionales circundantes e impiden los derechos de libertad de navegación de todas las demás partes; condena enérgicamente las declaraciones del presidente chino de que la República Popular China nunca renunciará al derecho a utilizar la fuerza con respecto a Taiwán, e insiste en que el uso de medidas coercitivas para lograr la unificación es contrario al Derecho internacional; </w:t>
      </w:r>
    </w:p>
    <w:p w14:paraId="5961674A" w14:textId="6854359E" w:rsidR="002F2AE4" w:rsidRPr="00F30C46" w:rsidRDefault="003969EB" w:rsidP="00991D71">
      <w:pPr>
        <w:pStyle w:val="NormalHanging12a"/>
        <w:widowControl/>
        <w:ind w:left="1134"/>
      </w:pPr>
      <w:r w:rsidRPr="00F30C46">
        <w:rPr>
          <w:szCs w:val="24"/>
        </w:rPr>
        <w:t>–</w:t>
      </w:r>
      <w:r w:rsidR="002F2AE4" w:rsidRPr="00F30C46">
        <w:tab/>
        <w:t xml:space="preserve">el sistema de trabajo forzoso dirigido por el Gobierno y las persistentes violaciones de los derechos humanos, en particular la represión sistemática de los uigures en la provincia de </w:t>
      </w:r>
      <w:proofErr w:type="spellStart"/>
      <w:r w:rsidR="002F2AE4" w:rsidRPr="00F30C46">
        <w:t>Xinjiang</w:t>
      </w:r>
      <w:proofErr w:type="spellEnd"/>
      <w:r w:rsidR="002F2AE4" w:rsidRPr="00F30C46">
        <w:t>; observa con preocupación la intensa represión de las minorías étnicas en el Tíbet, Hong Kong y Macao y la represión transnacional de los disidentes chinos, así como la persistente presencia de agentes de policía chinos en el territorio de la Unión; afirma que ha tomado nota de que la República Popular China (</w:t>
      </w:r>
      <w:proofErr w:type="spellStart"/>
      <w:r w:rsidR="002F2AE4" w:rsidRPr="00F30C46">
        <w:t>RPC</w:t>
      </w:r>
      <w:proofErr w:type="spellEnd"/>
      <w:r w:rsidR="002F2AE4" w:rsidRPr="00F30C46">
        <w:t xml:space="preserve">) no aplica las recomendaciones de la Oficina del Alto Comisionado de las Naciones Unidas para los Derechos Humanos (ACNUDH), y lo lamenta; pide a la </w:t>
      </w:r>
      <w:proofErr w:type="spellStart"/>
      <w:r w:rsidR="002F2AE4" w:rsidRPr="00F30C46">
        <w:t>RPC</w:t>
      </w:r>
      <w:proofErr w:type="spellEnd"/>
      <w:r w:rsidR="002F2AE4" w:rsidRPr="00F30C46">
        <w:t xml:space="preserve"> que permita a la ACNUDH acceder independientemente a la </w:t>
      </w:r>
      <w:r w:rsidR="002F2AE4" w:rsidRPr="00F30C46">
        <w:rPr>
          <w:rStyle w:val="Emphasis"/>
          <w:shd w:val="clear" w:color="auto" w:fill="FFFFFF"/>
        </w:rPr>
        <w:t xml:space="preserve">Región Autónoma Uigur de </w:t>
      </w:r>
      <w:proofErr w:type="spellStart"/>
      <w:r w:rsidR="002F2AE4" w:rsidRPr="00F30C46">
        <w:rPr>
          <w:rStyle w:val="Emphasis"/>
          <w:shd w:val="clear" w:color="auto" w:fill="FFFFFF"/>
        </w:rPr>
        <w:t>Xinjiang</w:t>
      </w:r>
      <w:proofErr w:type="spellEnd"/>
      <w:r w:rsidR="002F2AE4" w:rsidRPr="00F30C46">
        <w:t xml:space="preserve">, y le solicita que publique una actualización exhaustiva de la situación y un plan de acción para que la </w:t>
      </w:r>
      <w:proofErr w:type="spellStart"/>
      <w:r w:rsidR="002F2AE4" w:rsidRPr="00F30C46">
        <w:t>RPC</w:t>
      </w:r>
      <w:proofErr w:type="spellEnd"/>
      <w:r w:rsidR="002F2AE4" w:rsidRPr="00F30C46">
        <w:t xml:space="preserve"> rinda cuentas;</w:t>
      </w:r>
      <w:r w:rsidR="00E95B51" w:rsidRPr="00F30C46">
        <w:t xml:space="preserve"> pide a todos los Estados miembros que suspendan los tratados de extradición con Hong Kong y la República Popular China y que protejan a las personas acosadas y perseguidas;</w:t>
      </w:r>
    </w:p>
    <w:p w14:paraId="08C45D86" w14:textId="77777777" w:rsidR="002F2AE4" w:rsidRPr="00F30C46" w:rsidRDefault="003969EB" w:rsidP="00991D71">
      <w:pPr>
        <w:pStyle w:val="NormalHanging12a"/>
        <w:widowControl/>
        <w:ind w:left="1134"/>
      </w:pPr>
      <w:r w:rsidRPr="00F30C46">
        <w:rPr>
          <w:szCs w:val="24"/>
        </w:rPr>
        <w:t>–</w:t>
      </w:r>
      <w:r w:rsidR="002F2AE4" w:rsidRPr="00F30C46">
        <w:t xml:space="preserve"> </w:t>
      </w:r>
      <w:r w:rsidR="002F2AE4" w:rsidRPr="00F30C46">
        <w:tab/>
        <w:t xml:space="preserve">el deterioro de la estabilidad en el </w:t>
      </w:r>
      <w:proofErr w:type="spellStart"/>
      <w:r w:rsidR="002F2AE4" w:rsidRPr="00F30C46">
        <w:t>Sahel</w:t>
      </w:r>
      <w:proofErr w:type="spellEnd"/>
      <w:r w:rsidR="002F2AE4" w:rsidRPr="00F30C46">
        <w:t xml:space="preserve">, agravado por los numerosos golpes militares en la región en los últimos años; recuerda que la estabilidad del </w:t>
      </w:r>
      <w:proofErr w:type="spellStart"/>
      <w:r w:rsidR="002F2AE4" w:rsidRPr="00F30C46">
        <w:t>Sahel</w:t>
      </w:r>
      <w:proofErr w:type="spellEnd"/>
      <w:r w:rsidR="002F2AE4" w:rsidRPr="00F30C46">
        <w:t xml:space="preserve"> tiene repercusiones directas para la seguridad de las fronteras exteriores de Europa y la gestión de los flujos migratorios irregulares procedentes del continente africano; subraya que la Unión debe revisar urgentemente su estrategia regional para el </w:t>
      </w:r>
      <w:proofErr w:type="spellStart"/>
      <w:r w:rsidR="002F2AE4" w:rsidRPr="00F30C46">
        <w:t>Sahel</w:t>
      </w:r>
      <w:proofErr w:type="spellEnd"/>
      <w:r w:rsidR="002F2AE4" w:rsidRPr="00F30C46">
        <w:t>;</w:t>
      </w:r>
    </w:p>
    <w:p w14:paraId="704496C6" w14:textId="77777777" w:rsidR="002F2AE4" w:rsidRPr="00F30C46" w:rsidRDefault="003969EB" w:rsidP="00991D71">
      <w:pPr>
        <w:pStyle w:val="NormalHanging12a"/>
        <w:widowControl/>
        <w:ind w:left="1134"/>
      </w:pPr>
      <w:r w:rsidRPr="00F30C46">
        <w:rPr>
          <w:szCs w:val="24"/>
        </w:rPr>
        <w:t>–</w:t>
      </w:r>
      <w:r w:rsidR="002F2AE4" w:rsidRPr="00F30C46">
        <w:tab/>
        <w:t xml:space="preserve">los golpes de Estado en Burkina Faso y en Níger, con la detención del presidente </w:t>
      </w:r>
      <w:proofErr w:type="spellStart"/>
      <w:r w:rsidR="002F2AE4" w:rsidRPr="00F30C46">
        <w:t>Bazoum</w:t>
      </w:r>
      <w:proofErr w:type="spellEnd"/>
      <w:r w:rsidR="002F2AE4" w:rsidRPr="00F30C46">
        <w:t xml:space="preserve"> y la suspensión de la Constitución; expresa su creciente preocupación por la decisión de los regímenes militares del </w:t>
      </w:r>
      <w:proofErr w:type="spellStart"/>
      <w:r w:rsidR="002F2AE4" w:rsidRPr="00F30C46">
        <w:t>Sahel</w:t>
      </w:r>
      <w:proofErr w:type="spellEnd"/>
      <w:r w:rsidR="002F2AE4" w:rsidRPr="00F30C46">
        <w:t xml:space="preserve"> central (Burkina Faso, Mali y Níger) de abandonar la Comunidad Económica de los Estados del África Occidental (</w:t>
      </w:r>
      <w:proofErr w:type="spellStart"/>
      <w:r w:rsidR="002F2AE4" w:rsidRPr="00F30C46">
        <w:t>CEDEAO</w:t>
      </w:r>
      <w:proofErr w:type="spellEnd"/>
      <w:r w:rsidR="002F2AE4" w:rsidRPr="00F30C46">
        <w:t xml:space="preserve">), sumiendo así a la </w:t>
      </w:r>
      <w:proofErr w:type="spellStart"/>
      <w:r w:rsidR="002F2AE4" w:rsidRPr="00F30C46">
        <w:t>CEDEAO</w:t>
      </w:r>
      <w:proofErr w:type="spellEnd"/>
      <w:r w:rsidR="002F2AE4" w:rsidRPr="00F30C46">
        <w:t xml:space="preserve"> en una profunda crisis política; condena, además, la agresión física perpetrada el 29 de septiembre de 2024 contra un parlamentario de la </w:t>
      </w:r>
      <w:proofErr w:type="spellStart"/>
      <w:r w:rsidR="002F2AE4" w:rsidRPr="00F30C46">
        <w:t>CEDEAO</w:t>
      </w:r>
      <w:proofErr w:type="spellEnd"/>
      <w:r w:rsidR="002F2AE4" w:rsidRPr="00F30C46">
        <w:t xml:space="preserve"> y otros participantes en una manifestación de la oposición oficialmente declarada en Lomé; pide a las autoridades togolesas que garanticen la promoción y la protección de los principios fundamentales de los derechos humanos y de los pueblos consagrados en el artículo 4 del Tratado revisado de la </w:t>
      </w:r>
      <w:proofErr w:type="spellStart"/>
      <w:r w:rsidR="002F2AE4" w:rsidRPr="00F30C46">
        <w:t>CEDEAO</w:t>
      </w:r>
      <w:proofErr w:type="spellEnd"/>
      <w:r w:rsidR="002F2AE4" w:rsidRPr="00F30C46">
        <w:t xml:space="preserve">, como el derecho a la libertad de reunión pacífica, asociación, creencia y expresión; pide a las autoridades de la </w:t>
      </w:r>
      <w:proofErr w:type="spellStart"/>
      <w:r w:rsidR="002F2AE4" w:rsidRPr="00F30C46">
        <w:lastRenderedPageBreak/>
        <w:t>CEDEAO</w:t>
      </w:r>
      <w:proofErr w:type="spellEnd"/>
      <w:r w:rsidR="002F2AE4" w:rsidRPr="00F30C46">
        <w:t xml:space="preserve"> y a sus Estados miembros que apoyen los esfuerzos necesarios para salvaguardar los principios de la Carta Africana sobre los Derechos Humanos y de los Pueblos en toda la subregión; toma nota de la finalización de la Misión de Cooperación Militar de la Unión Europea en Níger (</w:t>
      </w:r>
      <w:proofErr w:type="spellStart"/>
      <w:r w:rsidR="002F2AE4" w:rsidRPr="00F30C46">
        <w:t>EUMPM</w:t>
      </w:r>
      <w:proofErr w:type="spellEnd"/>
      <w:r w:rsidR="002F2AE4" w:rsidRPr="00F30C46">
        <w:t xml:space="preserve"> Níger) y de la Misión de la Unión Europea de Desarrollo de las Capacidades en Níger (</w:t>
      </w:r>
      <w:proofErr w:type="spellStart"/>
      <w:r w:rsidR="002F2AE4" w:rsidRPr="00F30C46">
        <w:t>EUCAP</w:t>
      </w:r>
      <w:proofErr w:type="spellEnd"/>
      <w:r w:rsidR="002F2AE4" w:rsidRPr="00F30C46">
        <w:t xml:space="preserve"> </w:t>
      </w:r>
      <w:proofErr w:type="spellStart"/>
      <w:r w:rsidR="002F2AE4" w:rsidRPr="00F30C46">
        <w:t>Sahel</w:t>
      </w:r>
      <w:proofErr w:type="spellEnd"/>
      <w:r w:rsidR="002F2AE4" w:rsidRPr="00F30C46">
        <w:t xml:space="preserve"> Níger) y de la no renovación de la Misión de Formación de la Unión Europea en Mali (</w:t>
      </w:r>
      <w:proofErr w:type="spellStart"/>
      <w:r w:rsidR="002F2AE4" w:rsidRPr="00F30C46">
        <w:t>EUTM</w:t>
      </w:r>
      <w:proofErr w:type="spellEnd"/>
      <w:r w:rsidR="002F2AE4" w:rsidRPr="00F30C46">
        <w:t xml:space="preserve"> Mali); observa con preocupación cómo Rusia ha intensificado el desarrollo de las relaciones de Estado a Estado y las iniciativas de cooperación con los Estados africanos mediante la cooperación militar y el compromiso de cooperar en el desarrollo de la energía nuclear; condena el aumento de los atentados terroristas y las graves pérdidas civiles en el </w:t>
      </w:r>
      <w:proofErr w:type="spellStart"/>
      <w:r w:rsidR="002F2AE4" w:rsidRPr="00F30C46">
        <w:t>Sahel</w:t>
      </w:r>
      <w:proofErr w:type="spellEnd"/>
      <w:r w:rsidR="002F2AE4" w:rsidRPr="00F30C46">
        <w:t xml:space="preserve">, así como la presencia y las actividades depredadoras de paramilitares rusos, que han provocado el desplazamiento de la población y una afluencia de refugiados, también a causa de la inestabilidad en la región; lamenta que el vacío que han dejado las fuerzas de mantenimiento de la paz de las Naciones Unidas lo hayan llenado mercenarios del Grupo Wagner y militares rusos y turcos, cuyas industrias suministran armas a las capitales </w:t>
      </w:r>
      <w:proofErr w:type="spellStart"/>
      <w:r w:rsidR="002F2AE4" w:rsidRPr="00F30C46">
        <w:t>sahelianas</w:t>
      </w:r>
      <w:proofErr w:type="spellEnd"/>
      <w:r w:rsidR="002F2AE4" w:rsidRPr="00F30C46">
        <w:t>;</w:t>
      </w:r>
    </w:p>
    <w:p w14:paraId="12591382" w14:textId="77777777" w:rsidR="002F2AE4" w:rsidRPr="00F30C46" w:rsidRDefault="003969EB" w:rsidP="00991D71">
      <w:pPr>
        <w:pStyle w:val="NormalHanging12a"/>
        <w:widowControl/>
        <w:ind w:left="1134"/>
      </w:pPr>
      <w:r w:rsidRPr="00F30C46">
        <w:rPr>
          <w:szCs w:val="24"/>
        </w:rPr>
        <w:t>–</w:t>
      </w:r>
      <w:r w:rsidR="002F2AE4" w:rsidRPr="00F30C46">
        <w:tab/>
        <w:t>la guerra civil en Sudán, las consecuencias devastadoras para la población civil, las atrocidades cometidas contra ella y, en particular, el despreciable uso a gran escala de la violación como arma de guerra;</w:t>
      </w:r>
    </w:p>
    <w:p w14:paraId="7E4E1327" w14:textId="77777777" w:rsidR="002F2AE4" w:rsidRPr="00F30C46" w:rsidRDefault="003969EB" w:rsidP="00991D71">
      <w:pPr>
        <w:pStyle w:val="NormalHanging12a"/>
        <w:widowControl/>
        <w:ind w:left="1134"/>
      </w:pPr>
      <w:r w:rsidRPr="00F30C46">
        <w:rPr>
          <w:szCs w:val="24"/>
        </w:rPr>
        <w:t>–</w:t>
      </w:r>
      <w:r w:rsidR="002F2AE4" w:rsidRPr="00F30C46">
        <w:tab/>
        <w:t>las limitaciones tácticas y técnicas de última hora impuestas por las autoridades de la República Democrática del Congo (</w:t>
      </w:r>
      <w:proofErr w:type="spellStart"/>
      <w:r w:rsidR="002F2AE4" w:rsidRPr="00F30C46">
        <w:t>RDC</w:t>
      </w:r>
      <w:proofErr w:type="spellEnd"/>
      <w:r w:rsidR="002F2AE4" w:rsidRPr="00F30C46">
        <w:t xml:space="preserve">), que impidieron a la misión de observación electoral de la UE supervisar las elecciones presidenciales; condena la violencia cometida por el movimiento rebelde M23, respaldado por Ruanda, que desestabiliza el este de la </w:t>
      </w:r>
      <w:proofErr w:type="spellStart"/>
      <w:r w:rsidR="002F2AE4" w:rsidRPr="00F30C46">
        <w:t>RDC</w:t>
      </w:r>
      <w:proofErr w:type="spellEnd"/>
      <w:r w:rsidR="002F2AE4" w:rsidRPr="00F30C46">
        <w:t>; pide que se revise la estrategia de la Unión para la región de los Grandes Lagos;</w:t>
      </w:r>
    </w:p>
    <w:p w14:paraId="1441B076" w14:textId="77777777" w:rsidR="002F2AE4" w:rsidRPr="00F30C46" w:rsidRDefault="003969EB" w:rsidP="00991D71">
      <w:pPr>
        <w:pStyle w:val="NormalHanging12a"/>
        <w:widowControl/>
        <w:ind w:left="1134"/>
      </w:pPr>
      <w:r w:rsidRPr="00F30C46">
        <w:rPr>
          <w:szCs w:val="24"/>
        </w:rPr>
        <w:t>–</w:t>
      </w:r>
      <w:r w:rsidR="002F2AE4" w:rsidRPr="00F30C46">
        <w:tab/>
        <w:t xml:space="preserve">el régimen autoritario de Daniel Ortega y Rosario Murillo, que están debilitando sistemáticamente las estructuras democráticas de Nicaragua; recuerda que el régimen de Nicaragua mantiene fuertes vínculos con otras autocracias, como las de Irán, Venezuela y Cuba; condena las violaciones y abusos sistemáticos de los derechos humanos perpetrados por el régimen cubano; condena con firmeza y rechaza plenamente el fraude electoral orquestado por el régimen de Venezuela y exige que el Gobierno de Maduro ponga fin a su estrategia de represión y ataques contra la sociedad civil y la oposición; recuerda que, el 19 de septiembre de 2024, el Parlamento reconoció a Edmundo González Urrutia como presidente legítimo y democráticamente elegido de Venezuela, y a María Corina Machado como líder de las fuerzas democráticas de Venezuela; destaca que varios Estados democráticos de la región y de todo el mundo han reconocido a González como presidente electo; recuerda que González debería haber prestado juramento el 10 de enero de 2025; expresa su satisfacción por el hecho de que, el 17 de diciembre de 2024, el Parlamento otorgó el Premio </w:t>
      </w:r>
      <w:proofErr w:type="spellStart"/>
      <w:r w:rsidR="002F2AE4" w:rsidRPr="00F30C46">
        <w:t>Sájarov</w:t>
      </w:r>
      <w:proofErr w:type="spellEnd"/>
      <w:r w:rsidR="002F2AE4" w:rsidRPr="00F30C46">
        <w:t xml:space="preserve"> a la Libertad de Conciencia 2024 a María Corina Machado, como líder de las fuerzas democráticas de Venezuela, y a Edmundo González Urrutia, presidente electo, en representación de todos los venezolanos dentro y fuera del país que luchan por la restauración de la libertad y la democracia;</w:t>
      </w:r>
    </w:p>
    <w:p w14:paraId="371B6AEC" w14:textId="77777777" w:rsidR="002F2AE4" w:rsidRPr="00F30C46" w:rsidRDefault="003969EB" w:rsidP="00991D71">
      <w:pPr>
        <w:pStyle w:val="NormalHanging12a"/>
        <w:widowControl/>
        <w:ind w:left="1134"/>
      </w:pPr>
      <w:r w:rsidRPr="00F30C46">
        <w:rPr>
          <w:szCs w:val="24"/>
        </w:rPr>
        <w:t>–</w:t>
      </w:r>
      <w:r w:rsidR="002F2AE4" w:rsidRPr="00F30C46">
        <w:tab/>
        <w:t xml:space="preserve">el empleo de la «brigada médica cubana» en algunos países europeos como una forma de vulneración de los derechos y libertades fundamentales y una forma de esclavitud y trabajo forzado; </w:t>
      </w:r>
    </w:p>
    <w:p w14:paraId="31E1A139" w14:textId="77777777" w:rsidR="002F2AE4" w:rsidRPr="00F30C46" w:rsidRDefault="003969EB" w:rsidP="00991D71">
      <w:pPr>
        <w:pStyle w:val="NormalHanging12a"/>
        <w:widowControl/>
        <w:ind w:left="1134"/>
      </w:pPr>
      <w:r w:rsidRPr="00F30C46">
        <w:rPr>
          <w:szCs w:val="24"/>
        </w:rPr>
        <w:lastRenderedPageBreak/>
        <w:t>–</w:t>
      </w:r>
      <w:r w:rsidR="002F2AE4" w:rsidRPr="00F30C46">
        <w:tab/>
        <w:t>el riesgo de colapso de las estructuras estatales y la difícil situación humanitaria en Haití debido a la violencia desenfrenada de las bandas;</w:t>
      </w:r>
    </w:p>
    <w:p w14:paraId="37F2D81B" w14:textId="77777777" w:rsidR="002F2AE4" w:rsidRPr="00F30C46" w:rsidRDefault="003969EB" w:rsidP="00991D71">
      <w:pPr>
        <w:pStyle w:val="NormalHanging12a"/>
        <w:widowControl/>
        <w:ind w:left="1134"/>
      </w:pPr>
      <w:r w:rsidRPr="00F30C46">
        <w:rPr>
          <w:szCs w:val="24"/>
        </w:rPr>
        <w:t>–</w:t>
      </w:r>
      <w:r w:rsidR="002F2AE4" w:rsidRPr="00F30C46">
        <w:tab/>
        <w:t xml:space="preserve">el hecho de que la </w:t>
      </w:r>
      <w:proofErr w:type="spellStart"/>
      <w:r w:rsidR="002F2AE4" w:rsidRPr="00F30C46">
        <w:t>RPC</w:t>
      </w:r>
      <w:proofErr w:type="spellEnd"/>
      <w:r w:rsidR="002F2AE4" w:rsidRPr="00F30C46">
        <w:t>, Rusia, Irán y otros regímenes totalitarios o autoritarios utilicen la manipulación de la información y las injerencias malintencionadas como instrumentos integrales para ejercer presión sobre las instituciones multilaterales y los valores y normas democráticos, abusar del poder, aumentar la incidencia y la gravedad de las violaciones de los derechos humanos, restringir los espacios para la sociedad civil, los medios de comunicación independientes y los movimientos de oposición democrática, difundir desinformación contra Occidente y utilizar varias formas de represión transnacional para intimidar y restringir los espacios para la sociedad civil, los medios de comunicación independientes y los movimientos de oposición democrática en la diáspora;</w:t>
      </w:r>
    </w:p>
    <w:p w14:paraId="7A5959D3" w14:textId="77777777" w:rsidR="002F2AE4" w:rsidRPr="00F30C46" w:rsidRDefault="003969EB" w:rsidP="00991D71">
      <w:pPr>
        <w:pStyle w:val="NormalHanging12a"/>
        <w:widowControl/>
        <w:ind w:left="1134"/>
      </w:pPr>
      <w:r w:rsidRPr="00F30C46">
        <w:rPr>
          <w:szCs w:val="24"/>
        </w:rPr>
        <w:t>–</w:t>
      </w:r>
      <w:r w:rsidR="002F2AE4" w:rsidRPr="00F30C46">
        <w:tab/>
        <w:t xml:space="preserve">el aumento de los ataques, el acoso, la detención arbitraria, la tortura y los asesinatos de defensores de los derechos humanos en todo el mundo, especialmente de quienes defienden los derechos medioambientales, de los pueblos indígenas, de las mujeres, de las personas </w:t>
      </w:r>
      <w:proofErr w:type="spellStart"/>
      <w:r w:rsidR="002F2AE4" w:rsidRPr="00F30C46">
        <w:t>LGBTQI</w:t>
      </w:r>
      <w:proofErr w:type="spellEnd"/>
      <w:r w:rsidR="002F2AE4" w:rsidRPr="00F30C46">
        <w:t>+ y de quienes luchan contra la corrupción; señala, además, las tácticas cada vez más sofisticadas de agentes estatales y no estatales, como la vigilancia digital y las campañas de difamación, dirigidas a silenciar a los defensores de los derechos humanos; destaca la urgente necesidad de proteger a los defensores de los derechos humanos, que también desempeñan un papel fundamental en la defensa de la democracia y el Estado de Derecho en todo el mundo; pide que se refuercen los mecanismos de apoyo y protección para los defensores de los derechos humanos que se enfrentan a amenazas, acoso y violencia, especialmente los que trabajan en zonas de alto riesgo o en temas delicados como los derechos medioambientales, de los pueblos indígenas y de las mujeres;</w:t>
      </w:r>
    </w:p>
    <w:p w14:paraId="50D7E192" w14:textId="77777777" w:rsidR="002F2AE4" w:rsidRPr="00F30C46" w:rsidRDefault="002F2AE4" w:rsidP="00991D71">
      <w:pPr>
        <w:pStyle w:val="NormalHanging12a"/>
        <w:widowControl/>
        <w:ind w:left="1134"/>
      </w:pPr>
      <w:r w:rsidRPr="00F30C46">
        <w:t>–</w:t>
      </w:r>
      <w:r w:rsidRPr="00F30C46">
        <w:tab/>
        <w:t>los intentos de eludir las sanciones internacionales y de la Unión, que considera estrategias que amenazan directamente el orden internacional basado en normas;</w:t>
      </w:r>
    </w:p>
    <w:p w14:paraId="04F589DD" w14:textId="16185CBA" w:rsidR="002F2AE4" w:rsidRPr="00F30C46" w:rsidRDefault="003969EB" w:rsidP="00991D71">
      <w:pPr>
        <w:pStyle w:val="NormalHanging12a"/>
        <w:widowControl/>
        <w:ind w:left="1134"/>
      </w:pPr>
      <w:r w:rsidRPr="00F30C46">
        <w:rPr>
          <w:szCs w:val="24"/>
        </w:rPr>
        <w:t>–</w:t>
      </w:r>
      <w:r w:rsidR="002F2AE4" w:rsidRPr="00F30C46">
        <w:tab/>
        <w:t xml:space="preserve">el incumplimiento por Azerbaiyán de la orden de 17 de noviembre de 2023, emitida por la Corte Internacional de Justicia, en la que se indican medidas provisionales relativas al retorno seguro, sin trabas y rápido de las 100 000 personas de etnia armenia que huyeron de Nagorno Karabaj tras el ataque militar premeditado e injustificado de Azerbaiyán de septiembre de 2023, así como la negativa de las autoridades azerbaiyanas a liberar a los veintitrés prisioneros de guerra armenios que mantiene detenidos en la actualidad; destaca la necesidad de apoyar todas las iniciativas y actividades que pudieran conducir al establecimiento de la paz </w:t>
      </w:r>
      <w:r w:rsidR="00E95B51" w:rsidRPr="00F30C46">
        <w:t>duradera entre Armenia y Azerbaiyán; pide, a tal fin, la retirada de las tropas de Azerbaiyán de la totalidad del territorio soberano de Armenia y advierte, al mismo tiempo, de que cualquier nueva</w:t>
      </w:r>
      <w:r w:rsidR="002F2AE4" w:rsidRPr="00F30C46">
        <w:t xml:space="preserve"> acción militar contra Armenia sería inaceptable y tendría graves consecuencias para la asociación entre Azerbaiyán y la Unión; destaca que los problemas de conectividad de Azerbaiyán con su enclave de </w:t>
      </w:r>
      <w:proofErr w:type="spellStart"/>
      <w:r w:rsidR="002F2AE4" w:rsidRPr="00F30C46">
        <w:t>Najicheván</w:t>
      </w:r>
      <w:proofErr w:type="spellEnd"/>
      <w:r w:rsidR="002F2AE4" w:rsidRPr="00F30C46">
        <w:t xml:space="preserve"> deben resolverse respetando plenamente la soberanía y la integridad territorial de Armenia; reitera su posición de que la Unión debe estar dispuesta a imponer sanciones a las personas o entidades que amenacen la soberanía, la independencia y la integridad territorial de Armenia; destaca que las múltiples advertencias del Parlamento sobre la situación no han dado lugar a ningún cambio en la posición de la Unión con respecto a Azerbaiyán; pide a la Unión que ponga fin a su dependencia de las </w:t>
      </w:r>
      <w:r w:rsidR="002F2AE4" w:rsidRPr="00F30C46">
        <w:lastRenderedPageBreak/>
        <w:t xml:space="preserve">exportaciones de gas de Azerbaiyán; pide a la Comisión que suspenda el memorando de entendimiento de 2022 relativo a una asociación estratégica en el ámbito de la energía, y que actúe en consecuencia; </w:t>
      </w:r>
      <w:r w:rsidR="00E95B51" w:rsidRPr="00F30C46">
        <w:t xml:space="preserve">insiste en que cualquier futuro acuerdo de asociación entre la Unión y Azerbaiyán esté supeditado a la liberación de todos los presos políticos y a la mejora de la situación de los derechos humanos en el país; </w:t>
      </w:r>
      <w:r w:rsidR="002F2AE4" w:rsidRPr="00F30C46">
        <w:t xml:space="preserve">condena el blanqueo de gas ruso a través de Azerbaiyán y la facilitación por parte de las autoridades azerbaiyanas de que Rusia eluda las sanciones de la Unión; pide a la Unión que ponga fin a toda la asistencia técnica y financiera a Azerbaiyán que pueda contribuir a reforzar sus capacidades militares o de seguridad; pide a los Estados miembros que congelen las exportaciones de todos los equipos militares y de seguridad a Azerbaiyán; condena los reiterados intentos de Azerbaiyán de denigrar y desestabilizar a los Estados miembros, también a través del denominado Grupo de Iniciativa de Bakú; condena el continuo deterioro de la situación de los derechos humanos en el país; </w:t>
      </w:r>
    </w:p>
    <w:p w14:paraId="5AB6A55F" w14:textId="3FAA0A23" w:rsidR="002F2AE4" w:rsidRPr="00F30C46" w:rsidRDefault="002A086C" w:rsidP="002F2AE4">
      <w:pPr>
        <w:pStyle w:val="NormalHanging12a"/>
        <w:widowControl/>
      </w:pPr>
      <w:r w:rsidRPr="00F30C46">
        <w:t>6</w:t>
      </w:r>
      <w:r w:rsidR="002F2AE4" w:rsidRPr="00F30C46">
        <w:t>.</w:t>
      </w:r>
      <w:r w:rsidR="002F2AE4" w:rsidRPr="00F30C46">
        <w:tab/>
        <w:t xml:space="preserve">Está de acuerdo con: </w:t>
      </w:r>
    </w:p>
    <w:p w14:paraId="2BF30F4B" w14:textId="77777777" w:rsidR="002F2AE4" w:rsidRPr="00F30C46" w:rsidRDefault="003969EB" w:rsidP="00991D71">
      <w:pPr>
        <w:pStyle w:val="NormalHanging12a"/>
        <w:widowControl/>
        <w:ind w:left="1134"/>
      </w:pPr>
      <w:r w:rsidRPr="00F30C46">
        <w:rPr>
          <w:szCs w:val="24"/>
        </w:rPr>
        <w:t>–</w:t>
      </w:r>
      <w:r w:rsidR="002F2AE4" w:rsidRPr="00F30C46">
        <w:tab/>
        <w:t xml:space="preserve">la necesidad de mejorar las relaciones con Turquía; acoge con satisfacción la desescalada parcial de las tensiones en el Mediterráneo oriental y el mar Egeo, pero reitera su preocupación por que la política exterior de Turquía siga siendo contraria a las prioridades de la Unión en el marco de la </w:t>
      </w:r>
      <w:proofErr w:type="spellStart"/>
      <w:r w:rsidR="002F2AE4" w:rsidRPr="00F30C46">
        <w:t>PESC</w:t>
      </w:r>
      <w:proofErr w:type="spellEnd"/>
      <w:r w:rsidR="002F2AE4" w:rsidRPr="00F30C46">
        <w:t>; recuerda, en este contexto, la firma y la evocación del memorando de entendimiento entre Turquía y Libia sobre cooperación militar y de seguridad global y sobre la delimitación de zonas marítimas;</w:t>
      </w:r>
    </w:p>
    <w:p w14:paraId="269E8BA9" w14:textId="7953ADE3" w:rsidR="002F2AE4" w:rsidRPr="00F30C46" w:rsidRDefault="003969EB" w:rsidP="00991D71">
      <w:pPr>
        <w:pStyle w:val="NormalHanging12a"/>
        <w:widowControl/>
        <w:ind w:left="1134"/>
      </w:pPr>
      <w:r w:rsidRPr="00F30C46">
        <w:rPr>
          <w:szCs w:val="24"/>
        </w:rPr>
        <w:t>–</w:t>
      </w:r>
      <w:r w:rsidR="002F2AE4" w:rsidRPr="00F30C46">
        <w:tab/>
        <w:t>el llamamiento a Turquía para que trabaje con sus países vecinos, incluido el Cáucaso meridional, aplicando un planteamiento constructivo, no asertivo ni agresivo; lamenta que Turquía siga cuestionando la soberanía y los derechos soberanos de un Estado miembro de la Unión; recuerda que el proceso de adhesión de Turquía depende del pleno cumplimiento de los criterios de Copenhague y de la normalización de las relaciones con todos los Estados miembros, incluida la República de Chipre; pide que se respeten el estatuto de la zona de seguridad y el mandato de la Fuerza de las Naciones Unidas para el Mantenimiento de la Paz en Chipre; insta a Turquía y a los dirigentes turcochipriotas a que cesen y reviertan todas estas actividades unilaterales y eviten cualquier otra acción o provocación; pide que se participe en negociaciones pacíficas dirigidas por las Naciones Unidas y que se realicen progresos reales en las conversaciones para lograr una solución al problema de Chipre</w:t>
      </w:r>
      <w:r w:rsidR="00E95B51" w:rsidRPr="00F30C46">
        <w:t xml:space="preserve"> de forma firmemente anclada en el marco de las Naciones Unidas acordado, el único aceptado por la Unión y la comunidad internacional, y en consonancia con el Derecho, los valores y los principios de la Unión</w:t>
      </w:r>
      <w:r w:rsidR="002F2AE4" w:rsidRPr="00F30C46">
        <w:t>;</w:t>
      </w:r>
    </w:p>
    <w:p w14:paraId="2B609CF3" w14:textId="77777777" w:rsidR="002F2AE4" w:rsidRPr="00F30C46" w:rsidRDefault="003969EB" w:rsidP="00991D71">
      <w:pPr>
        <w:pStyle w:val="NormalHanging12a"/>
        <w:widowControl/>
        <w:ind w:left="1134"/>
      </w:pPr>
      <w:r w:rsidRPr="00F30C46">
        <w:rPr>
          <w:szCs w:val="24"/>
        </w:rPr>
        <w:t>–</w:t>
      </w:r>
      <w:r w:rsidR="002F2AE4" w:rsidRPr="00F30C46">
        <w:tab/>
        <w:t>la valoración de que, en ausencia de un drástico cambio de rumbo del Gobierno turco</w:t>
      </w:r>
      <w:r w:rsidR="00E95B51" w:rsidRPr="00F30C46">
        <w:t xml:space="preserve"> y del reconocimiento de la República de Chipre como Estado soberano</w:t>
      </w:r>
      <w:r w:rsidR="002F2AE4" w:rsidRPr="00F30C46">
        <w:t>, el proceso de adhesión de Turquía a la Unión no puede reanudarse;</w:t>
      </w:r>
      <w:r w:rsidR="00E95B51" w:rsidRPr="00F30C46">
        <w:t xml:space="preserve"> manifiesta su alarma por la reciente detención del alcalde de Estambul, </w:t>
      </w:r>
      <w:proofErr w:type="spellStart"/>
      <w:r w:rsidR="00E95B51" w:rsidRPr="00F30C46">
        <w:t>Ekrem</w:t>
      </w:r>
      <w:proofErr w:type="spellEnd"/>
      <w:r w:rsidR="00E95B51" w:rsidRPr="00F30C46">
        <w:t xml:space="preserve"> </w:t>
      </w:r>
      <w:proofErr w:type="spellStart"/>
      <w:r w:rsidR="00E95B51" w:rsidRPr="00F30C46">
        <w:t>İmamoğlu</w:t>
      </w:r>
      <w:proofErr w:type="spellEnd"/>
      <w:r w:rsidR="00E95B51" w:rsidRPr="00F30C46">
        <w:t>, del Partido Popular Republicano (</w:t>
      </w:r>
      <w:proofErr w:type="spellStart"/>
      <w:r w:rsidR="00E95B51" w:rsidRPr="00F30C46">
        <w:t>CHP</w:t>
      </w:r>
      <w:proofErr w:type="spellEnd"/>
      <w:r w:rsidR="00E95B51" w:rsidRPr="00F30C46">
        <w:t xml:space="preserve">), días antes de que fuera elegido por el </w:t>
      </w:r>
      <w:proofErr w:type="spellStart"/>
      <w:r w:rsidR="00E95B51" w:rsidRPr="00F30C46">
        <w:t>CHP</w:t>
      </w:r>
      <w:proofErr w:type="spellEnd"/>
      <w:r w:rsidR="00E95B51" w:rsidRPr="00F30C46">
        <w:t xml:space="preserve"> como candidato a las próximas elecciones presidenciales, y lamenta el ataque permanente a la oposición política;</w:t>
      </w:r>
    </w:p>
    <w:p w14:paraId="3471E5DA" w14:textId="77777777" w:rsidR="002F2AE4" w:rsidRPr="00F30C46" w:rsidRDefault="003969EB" w:rsidP="00991D71">
      <w:pPr>
        <w:pStyle w:val="NormalHanging12a"/>
        <w:widowControl/>
        <w:ind w:left="1134"/>
      </w:pPr>
      <w:r w:rsidRPr="00F30C46">
        <w:rPr>
          <w:szCs w:val="24"/>
        </w:rPr>
        <w:t>–</w:t>
      </w:r>
      <w:r w:rsidR="002F2AE4" w:rsidRPr="00F30C46">
        <w:tab/>
        <w:t xml:space="preserve">la urgente necesidad de que la Unión y el Gobierno turco avancen hacia un proceso de reflexión mutua, incluido un acuerdo de asociación modernizado, que </w:t>
      </w:r>
      <w:r w:rsidR="002F2AE4" w:rsidRPr="00F30C46">
        <w:lastRenderedPageBreak/>
        <w:t xml:space="preserve">conduzca a una asociación mutuamente beneficiosa, más dinámica y estratégica, con una estricta condicionalidad sobre el respeto del Estado de Derecho, los derechos fundamentales, el Derecho internacional, incluida la </w:t>
      </w:r>
      <w:r w:rsidR="002F2AE4" w:rsidRPr="00F30C46">
        <w:rPr>
          <w:rStyle w:val="Emphasis"/>
          <w:shd w:val="clear" w:color="auto" w:fill="FFFFFF"/>
        </w:rPr>
        <w:t>Convención de las Naciones Unidas sobre el Derecho del Mar</w:t>
      </w:r>
      <w:r w:rsidR="002F2AE4" w:rsidRPr="00F30C46">
        <w:t>, y las relaciones de buena vecindad, teniendo en cuenta el papel clave desempeñado por Turquía, por ejemplo, en la región del mar Negro, y su importancia como aliado de la OTAN;</w:t>
      </w:r>
    </w:p>
    <w:p w14:paraId="108BB24B" w14:textId="77777777" w:rsidR="002F2AE4" w:rsidRPr="00F30C46" w:rsidRDefault="003969EB" w:rsidP="00991D71">
      <w:pPr>
        <w:pStyle w:val="NormalHanging12a"/>
        <w:widowControl/>
        <w:ind w:left="1134"/>
      </w:pPr>
      <w:r w:rsidRPr="00F30C46">
        <w:rPr>
          <w:szCs w:val="24"/>
        </w:rPr>
        <w:t>–</w:t>
      </w:r>
      <w:r w:rsidR="002F2AE4" w:rsidRPr="00F30C46">
        <w:tab/>
        <w:t xml:space="preserve">el hecho de que Turquía está realizando un esfuerzo inadecuado para adaptarse a la </w:t>
      </w:r>
      <w:proofErr w:type="spellStart"/>
      <w:r w:rsidR="002F2AE4" w:rsidRPr="00F30C46">
        <w:t>PESC</w:t>
      </w:r>
      <w:proofErr w:type="spellEnd"/>
      <w:r w:rsidR="002F2AE4" w:rsidRPr="00F30C46">
        <w:t xml:space="preserve"> de la Unión, en particular en lo que respecta a las sanciones y la lucha contra la elusión de las sanciones, así como la necesidad de que Turquía coopere estrechamente con el enviado especial de la UE para la aplicación de las sanciones; lamenta el carácter inaceptable de la solidaridad y el apoyo que el presidente de Turquía ha mostrado públicamente a la organización terrorista Hamás; reitera su preocupación por el continuo deterioro de las normas democráticas en Turquía; recuerda que Turquía también tiene en el punto de mira a la Unión por cuanto se refiere a la manipulación de la información y la injerencia por parte de agentes extranjeros, y que su Gobierno estudia introducir una ley sobre agentes extranjeros similar a la rusa; subraya la incompatibilidad entre la candidatura de Turquía a pertenecer a los </w:t>
      </w:r>
      <w:proofErr w:type="spellStart"/>
      <w:r w:rsidR="002F2AE4" w:rsidRPr="00F30C46">
        <w:t>BRICS</w:t>
      </w:r>
      <w:proofErr w:type="spellEnd"/>
      <w:r w:rsidR="002F2AE4" w:rsidRPr="00F30C46">
        <w:t xml:space="preserve">+ y la </w:t>
      </w:r>
      <w:proofErr w:type="spellStart"/>
      <w:r w:rsidR="002F2AE4" w:rsidRPr="00F30C46">
        <w:t>PESC</w:t>
      </w:r>
      <w:proofErr w:type="spellEnd"/>
      <w:r w:rsidR="002F2AE4" w:rsidRPr="00F30C46">
        <w:t xml:space="preserve"> de la Unión;</w:t>
      </w:r>
    </w:p>
    <w:p w14:paraId="5A438F68" w14:textId="75DD75CA" w:rsidR="002F2AE4" w:rsidRPr="00F30C46" w:rsidRDefault="003969EB" w:rsidP="00991D71">
      <w:pPr>
        <w:pStyle w:val="NormalHanging12a"/>
        <w:widowControl/>
        <w:ind w:left="1134"/>
      </w:pPr>
      <w:r w:rsidRPr="00F30C46">
        <w:rPr>
          <w:szCs w:val="24"/>
        </w:rPr>
        <w:t>–</w:t>
      </w:r>
      <w:r w:rsidR="002F2AE4" w:rsidRPr="00F30C46">
        <w:tab/>
      </w:r>
      <w:r w:rsidR="00E95B51" w:rsidRPr="00F30C46">
        <w:t xml:space="preserve">la preocupación sobre el retroceso democrático en Georgia, puesto de manifiesto por el hecho de que las elecciones parlamentarias celebradas el 26 de octubre de 2024 no respetaron las normas internacionales para las elecciones democráticas ni sus compromisos como miembro de la OSCE de llevar a cabo elecciones libres y justas, socavando así la legitimidad de los resultados y la confianza pública en el Gobierno; hace hincapié en que las violaciones de la integridad electoral son incompatibles con los estándares que se esperan de un país candidato a la adhesión a la Unión; rechaza todo reconocimiento de las elecciones parlamentarias y considera que Georgia es un Estado capturado por el régimen ilegítimo del partido Sueño Georgiano y, por tanto, rechaza toda decisión adoptada por el órgano que ha tomado el control del país, como la adopción precipitada de enmiendas al Código de Infracciones Administrativas, al Código Penal y a la Ley de Asambleas y Manifestaciones; pide urgentemente que se celebren elecciones anticipadas en un entorno electoral mejorado, gestionado por una administración electoral independiente e imparcial con observación internacional generalizada, a fin de garantizar un proceso verdaderamente libre, justo y transparente que represente la voluntad del pueblo georgiano; coincide con las Conclusiones del Consejo Europeo de 27 de junio de 2024 en que el hecho de no invertir la línea de actuación actual, incluidas la ley de «transparencia sobre influencia extranjera», la ley sobre «valores familiares y protección de los menores» y las modificaciones del Código Electoral, pone en peligro la senda de Georgia hacia la Unión, lo que conduce de facto a la interrupción del proceso de adhesión; sigue reconociendo a Salomé </w:t>
      </w:r>
      <w:proofErr w:type="spellStart"/>
      <w:r w:rsidR="00E95B51" w:rsidRPr="00F30C46">
        <w:t>Zurabishvili</w:t>
      </w:r>
      <w:proofErr w:type="spellEnd"/>
      <w:r w:rsidR="00E95B51" w:rsidRPr="00F30C46">
        <w:t xml:space="preserve"> como presidenta legítima de Georgia y representante del pueblo georgiano; elogia sus esfuerzos por reorientar pacíficamente el país hacia una senda democrática y europea de desarrollo; pide al presidente del Consejo Europeo que invite a la presidenta </w:t>
      </w:r>
      <w:proofErr w:type="spellStart"/>
      <w:r w:rsidR="00E95B51" w:rsidRPr="00F30C46">
        <w:t>Zurabishvili</w:t>
      </w:r>
      <w:proofErr w:type="spellEnd"/>
      <w:r w:rsidR="00E95B51" w:rsidRPr="00F30C46">
        <w:t xml:space="preserve"> a representar a Georgia en una futura reunión del Consejo Europeo y en la próxima cumbre de la Comunidad Política Europea; reitera su apoyo inquebrantable a las legítimas aspiraciones europeas del pueblo georgiano, que está traicionando el Gobierno georgiano; pide la liberación inmediata de todas las personas detenidas por manifestarse pacíficamente contra las recientes decisiones de Georgia relativas a la suspensión de la integración en la Unión; pide que se adapten los </w:t>
      </w:r>
      <w:r w:rsidR="00E95B51" w:rsidRPr="00F30C46">
        <w:lastRenderedPageBreak/>
        <w:t>mecanismos de financiación de la Unión para tener en cuenta las necesidades que surjan en un entorno más hostil y antidemocrático; destaca la urgencia de la necesidad de apoyar a la sociedad civil a la luz de la creciente represión y la suspensión de las actividades de la Agencia de los Estados Unidos para el Desarrollo Internacional (</w:t>
      </w:r>
      <w:proofErr w:type="spellStart"/>
      <w:r w:rsidR="00E95B51" w:rsidRPr="00F30C46">
        <w:t>USAID</w:t>
      </w:r>
      <w:proofErr w:type="spellEnd"/>
      <w:r w:rsidR="00E95B51" w:rsidRPr="00F30C46">
        <w:t xml:space="preserve">), por lo que insta a la Comisión a que intensifique su apoyo sin demora; mantiene la opinión de que las medidas adoptadas hasta la fecha por la Unión en respuesta al flagrante retroceso democrático y a la renegación de compromisos anteriores aún no reflejan plenamente la gravedad de la situación en Georgia ni los últimos acontecimientos; acoge con satisfacción la decisión del Consejo de suspender la exención de visado para miembros de la Administración y diplomáticos georgianos, pero considera necesario iniciar una reflexión sobre la posible suspensión del estatuto de exención de visado de Georgia, sobre la base del incumplimiento de los criterios de referencia en materia de derechos fundamentales; lamenta la obstrucción por parte de los Gobiernos húngaro y eslovaco de las decisiones del Consejo sobre la introducción de sanciones contra las personas responsables del retroceso democrático en Georgia; pide a la Comisión que utilice los 120 000 000 EUR congelados, inicialmente previstos como apoyo a las autoridades georgianas, para reforzar el apoyo de la Unión a la sociedad civil georgiana, en particular al sector no gubernamental y a los medios de comunicación independientes, que se ven sometidos a una presión indebida y cada vez mayor por parte del partido político gobernante y de las autoridades, así como para respaldar los programas que fomentan la resiliencia democrática y la integridad electoral; anima encarecidamente a la Unión y a sus Estados miembros a que introduzcan sanciones personales contra todas las figuras clave del régimen político, así como contra sus familiares y los facilitadores del régimen en la administración, las empresas, los medios de comunicación, el sistema judicial y las fuerzas y cuerpos de seguridad; pide a la Unión que, en cooperación con otras jurisdicciones, en particular el Reino Unido, congele los activos financieros de </w:t>
      </w:r>
      <w:proofErr w:type="spellStart"/>
      <w:r w:rsidR="00E95B51" w:rsidRPr="00F30C46">
        <w:t>Bidzina</w:t>
      </w:r>
      <w:proofErr w:type="spellEnd"/>
      <w:r w:rsidR="00E95B51" w:rsidRPr="00F30C46">
        <w:t xml:space="preserve"> </w:t>
      </w:r>
      <w:proofErr w:type="spellStart"/>
      <w:r w:rsidR="00E95B51" w:rsidRPr="00F30C46">
        <w:t>Ivanishvili</w:t>
      </w:r>
      <w:proofErr w:type="spellEnd"/>
      <w:r w:rsidR="00E95B51" w:rsidRPr="00F30C46">
        <w:t xml:space="preserve">; anima a los distintos Estados miembros y a las organizaciones regionales pertinentes a que eviten legitimar activamente a las </w:t>
      </w:r>
      <w:proofErr w:type="spellStart"/>
      <w:r w:rsidR="00E95B51" w:rsidRPr="00F30C46">
        <w:t>autodesignadas</w:t>
      </w:r>
      <w:proofErr w:type="spellEnd"/>
      <w:r w:rsidR="00E95B51" w:rsidRPr="00F30C46">
        <w:t xml:space="preserve"> autoridades de Sueño Georgiano y pide, a este respecto, que se suspenda el Consejo de Asociación UE</w:t>
      </w:r>
      <w:r w:rsidR="00E95B51" w:rsidRPr="00F30C46">
        <w:noBreakHyphen/>
        <w:t>Georgia</w:t>
      </w:r>
      <w:r w:rsidR="002F2AE4" w:rsidRPr="00F30C46">
        <w:t>;</w:t>
      </w:r>
    </w:p>
    <w:p w14:paraId="6CE17068" w14:textId="77777777" w:rsidR="002F2AE4" w:rsidRPr="00F30C46" w:rsidRDefault="003969EB" w:rsidP="00991D71">
      <w:pPr>
        <w:pStyle w:val="NormalHanging12a"/>
        <w:widowControl/>
        <w:ind w:left="1134"/>
      </w:pPr>
      <w:r w:rsidRPr="00F30C46">
        <w:rPr>
          <w:szCs w:val="24"/>
        </w:rPr>
        <w:t>–</w:t>
      </w:r>
      <w:r w:rsidR="002F2AE4" w:rsidRPr="00F30C46">
        <w:tab/>
        <w:t xml:space="preserve">la observación de que Rusia y China se han convertido en actores importantes en la vecindad meridional, particularmente en el norte de África, mientras que Turquía y los Estados del Golfo, entre los que destacan el Reino de Arabia Saudí, Qatar y los Emiratos Árabes Unidos, se han convertido en fuerzas regionales; sostiene que la idea de una «vecindad» única para el este y el sur de Europa pasa por alto sus distintos retos; coincide asimismo en la relevancia estratégica de la vecindad meridional y su estabilidad, desarrollo económico y prosperidad; recuerda que la inestabilidad y la inseguridad en la vecindad meridional siguen representando un desafío para la gestión de las fronteras exteriores de la Unión; subraya la injerencia de competidores estratégicos en la región y pide encarecidamente a la Unión que envíe un mensaje político sólido y claro a favor de una cooperación renovada con los países de la vecindad meridional; pide a la </w:t>
      </w:r>
      <w:proofErr w:type="spellStart"/>
      <w:r w:rsidR="002F2AE4" w:rsidRPr="00F30C46">
        <w:t>VP</w:t>
      </w:r>
      <w:proofErr w:type="spellEnd"/>
      <w:r w:rsidR="002F2AE4" w:rsidRPr="00F30C46">
        <w:t xml:space="preserve">/AR y a la Comisión que publique, con carácter urgente, el nuevo Pacto por el Mediterráneo y que garanticen recursos adecuados para su aplicación oportuna y efectiva; reitera que una red dinámica de asociaciones estratégicas adaptadas a las necesidades y aspiraciones específicas de cada país de nuestra vecindad meridional debe ocupar un lugar central en ese nuevo pacto; cree, en este </w:t>
      </w:r>
      <w:r w:rsidR="002F2AE4" w:rsidRPr="00F30C46">
        <w:lastRenderedPageBreak/>
        <w:t>contexto, que la Unión debe llevar a cabo una revisión en profundidad de la actual estructura de incentivos que combina la promesa de ayuda financiera y beneficios comerciales a cambio de reformas políticas y económicas, y garantizar su coherencia con los objetivos generales de la Unión, incluido el fomento de los derechos humanos y los valores democráticos; subraya que, además de dar prioridad a la cooperación bilateral, la Unión debe seguir fomentando la cooperación regional a través de los marcos existentes, como la Unión por el Mediterráneo, que ofrece una valiosa plataforma para promover el diálogo y la acción conjunta en asuntos de interés común;</w:t>
      </w:r>
    </w:p>
    <w:p w14:paraId="1FA227A4" w14:textId="77777777" w:rsidR="002F2AE4" w:rsidRPr="00F30C46" w:rsidRDefault="003969EB" w:rsidP="00991D71">
      <w:pPr>
        <w:pStyle w:val="NormalHanging12a"/>
        <w:widowControl/>
        <w:ind w:left="1134"/>
      </w:pPr>
      <w:r w:rsidRPr="00F30C46">
        <w:rPr>
          <w:szCs w:val="24"/>
        </w:rPr>
        <w:t>–</w:t>
      </w:r>
      <w:r w:rsidR="002F2AE4" w:rsidRPr="00F30C46">
        <w:tab/>
        <w:t xml:space="preserve">la inquietud por la presión que ejercen Rusia y China en Asia Central, y subraya la necesidad de aumentar la presencia de la Unión en la región como respuesta, dada su importancia geoestratégica; resalta la vacilación de los Estados de Asia Central en prestar apoyo a la guerra de agresión de Rusia, dados los efectos de la guerra en la región; subraya el interés de la Unión en aumentar las relaciones económicas e intensificar los vínculos políticos con los países de Asia Central, en parte para abordar la elusión de las sanciones contra Rusia y Bielorrusia; pide a las autoridades de los Estados de Asia Central, en particular Kazajistán, Kirguistán y Uzbekistán, que cooperen estrechamente con la Unión, en particular con su enviado para la aplicación de las sanciones; anima a la Comisión y a los Estados miembros a que sigan promoviendo reformas políticas y económicas que refuercen el Estado de Derecho, la democracia, la buena gobernanza y el respeto de los derechos humanos; </w:t>
      </w:r>
    </w:p>
    <w:p w14:paraId="2AD77ABF" w14:textId="77777777" w:rsidR="002F2AE4" w:rsidRPr="00F30C46" w:rsidRDefault="003969EB" w:rsidP="00991D71">
      <w:pPr>
        <w:pStyle w:val="NormalHanging12a"/>
        <w:widowControl/>
        <w:ind w:left="1134"/>
      </w:pPr>
      <w:r w:rsidRPr="00F30C46">
        <w:rPr>
          <w:szCs w:val="24"/>
        </w:rPr>
        <w:t>–</w:t>
      </w:r>
      <w:r w:rsidR="002F2AE4" w:rsidRPr="00F30C46">
        <w:tab/>
        <w:t xml:space="preserve">el hecho de que el Ártico reviste una importancia geoestratégica en lo que respecta a la expansión de posibles rutas marítimas, el acceso a los recursos naturales, la conservación del clima y las reivindicaciones territoriales; subraya que esta importancia se ve acentuada tanto por la expansión militar rusa en el Alto Norte como por la creciente presencia e interés de China en la región y su autoproclamación como «Estado cuasi ártico»; destaca la necesidad de garantizar la libertad y la seguridad de la navegación en medio de la creciente influencia y militarización de estos dos Estados; subraya la importancia de preservar la seguridad, la estabilidad y la cooperación en el Ártico; subraya que la región no debe sufrir tensiones militares ni explotación de los recursos naturales, y que deben respetarse los derechos de los pueblos indígenas; reitera la necesidad de incluir la política de la Unión para el Ártico en la </w:t>
      </w:r>
      <w:proofErr w:type="spellStart"/>
      <w:r w:rsidR="002F2AE4" w:rsidRPr="00F30C46">
        <w:t>PESC</w:t>
      </w:r>
      <w:proofErr w:type="spellEnd"/>
      <w:r w:rsidR="002F2AE4" w:rsidRPr="00F30C46">
        <w:t xml:space="preserve"> y de entablar una cooperación eficaz con la OTAN; pide que, en las reuniones del Comité Político y de Seguridad y del Consejo, se aborde periódicamente la cuestión del Ártico;</w:t>
      </w:r>
    </w:p>
    <w:p w14:paraId="278CC5C2" w14:textId="4BFCB8A6" w:rsidR="002F2AE4" w:rsidRPr="00F30C46" w:rsidRDefault="003969EB" w:rsidP="00991D71">
      <w:pPr>
        <w:pStyle w:val="NormalHanging12a"/>
        <w:widowControl/>
        <w:ind w:left="1134"/>
      </w:pPr>
      <w:r w:rsidRPr="00F30C46">
        <w:rPr>
          <w:szCs w:val="24"/>
        </w:rPr>
        <w:t>–</w:t>
      </w:r>
      <w:r w:rsidR="002F2AE4" w:rsidRPr="00F30C46">
        <w:tab/>
        <w:t xml:space="preserve">la importancia estratégica del estrecho de Taiwán y de la región </w:t>
      </w:r>
      <w:proofErr w:type="spellStart"/>
      <w:r w:rsidR="002F2AE4" w:rsidRPr="00F30C46">
        <w:t>indopacífica</w:t>
      </w:r>
      <w:proofErr w:type="spellEnd"/>
      <w:r w:rsidR="002F2AE4" w:rsidRPr="00F30C46">
        <w:t xml:space="preserve"> frente a la creciente intimidación china ejercida en la región, incluso por medios militares e híbridos, y subraya la necesidad de aumentar la presencia de la Unión </w:t>
      </w:r>
      <w:r w:rsidR="00173A84" w:rsidRPr="00F30C46">
        <w:t xml:space="preserve">en </w:t>
      </w:r>
      <w:r w:rsidR="000713BD" w:rsidRPr="00F30C46">
        <w:t>la región</w:t>
      </w:r>
      <w:r w:rsidR="002F2AE4" w:rsidRPr="00F30C46">
        <w:t>; subraya el interés de la Unión por aumentar las relaciones económicas e intensificar los vínculos sustanciales con socios afines de la región, incluido Taiwán;</w:t>
      </w:r>
      <w:r w:rsidR="000713BD" w:rsidRPr="00F30C46">
        <w:t xml:space="preserve"> pide a la Comisión y a los Estados miembros que sigan una estrategia coordinada de la Unión para la preparación y la anticipación de posibles escenarios en el estrecho de Taiwán y, al mismo tiempo, informen periódicamente al Parlamento y faciliten una evaluación de impacto;</w:t>
      </w:r>
    </w:p>
    <w:p w14:paraId="5E8B6B2E" w14:textId="77777777" w:rsidR="002F2AE4" w:rsidRPr="00F30C46" w:rsidRDefault="003969EB" w:rsidP="00991D71">
      <w:pPr>
        <w:pStyle w:val="NormalHanging12a"/>
        <w:widowControl/>
        <w:ind w:left="1134"/>
      </w:pPr>
      <w:r w:rsidRPr="00F30C46">
        <w:rPr>
          <w:szCs w:val="24"/>
        </w:rPr>
        <w:t>–</w:t>
      </w:r>
      <w:r w:rsidR="002F2AE4" w:rsidRPr="00F30C46">
        <w:tab/>
        <w:t>la eficacia de la aplicación de una estrategia del Golfo, avanzando en una asociación estratégica con cada uno de los países del Golfo y trabajando conjuntamente para promover la seguridad y prosperidad mundial y regional;</w:t>
      </w:r>
    </w:p>
    <w:p w14:paraId="259BBD65" w14:textId="77777777" w:rsidR="002F2AE4" w:rsidRPr="00F30C46" w:rsidRDefault="003969EB" w:rsidP="00991D71">
      <w:pPr>
        <w:pStyle w:val="NormalHanging12a"/>
        <w:widowControl/>
        <w:ind w:left="1134"/>
      </w:pPr>
      <w:r w:rsidRPr="00F30C46">
        <w:rPr>
          <w:szCs w:val="24"/>
        </w:rPr>
        <w:lastRenderedPageBreak/>
        <w:t>–</w:t>
      </w:r>
      <w:r w:rsidR="002F2AE4" w:rsidRPr="00F30C46">
        <w:tab/>
        <w:t xml:space="preserve">la atención prestada al logro de la rendición de cuentas en el ámbito ciberespacial, mediante la puesta en funcionamiento del conjunto de herramientas de diplomacia digital de la Unión y la atención prestada al refuerzo de la </w:t>
      </w:r>
      <w:proofErr w:type="spellStart"/>
      <w:r w:rsidR="002F2AE4" w:rsidRPr="00F30C46">
        <w:t>ciberresiliencia</w:t>
      </w:r>
      <w:proofErr w:type="spellEnd"/>
      <w:r w:rsidR="002F2AE4" w:rsidRPr="00F30C46">
        <w:t xml:space="preserve"> mundial; pide que se preste más atención al desarrollo de la capacidad de </w:t>
      </w:r>
      <w:proofErr w:type="spellStart"/>
      <w:r w:rsidR="002F2AE4" w:rsidRPr="00F30C46">
        <w:t>ciberresiliencia</w:t>
      </w:r>
      <w:proofErr w:type="spellEnd"/>
      <w:r w:rsidR="002F2AE4" w:rsidRPr="00F30C46">
        <w:t xml:space="preserve"> de las democracias en desarrollo, que se enfrentan a retos híbridos en sus sistemas electorales; pide un incremento de los ejercicios de </w:t>
      </w:r>
      <w:proofErr w:type="spellStart"/>
      <w:r w:rsidR="002F2AE4" w:rsidRPr="00F30C46">
        <w:t>ciberdefensa</w:t>
      </w:r>
      <w:proofErr w:type="spellEnd"/>
      <w:r w:rsidR="002F2AE4" w:rsidRPr="00F30C46">
        <w:t xml:space="preserve"> conjuntos entre la Unión y la OTAN, con el fin de mejorar la interoperabilidad y la disponibilidad para combatir las amenazas híbridas;</w:t>
      </w:r>
    </w:p>
    <w:p w14:paraId="62BDA4EE" w14:textId="77777777" w:rsidR="002F2AE4" w:rsidRPr="00F30C46" w:rsidRDefault="003969EB" w:rsidP="00991D71">
      <w:pPr>
        <w:pStyle w:val="NormalHanging12a"/>
        <w:widowControl/>
        <w:ind w:left="1134"/>
      </w:pPr>
      <w:r w:rsidRPr="00F30C46">
        <w:rPr>
          <w:szCs w:val="24"/>
        </w:rPr>
        <w:t>–</w:t>
      </w:r>
      <w:r w:rsidR="002F2AE4" w:rsidRPr="00F30C46">
        <w:tab/>
        <w:t xml:space="preserve">el compromiso de situar el fomento de la democracia en primera línea de la </w:t>
      </w:r>
      <w:proofErr w:type="spellStart"/>
      <w:r w:rsidR="002F2AE4" w:rsidRPr="00F30C46">
        <w:t>PESC</w:t>
      </w:r>
      <w:proofErr w:type="spellEnd"/>
      <w:r w:rsidR="002F2AE4" w:rsidRPr="00F30C46">
        <w:t xml:space="preserve"> y garantizar un papel proactivo de la Unión a este respecto, basándose en las lecciones aprendidas en acciones anteriores de apoyo a la democracia, en particular de apoyo a la sociedad civil, los defensores de los derechos humanos, las voces críticas, la oposición democrática y los medios de comunicación;</w:t>
      </w:r>
    </w:p>
    <w:p w14:paraId="206D251D" w14:textId="45AB9C60" w:rsidR="002F2AE4" w:rsidRPr="00F30C46" w:rsidRDefault="003969EB" w:rsidP="00991D71">
      <w:pPr>
        <w:pStyle w:val="NormalHanging12a"/>
        <w:widowControl/>
        <w:ind w:left="1134"/>
      </w:pPr>
      <w:r w:rsidRPr="00F30C46">
        <w:rPr>
          <w:szCs w:val="24"/>
        </w:rPr>
        <w:t>–</w:t>
      </w:r>
      <w:r w:rsidR="002F2AE4" w:rsidRPr="00F30C46">
        <w:tab/>
        <w:t xml:space="preserve">la necesidad de luchar contra la impunidad y reforzar la rendición de cuentas en todo el mundo, incluso a través de la CPI, y de defender el Derecho internacional y el Derecho internacional humanitario; sigue profundamente preocupado por la tendencia de funcionarios estatales a socavar las decisiones de las instituciones internacionales y sus empleados; </w:t>
      </w:r>
      <w:r w:rsidR="000713BD" w:rsidRPr="00F30C46">
        <w:t xml:space="preserve">expresa su extrema preocupación por las sanciones estadounidenses contra la CPI, sus fiscales y jueces y su personal, que constituyen un grave ataque al sistema de justicia internacional; pide a la Comisión que active con urgencia el estatuto de bloqueo y a los Estados miembros que redoblen urgentemente sus esfuerzos diplomáticos para proteger y salvaguardar la CPI como una piedra angular indispensable del sistema de justicia internacional; </w:t>
      </w:r>
      <w:r w:rsidR="002F2AE4" w:rsidRPr="00F30C46">
        <w:t>lamenta que algunos Estados miembros de la CPI no ejecuten las órdenes de detención de la CPI, lo que socava la labor de la CPI;</w:t>
      </w:r>
    </w:p>
    <w:p w14:paraId="16359D88" w14:textId="77777777" w:rsidR="002F2AE4" w:rsidRPr="00F30C46" w:rsidRDefault="003969EB" w:rsidP="00991D71">
      <w:pPr>
        <w:pStyle w:val="NormalHanging12a"/>
        <w:widowControl/>
        <w:ind w:left="1134"/>
      </w:pPr>
      <w:r w:rsidRPr="00F30C46">
        <w:rPr>
          <w:szCs w:val="24"/>
        </w:rPr>
        <w:t>–</w:t>
      </w:r>
      <w:r w:rsidR="002F2AE4" w:rsidRPr="00F30C46">
        <w:tab/>
        <w:t>la necesidad urgente y permanente de promover la igualdad de género y el empoderamiento de las mujeres a través de toda la acción exterior de la Unión y una política exterior que tome en consideración la integración de la perspectiva de género, en consonancia con el Plan de Acción en materia de Género 2021-2025, especialmente a la luz del actual retroceso mundial de los derechos de la mujer; hace hincapié en que, al ritmo actual de progreso, la consecución de la igualdad de género en todo el mundo tardará otros 131 años, lo que subraya la importancia crucial de acelerar los esfuerzos para salvaguardar y hacer avanzar los derechos y las oportunidades de las mujeres;</w:t>
      </w:r>
    </w:p>
    <w:p w14:paraId="21E935A3" w14:textId="77777777" w:rsidR="002F2AE4" w:rsidRPr="00F30C46" w:rsidRDefault="002F2AE4" w:rsidP="002F2AE4">
      <w:pPr>
        <w:pStyle w:val="NormalHanging12a"/>
        <w:widowControl/>
        <w:rPr>
          <w:b/>
          <w:i/>
        </w:rPr>
      </w:pPr>
      <w:r w:rsidRPr="00F30C46">
        <w:rPr>
          <w:b/>
          <w:i/>
        </w:rPr>
        <w:t xml:space="preserve">II. Objetivos de la </w:t>
      </w:r>
      <w:proofErr w:type="spellStart"/>
      <w:r w:rsidRPr="00F30C46">
        <w:rPr>
          <w:b/>
          <w:i/>
        </w:rPr>
        <w:t>PESC</w:t>
      </w:r>
      <w:proofErr w:type="spellEnd"/>
      <w:r w:rsidRPr="00F30C46">
        <w:rPr>
          <w:b/>
          <w:i/>
        </w:rPr>
        <w:t xml:space="preserve"> en 2025</w:t>
      </w:r>
    </w:p>
    <w:p w14:paraId="0ABB6FC8" w14:textId="3944924B" w:rsidR="002F2AE4" w:rsidRPr="00F30C46" w:rsidRDefault="002A086C" w:rsidP="002F2AE4">
      <w:pPr>
        <w:pStyle w:val="NormalHanging12a"/>
        <w:widowControl/>
      </w:pPr>
      <w:r w:rsidRPr="00F30C46">
        <w:t>7</w:t>
      </w:r>
      <w:r w:rsidR="002F2AE4" w:rsidRPr="00F30C46">
        <w:t>.</w:t>
      </w:r>
      <w:r w:rsidR="002F2AE4" w:rsidRPr="00F30C46">
        <w:tab/>
        <w:t xml:space="preserve">Detalla, en la sección siguiente, los objetivos del Parlamento en materia de </w:t>
      </w:r>
      <w:proofErr w:type="spellStart"/>
      <w:r w:rsidR="002F2AE4" w:rsidRPr="00F30C46">
        <w:t>PESC</w:t>
      </w:r>
      <w:proofErr w:type="spellEnd"/>
      <w:r w:rsidR="002F2AE4" w:rsidRPr="00F30C46">
        <w:t xml:space="preserve"> en 2025, complementando así los puntos de vista expresados en el informe anual sobre la </w:t>
      </w:r>
      <w:proofErr w:type="spellStart"/>
      <w:r w:rsidR="002F2AE4" w:rsidRPr="00F30C46">
        <w:t>PESC</w:t>
      </w:r>
      <w:proofErr w:type="spellEnd"/>
      <w:r w:rsidR="002F2AE4" w:rsidRPr="00F30C46">
        <w:t xml:space="preserve"> del </w:t>
      </w:r>
      <w:proofErr w:type="spellStart"/>
      <w:r w:rsidR="002F2AE4" w:rsidRPr="00F30C46">
        <w:t>VP</w:t>
      </w:r>
      <w:proofErr w:type="spellEnd"/>
      <w:r w:rsidR="002F2AE4" w:rsidRPr="00F30C46">
        <w:t>/AR;</w:t>
      </w:r>
    </w:p>
    <w:p w14:paraId="53BBFCA9" w14:textId="77777777" w:rsidR="002F2AE4" w:rsidRPr="00F30C46" w:rsidRDefault="002F2AE4" w:rsidP="002F2AE4">
      <w:pPr>
        <w:pStyle w:val="NormalHanging12a"/>
        <w:widowControl/>
        <w:rPr>
          <w:i/>
          <w:u w:val="single"/>
        </w:rPr>
      </w:pPr>
      <w:r w:rsidRPr="00F30C46">
        <w:rPr>
          <w:i/>
          <w:u w:val="single"/>
        </w:rPr>
        <w:t xml:space="preserve">Gestión de las consecuencias mundiales de la guerra de agresión de Rusia contra Ucrania </w:t>
      </w:r>
    </w:p>
    <w:p w14:paraId="6DD8B14A" w14:textId="16AD26DC" w:rsidR="002F2AE4" w:rsidRPr="00F30C46" w:rsidRDefault="002A086C" w:rsidP="002F2AE4">
      <w:pPr>
        <w:pStyle w:val="NormalHanging12a"/>
        <w:widowControl/>
      </w:pPr>
      <w:r w:rsidRPr="00F30C46">
        <w:t>8</w:t>
      </w:r>
      <w:r w:rsidR="002F2AE4" w:rsidRPr="00F30C46">
        <w:t>.</w:t>
      </w:r>
      <w:r w:rsidR="002F2AE4" w:rsidRPr="00F30C46">
        <w:tab/>
        <w:t xml:space="preserve">Hace hincapié en que la guerra de agresión de Rusia contra Ucrania y sus consecuencias, como la incertidumbre económica, la inseguridad alimentaria y los elevados precios de la energía, en combinación con el comportamiento revisionista de la Federación de Rusia contra una serie de Estados vecinos del mar Negro, desestabiliza y pone en peligro a los países de la vecindad oriental y a los Balcanes Occidentales, lo que a su vez deteriora la arquitectura de seguridad europea; subraya, en este contexto, la </w:t>
      </w:r>
      <w:r w:rsidR="002F2AE4" w:rsidRPr="00F30C46">
        <w:lastRenderedPageBreak/>
        <w:t>necesidad de reforzar las capacidades de la Unión para apoyar a las instituciones democráticas en nuestra vecindad inmediata;</w:t>
      </w:r>
      <w:r w:rsidR="000713BD" w:rsidRPr="00F30C46">
        <w:t xml:space="preserve"> subraya, asimismo, la importancia de proteger la frontera oriental de la Unión, que contribuye a la seguridad de todo el territorio; destaca que el escudo oriental y la línea de defensa del Báltico deben ser los proyectos emblemáticos de la Unión para disuadir y contrarrestar las posibles amenazas procedentes del este, estableciendo un sistema integrado de gestión de las fronteras terrestres diseñado para reforzar la frontera terrestre exterior de la Unión con Rusia y Bielorrusia frente a las amenazas militares e híbridas;</w:t>
      </w:r>
    </w:p>
    <w:p w14:paraId="2D16522E" w14:textId="0BB870B6" w:rsidR="002F2AE4" w:rsidRPr="00F30C46" w:rsidRDefault="002A086C" w:rsidP="002F2AE4">
      <w:pPr>
        <w:pStyle w:val="NormalHanging12a"/>
        <w:widowControl/>
      </w:pPr>
      <w:r w:rsidRPr="00F30C46">
        <w:t>9</w:t>
      </w:r>
      <w:r w:rsidR="002F2AE4" w:rsidRPr="00F30C46">
        <w:t>.</w:t>
      </w:r>
      <w:r w:rsidR="002F2AE4" w:rsidRPr="00F30C46">
        <w:tab/>
        <w:t>Observa que la respuesta de la Unión a la guerra de agresión de Rusia contra Ucrania está siendo objeto de un estrecho seguimiento por parte de agentes autocráticos en todo el mundo e influirá de modo decisivo en la configuración de su comportamiento en la escena internacional; expresa su preocupación por la creciente cooperación y coordinación entre regímenes autocráticos, incluso mediante su apoyo material o de otro tipo a la agresión de Rusia contra Ucrania; insta al Consejo a que imponga medidas restrictivas contra los países que suministran a la Federación de Rusia material de defensa, como vehículos aéreos no tripulados y misiles superficie-superficie, para su uso contra objetivos civiles; recuerda que el uso de ese material de defensa contra objetivos civiles constituye un crimen de guerra; observa con gran preocupación la creciente cooperación entre la Federación de Rusia y la República Popular Democrática de Corea, y subraya que el despliegue de soldados norcoreanos por Rusia está ampliando la magnitud del conflicto; hace hincapié, asimismo, en la urgente necesidad de nuevas sanciones contra Bielorrusia, que reflejen todas las sanciones contra Rusia;</w:t>
      </w:r>
    </w:p>
    <w:p w14:paraId="4C5B7093" w14:textId="436E41B1" w:rsidR="002F2AE4" w:rsidRPr="00F30C46" w:rsidRDefault="002A086C" w:rsidP="002F2AE4">
      <w:pPr>
        <w:pStyle w:val="NormalHanging12a"/>
        <w:widowControl/>
      </w:pPr>
      <w:r w:rsidRPr="00F30C46">
        <w:t>10</w:t>
      </w:r>
      <w:r w:rsidR="002F2AE4" w:rsidRPr="00F30C46">
        <w:t>.</w:t>
      </w:r>
      <w:r w:rsidR="002F2AE4" w:rsidRPr="00F30C46">
        <w:tab/>
      </w:r>
      <w:r w:rsidR="000713BD" w:rsidRPr="00F30C46">
        <w:t>Opina que, en la actualidad, la Unión y sus Estados miembros son los únicos aliados estratégicos de Ucrania y, en consecuencia, les pide que incrementen y aceleren de forma significativa el apoyo militar y económico, así como la prestación de asistencia tanto humanitaria como financiera de todas las maneras posibles a fin de situar a Ucrania en una posición de poder, con objeto de liberar a todo su pueblo e impedir cualquier nueva agresión por parte de Rusia tras un posible acuerdo de alto el fuego; sugiere, a tal fin, reforzar la Misión de Asistencia Militar de la Unión Europea en apoyo a Ucrania, que ha formado alrededor de 75 000 tropas ucranianas, y subraya la urgente necesidad de dotar a Ucrania de mayores capacidades de defensa aérea y superficie-superficie para defender sus infraestructuras energéticas críticas, y pide a los Estados miembros que levanten inmediatamente las restricciones al uso contra objetivos militares legítimos en territorio ruso de los sistemas armamentísticos occidentales proporcionados a Ucrania, como los misiles Taurus de largo alcance, lo que guardaría plena coherencia con el derecho de Ucrania a la legítima defensa, conforme a la Carta de las Naciones Unidas</w:t>
      </w:r>
      <w:r w:rsidR="002F2AE4" w:rsidRPr="00F30C46">
        <w:t>;</w:t>
      </w:r>
    </w:p>
    <w:p w14:paraId="5F4E432F" w14:textId="6FAE4DFC" w:rsidR="000713BD" w:rsidRPr="00F30C46" w:rsidRDefault="002A086C" w:rsidP="002F2AE4">
      <w:pPr>
        <w:pStyle w:val="NormalHanging12a"/>
        <w:widowControl/>
      </w:pPr>
      <w:r w:rsidRPr="00F30C46">
        <w:t>11</w:t>
      </w:r>
      <w:r w:rsidR="000713BD" w:rsidRPr="00F30C46">
        <w:t>.</w:t>
      </w:r>
      <w:r w:rsidR="000713BD" w:rsidRPr="00F30C46">
        <w:tab/>
        <w:t xml:space="preserve">Reafirma su compromiso de apoyar el deseo de Ucrania de una paz justa y duradera y con la Fórmula de Paz y el Plan para la Victoria presentados por el presidente de Ucrania, </w:t>
      </w:r>
      <w:proofErr w:type="spellStart"/>
      <w:r w:rsidR="000713BD" w:rsidRPr="00F30C46">
        <w:t>Volodímir</w:t>
      </w:r>
      <w:proofErr w:type="spellEnd"/>
      <w:r w:rsidR="000713BD" w:rsidRPr="00F30C46">
        <w:t xml:space="preserve"> </w:t>
      </w:r>
      <w:proofErr w:type="spellStart"/>
      <w:r w:rsidR="000713BD" w:rsidRPr="00F30C46">
        <w:t>Zelenski</w:t>
      </w:r>
      <w:proofErr w:type="spellEnd"/>
      <w:r w:rsidR="000713BD" w:rsidRPr="00F30C46">
        <w:t xml:space="preserve">; recuerda que cualquier iniciativa destinada a poner fin a la guerra de agresión rusa y lograr una paz justa y duradera, incluidas las soluciones diplomáticas, debe basarse en las condiciones y aportaciones de Ucrania y, en última instancia, ser aceptada por el pueblo ucraniano; expresa, en este contexto, su profunda preocupación por el aparente cambio en la postura de los Estados Unidos sobre la guerra de agresión de Rusia, que ha incluido culpar abiertamente a Ucrania de la guerra en curso, suspender la ayuda militar estadounidense e intentar coaccionar a Ucrania para que renuncie a su derecho a la legítima defensa; lamenta firmemente cualquier intento de chantajear a los dirigentes de Ucrania para que se rindan al agresor ruso con el único fin de anunciar un supuesto acuerdo de paz y considera que el actual intento del </w:t>
      </w:r>
      <w:r w:rsidR="000713BD" w:rsidRPr="00F30C46">
        <w:lastRenderedPageBreak/>
        <w:t>Gobierno de los Estados Unidos de negociar un alto el fuego y un acuerdo de paz sin la participación de los Estados europeos, que en última instancia tendrán que cargar con las consecuencias, es contraproducente, ya que fortalece al Estado ruso beligerante y demuestra que las políticas agresivas no se castigan, sino que se recompensan; se muestra moderadamente optimista con respecto a la propuesta de un acuerdo de alto el fuego de treinta días; recuerda que un alto el fuego solo puede ser un instrumento eficaz para la suspensión de las hostilidades si el agresor se adhiere plenamente a él; espera, por tanto, que Rusia lo acepte y lo cumpla poniendo fin a todos los ataques contra Ucrania, sus posiciones militares, la población civil, las infraestructuras y el territorio; concluye, no obstante, teniendo en cuenta el historial de violaciones por parte de Rusia de acuerdos anteriores, que la paz solo puede alcanzarse fortaleciendo a Ucrania mediante garantías de seguridad sólidas; opina, por el contrario, que cualquier acuerdo que socave las aspiraciones legítimas de Ucrania, como su derecho a elegir sus propias disposiciones de seguridad, o que carezca de garantías de seguridad creíbles, entrañará el riesgo de someter a Ucrania y a otros países europeos a una nueva agresión rusa; insiste, por tanto, en que la Unión asuma compromisos en materia de seguridad con Ucrania, tal como se recomienda en el Pacto de Seguridad de Kiev, con el fin de impedir una nueva agresión rusa;</w:t>
      </w:r>
    </w:p>
    <w:p w14:paraId="357378B0" w14:textId="5D81A56A" w:rsidR="000713BD" w:rsidRPr="00F30C46" w:rsidRDefault="002A086C" w:rsidP="002F2AE4">
      <w:pPr>
        <w:pStyle w:val="NormalHanging12a"/>
        <w:widowControl/>
      </w:pPr>
      <w:r w:rsidRPr="00F30C46">
        <w:t>12</w:t>
      </w:r>
      <w:r w:rsidR="000713BD" w:rsidRPr="00F30C46">
        <w:t>.</w:t>
      </w:r>
      <w:r w:rsidR="000713BD" w:rsidRPr="00F30C46">
        <w:tab/>
        <w:t>Destaca que el apoyo financiero a Ucrania que brindan la Unión y sus Estados miembros supera el de cualquier otro país, lo que ilustra el compromiso sin precedentes de la Unión con Ucrania; resalta que el papel de la Unión en cualquier negociación que afecte a la seguridad de Europa debe ser proporcional a su peso político y económico; reafirma que no pueden celebrarse negociaciones que afecten a la seguridad europea si la Unión no está presente;</w:t>
      </w:r>
    </w:p>
    <w:p w14:paraId="6AFA8447" w14:textId="0635A31A" w:rsidR="002F2AE4" w:rsidRPr="00F30C46" w:rsidRDefault="002A086C" w:rsidP="002F2AE4">
      <w:pPr>
        <w:pStyle w:val="NormalHanging12a"/>
        <w:widowControl/>
      </w:pPr>
      <w:r w:rsidRPr="00F30C46">
        <w:t>13</w:t>
      </w:r>
      <w:r w:rsidR="002F2AE4" w:rsidRPr="00F30C46">
        <w:t>.</w:t>
      </w:r>
      <w:r w:rsidR="002F2AE4" w:rsidRPr="00F30C46">
        <w:tab/>
      </w:r>
      <w:r w:rsidR="000713BD" w:rsidRPr="00F30C46">
        <w:t>Espera que los Estados miembros mantengan sus sanciones contra Rusia el tiempo que sea necesario para garantizar una paz justa y duradera y hasta que se logre la rendición de cuentas; pide, mientras tanto, a la Unión y a los Estados miembros que refuercen la eficacia y la repercusión de los paquetes de sanciones adoptados hasta la fecha y que acuerden nuevos paquetes de sanciones tan pronto como surja la necesidad; señala, en este contexto, a sectores de especial importancia para la economía rusa, en particular los sectores bancario, metalúrgico, nuclear, químico y agrícola, y a materias primas como el aluminio, el acero, el uranio, el titanio y el níquel; pide que se prohíban o se apliquen aranceles específicos a las importaciones rusas a la Unión con el fin de cerrar totalmente el flujo de cereales, potasa y abonos; recuerda que la aplicación estricta y uniforme de las medidas restrictivas en todos los Estados miembros es una condición previa para la credibilidad y la eficacia de la acción exterior de la Unión; subraya, por tanto, la importancia de poner fin a todas las importaciones de energía rusa en la Unión y de apoyar los esfuerzos del G7 para reducir el límite de precios del petróleo; pide a la Comisión que imponga sanciones a todas las empresas europeas que sigan haciendo negocios con la Federación de Rusia, así como que siga evaluando y combatiendo la elusión de las sanciones</w:t>
      </w:r>
      <w:r w:rsidR="002F2AE4" w:rsidRPr="00F30C46">
        <w:t>;</w:t>
      </w:r>
    </w:p>
    <w:p w14:paraId="27B17F92" w14:textId="52BEDEE8" w:rsidR="002F2AE4" w:rsidRPr="00F30C46" w:rsidRDefault="002A086C" w:rsidP="002F2AE4">
      <w:pPr>
        <w:pStyle w:val="NormalHanging12a"/>
        <w:widowControl/>
      </w:pPr>
      <w:r w:rsidRPr="00F30C46">
        <w:t>14</w:t>
      </w:r>
      <w:r w:rsidR="002F2AE4" w:rsidRPr="00F30C46">
        <w:t>.</w:t>
      </w:r>
      <w:r w:rsidR="002F2AE4" w:rsidRPr="00F30C46">
        <w:tab/>
        <w:t>Pide una diplomacia proactiva con terceros países, con el fin de minimizar la elusión de estas sanciones; pide a la Comisión que evalúe de manera crítica la asistencia de la Unión a terceros países que apoyan activamente la agresión de Rusia contra Ucrania, e insta al Consejo a que imponga medidas restrictivas a los terceros países que permitan la guerra de agresión de Rusia, ya sea facilitando la elusión de sanciones o prestando asistencia militar directa, como en el caso de</w:t>
      </w:r>
      <w:r w:rsidR="000713BD" w:rsidRPr="00F30C46">
        <w:t xml:space="preserve"> Bielorrusia,</w:t>
      </w:r>
      <w:r w:rsidR="002F2AE4" w:rsidRPr="00F30C46">
        <w:t xml:space="preserve"> Irán o Corea del Norte; pide a todos los países que se ajusten plenamente a todos los paquetes de sanciones de la Unión;</w:t>
      </w:r>
    </w:p>
    <w:p w14:paraId="5F77CD8B" w14:textId="7F7A488A" w:rsidR="002F2AE4" w:rsidRPr="00F30C46" w:rsidRDefault="002A086C" w:rsidP="002F2AE4">
      <w:pPr>
        <w:pStyle w:val="NormalHanging12a"/>
        <w:widowControl/>
      </w:pPr>
      <w:r w:rsidRPr="00F30C46">
        <w:lastRenderedPageBreak/>
        <w:t>15</w:t>
      </w:r>
      <w:r w:rsidR="002F2AE4" w:rsidRPr="00F30C46">
        <w:t>.</w:t>
      </w:r>
      <w:r w:rsidR="002F2AE4" w:rsidRPr="00F30C46">
        <w:tab/>
        <w:t>Lamenta la asociación «sin límites» entre Rusia y China, en particular el compromiso renovado de reforzar sus vínculos militares; acoge con satisfacción la decisión del Consejo de imponer sanciones a las empresas chinas por apoyar la guerra de Rusia en Ucrania;</w:t>
      </w:r>
    </w:p>
    <w:p w14:paraId="12152E9B" w14:textId="113DC34E" w:rsidR="002F2AE4" w:rsidRPr="00F30C46" w:rsidRDefault="002A086C" w:rsidP="002F2AE4">
      <w:pPr>
        <w:pStyle w:val="NormalHanging12a"/>
        <w:widowControl/>
      </w:pPr>
      <w:r w:rsidRPr="00F30C46">
        <w:t>16</w:t>
      </w:r>
      <w:r w:rsidR="002F2AE4" w:rsidRPr="00F30C46">
        <w:t>.</w:t>
      </w:r>
      <w:r w:rsidR="002F2AE4" w:rsidRPr="00F30C46">
        <w:tab/>
        <w:t>Expresa su más grave preocupación por la vigilancia y el sabotaje por Rusia y China de infraestructuras marítimas críticas, como los cables de comunicación de los fondos marinos y las instalaciones de energía en alta mar; expresa, en particular, su profunda preocupación por los daños sufridos por dos cables de comunicaciones submarinos —uno que conecta Finlandia y Alemania y otro que conecta Suecia y Lituania— en menos de 24 horas durante los días 17 y 18 de noviembre de 2024, y por el daño causado por un buque cisterna de la flota clandestina rusa al cable de energía EstLink2, que conecta Estonia y Finlandia, el 25 de diciembre de 2024; pide a la Unión que establezca sistemas eficaces de seguimiento y vigilancia y una cooperación regional entre guardacostas para garantizar la prevención y la detección rápida de ataques contra tales infraestructuras; acoge con satisfacción, a este respecto, la puesta en marcha de la operación «</w:t>
      </w:r>
      <w:proofErr w:type="spellStart"/>
      <w:r w:rsidR="002F2AE4" w:rsidRPr="00F30C46">
        <w:t>Baltic</w:t>
      </w:r>
      <w:proofErr w:type="spellEnd"/>
      <w:r w:rsidR="002F2AE4" w:rsidRPr="00F30C46">
        <w:t xml:space="preserve"> </w:t>
      </w:r>
      <w:proofErr w:type="spellStart"/>
      <w:r w:rsidR="002F2AE4" w:rsidRPr="00F30C46">
        <w:t>Sentry</w:t>
      </w:r>
      <w:proofErr w:type="spellEnd"/>
      <w:r w:rsidR="002F2AE4" w:rsidRPr="00F30C46">
        <w:t>» por la OTAN, con la participación de varios Estados miembros, para mejorar la seguridad de las infraestructuras submarinas críticas en el mar Báltico; pide a los Estados miembros que respeten plenamente los compromisos de la declaración conjunta de Nueva York sobre la seguridad y la resiliencia de los cables submarinos;</w:t>
      </w:r>
      <w:r w:rsidR="000713BD" w:rsidRPr="00F30C46">
        <w:t xml:space="preserve"> recuerda, asimismo, que en el estrecho de Taiwán se están llevando a cabo actos de sabotaje similares dirigidos a infraestructuras submarinas críticas;</w:t>
      </w:r>
    </w:p>
    <w:p w14:paraId="51A9B35E" w14:textId="097A53D7" w:rsidR="002F2AE4" w:rsidRPr="00F30C46" w:rsidRDefault="002A086C" w:rsidP="002F2AE4">
      <w:pPr>
        <w:pStyle w:val="NormalHanging12a"/>
        <w:widowControl/>
      </w:pPr>
      <w:r w:rsidRPr="00F30C46">
        <w:t>17</w:t>
      </w:r>
      <w:r w:rsidR="002F2AE4" w:rsidRPr="00F30C46">
        <w:t>.</w:t>
      </w:r>
      <w:r w:rsidR="002F2AE4" w:rsidRPr="00F30C46">
        <w:tab/>
        <w:t>Pide a la Unión y a sus Estados miembros que ejerzan un control estricto, eviten y limiten las actividades de la flota clandestina rusa, que, además de violar las sanciones de la Unión y del G7, supone una inmensa amenaza ecológica para los ecosistemas debido a sus deficiencias técnicas y frecuentes averías; insta a la Comisión a que adopte medidas rápidas en el marco de la cooperación de la Unión con la Organización Marítima Internacional, y a que diseñe sanciones más selectivas contra la flota clandestina en el próximo paquete de sanciones contra Rusia; especifica que dichas sanciones deben designar a todos los buques posibles de la flota clandestina, así como a sus armadores, operadores, gestores, etc.; recomienda prohibir la venta de buques cisterna a países que faciliten el comercio con Rusia; observa que los Estados de pabellón que contribuyen a la flota clandestina rusa también están ayudando, por tanto, al esfuerzo de guerra ruso;</w:t>
      </w:r>
    </w:p>
    <w:p w14:paraId="76530CCA" w14:textId="34EF240A" w:rsidR="002F2AE4" w:rsidRPr="00F30C46" w:rsidRDefault="002A086C" w:rsidP="002F2AE4">
      <w:pPr>
        <w:pStyle w:val="NormalHanging12a"/>
        <w:widowControl/>
      </w:pPr>
      <w:r w:rsidRPr="00F30C46">
        <w:t>18</w:t>
      </w:r>
      <w:r w:rsidR="002F2AE4" w:rsidRPr="00F30C46">
        <w:t>.</w:t>
      </w:r>
      <w:r w:rsidR="002F2AE4" w:rsidRPr="00F30C46">
        <w:tab/>
        <w:t xml:space="preserve">Reitera su llamamiento para que se adopten las medidas necesarias para la devolución de los niños ucranianos objeto de deportación forzosa y adopción ilegal en Rusia o en los territorios ucranianos ocupados; </w:t>
      </w:r>
    </w:p>
    <w:p w14:paraId="6B1E93F2" w14:textId="554671AB" w:rsidR="002F2AE4" w:rsidRPr="00F30C46" w:rsidRDefault="002A086C" w:rsidP="002F2AE4">
      <w:pPr>
        <w:pStyle w:val="NormalHanging12a"/>
        <w:widowControl/>
      </w:pPr>
      <w:r w:rsidRPr="00F30C46">
        <w:t>19</w:t>
      </w:r>
      <w:r w:rsidR="002F2AE4" w:rsidRPr="00F30C46">
        <w:t>.</w:t>
      </w:r>
      <w:r w:rsidR="002F2AE4" w:rsidRPr="00F30C46">
        <w:tab/>
        <w:t>Pide a la Comisión y al Consejo que designen al Grupo Wagner, que es un grupo militar privado financiado por el Estado ruso, como organización terrorista; llama la atención respecto del llamado «</w:t>
      </w:r>
      <w:proofErr w:type="spellStart"/>
      <w:r w:rsidR="002F2AE4" w:rsidRPr="00F30C46">
        <w:t>Africa</w:t>
      </w:r>
      <w:proofErr w:type="spellEnd"/>
      <w:r w:rsidR="002F2AE4" w:rsidRPr="00F30C46">
        <w:t xml:space="preserve"> Corps», creado tras la muerte del antiguo líder del Grupo Wagner, Yevgeny </w:t>
      </w:r>
      <w:proofErr w:type="spellStart"/>
      <w:r w:rsidR="002F2AE4" w:rsidRPr="00F30C46">
        <w:t>Prigozhin</w:t>
      </w:r>
      <w:proofErr w:type="spellEnd"/>
      <w:r w:rsidR="002F2AE4" w:rsidRPr="00F30C46">
        <w:t>, en agosto de 2023, y colocado bajo mando directo del Ministerio de Defensa ruso, en un esfuerzo por reagrupar elementos del Grupo Wagner bajo control gubernamental;</w:t>
      </w:r>
    </w:p>
    <w:p w14:paraId="250AC17F" w14:textId="710D11B5" w:rsidR="002F2AE4" w:rsidRPr="00F30C46" w:rsidRDefault="002A086C" w:rsidP="002F2AE4">
      <w:pPr>
        <w:pStyle w:val="NormalHanging12a"/>
        <w:widowControl/>
      </w:pPr>
      <w:r w:rsidRPr="00F30C46">
        <w:t>20</w:t>
      </w:r>
      <w:r w:rsidR="002F2AE4" w:rsidRPr="00F30C46">
        <w:t>.</w:t>
      </w:r>
      <w:r w:rsidR="002F2AE4" w:rsidRPr="00F30C46">
        <w:tab/>
        <w:t xml:space="preserve">Reitera que Ucrania, como víctima de la agresión, tiene el derecho inmanente de legítima defensa, en consonancia con el artículo 51 de la Carta de las Naciones Unidas; pide a la </w:t>
      </w:r>
      <w:proofErr w:type="spellStart"/>
      <w:r w:rsidR="002F2AE4" w:rsidRPr="00F30C46">
        <w:t>VP</w:t>
      </w:r>
      <w:proofErr w:type="spellEnd"/>
      <w:r w:rsidR="002F2AE4" w:rsidRPr="00F30C46">
        <w:t xml:space="preserve">/AR, a la Comisión, al Consejo y a los Estados miembros afectados que permitan contramedidas ucranianas eficaces contra Rusia; recuerda que Rusia ha vulnerado el Derecho internacional y que la plena incautación de los activos rusos </w:t>
      </w:r>
      <w:r w:rsidR="002F2AE4" w:rsidRPr="00F30C46">
        <w:lastRenderedPageBreak/>
        <w:t>inmovilizados constituye una medida adecuada para hacer cumplir la obligación de Rusia de respetar el Derecho internacional y de indemnizar a Ucrania y a otras partes perjudicadas por las pérdidas causadas por la guerra de agresión de Rusia; pide a la Comisión que establezca un régimen jurídico sólido para la confiscación de los activos del Estado ruso inmovilizados por la Unión; recuerda a la Comisión que ninguna propuesta de este tipo elimina la necesidad de mantener el apoyo financiero, político, militar y humanitario; pide la inclusión de todos los activos del Estado ruso, de autoridades locales rusas, de empresas estatales rusas y de personas físicas en la lista de sanciones de la Unión, y que dichos activos se utilicen para compensar a Ucrania por los daños causados por esta guerra;</w:t>
      </w:r>
    </w:p>
    <w:p w14:paraId="28ADD864" w14:textId="34163EE7" w:rsidR="002F2AE4" w:rsidRPr="00F30C46" w:rsidRDefault="002A086C" w:rsidP="002F2AE4">
      <w:pPr>
        <w:pStyle w:val="NormalHanging12a"/>
        <w:widowControl/>
      </w:pPr>
      <w:r w:rsidRPr="00F30C46">
        <w:t>21</w:t>
      </w:r>
      <w:r w:rsidR="002F2AE4" w:rsidRPr="00F30C46">
        <w:t>.</w:t>
      </w:r>
      <w:r w:rsidR="002F2AE4" w:rsidRPr="00F30C46">
        <w:tab/>
      </w:r>
      <w:r w:rsidR="00A01BBC" w:rsidRPr="00F30C46">
        <w:t>Se remite a la estimación de la última evaluación rápida de daños y perjuicios de que serán necesarios al menos 506 000 000 000 EUR durante la próxima década para la recuperación y reconstrucción de Ucrania; acoge con satisfacción el Mecanismo para Ucrania de la UE, que cuenta con un presupuesto de casi 50 000 000 000 EUR y el Mecanismo de Cooperación con Ucrania en materia de Préstamos de la UE, que ofrece préstamos a Ucrania por una cuantía de hasta 45</w:t>
      </w:r>
      <w:r w:rsidR="002F2AE4" w:rsidRPr="00F30C46">
        <w:t> 000 </w:t>
      </w:r>
      <w:r w:rsidR="006951C3" w:rsidRPr="00F30C46">
        <w:t>000 000</w:t>
      </w:r>
      <w:r w:rsidR="002F2AE4" w:rsidRPr="00F30C46">
        <w:t> EUR, que responde al llamamiento del Parlamento y se basa en la decisión del Consejo de dirigir los ingresos extraordinarios procedentes de activos estatales rusos inmovilizados al Fondo de Ayuda a Ucrania y al Mecanismo para Ucrania, así como en la decisión del G7 de ofrecer a Ucrania un préstamo de 50 000 </w:t>
      </w:r>
      <w:r w:rsidR="006951C3" w:rsidRPr="00F30C46">
        <w:t>000 000</w:t>
      </w:r>
      <w:r w:rsidR="002F2AE4" w:rsidRPr="00F30C46">
        <w:t xml:space="preserve"> USD garantizado a través de activos estatales rusos inmovilizados; expresa su convicción de que el nuevo Mecanismo de Cooperación con Ucrania en materia de Préstamos es un paso importante para que Rusia compense financieramente los enormes daños que sigue causando en Ucrania; </w:t>
      </w:r>
    </w:p>
    <w:p w14:paraId="30533119" w14:textId="3C413C5A" w:rsidR="002F2AE4" w:rsidRPr="00F30C46" w:rsidRDefault="002A086C" w:rsidP="002F2AE4">
      <w:pPr>
        <w:pStyle w:val="NormalHanging12a"/>
        <w:widowControl/>
      </w:pPr>
      <w:r w:rsidRPr="00F30C46">
        <w:t>22</w:t>
      </w:r>
      <w:r w:rsidR="002F2AE4" w:rsidRPr="00F30C46">
        <w:t>.</w:t>
      </w:r>
      <w:r w:rsidR="002F2AE4" w:rsidRPr="00F30C46">
        <w:tab/>
        <w:t>Denuncia el uso abusivo por parte del Gobierno húngaro de su poder de veto para retrasar o bloquear de hecho la concesión de ayuda esencial de la Unión a Ucrania</w:t>
      </w:r>
      <w:r w:rsidR="00A01BBC" w:rsidRPr="00F30C46">
        <w:t xml:space="preserve">, en un intento de debilitar la posición unificada de la Unión sobre Ucrania; pide a la </w:t>
      </w:r>
      <w:proofErr w:type="spellStart"/>
      <w:r w:rsidR="00A01BBC" w:rsidRPr="00F30C46">
        <w:t>VP</w:t>
      </w:r>
      <w:proofErr w:type="spellEnd"/>
      <w:r w:rsidR="00A01BBC" w:rsidRPr="00F30C46">
        <w:t>/AR y al presidente del Consejo, así como a los Estados miembros, que utilicen todas las herramientas disponibles para evitar que el Gobierno húngaro mantenga el bloqueo a la ayuda</w:t>
      </w:r>
      <w:r w:rsidR="002F2AE4" w:rsidRPr="00F30C46">
        <w:t>;</w:t>
      </w:r>
    </w:p>
    <w:p w14:paraId="028F4B7A" w14:textId="1A39C517" w:rsidR="002F2AE4" w:rsidRPr="00F30C46" w:rsidRDefault="002A086C" w:rsidP="002F2AE4">
      <w:pPr>
        <w:pStyle w:val="NormalHanging12a"/>
        <w:widowControl/>
      </w:pPr>
      <w:r w:rsidRPr="00F30C46">
        <w:t>23</w:t>
      </w:r>
      <w:r w:rsidR="002F2AE4" w:rsidRPr="00F30C46">
        <w:t>.</w:t>
      </w:r>
      <w:r w:rsidR="002F2AE4" w:rsidRPr="00F30C46">
        <w:tab/>
        <w:t xml:space="preserve">Insta a la </w:t>
      </w:r>
      <w:proofErr w:type="spellStart"/>
      <w:r w:rsidR="002F2AE4" w:rsidRPr="00F30C46">
        <w:t>VP</w:t>
      </w:r>
      <w:proofErr w:type="spellEnd"/>
      <w:r w:rsidR="002F2AE4" w:rsidRPr="00F30C46">
        <w:t xml:space="preserve">/AR y a los demás Estados miembros a que superen el bloqueo del Gobierno húngaro de la decisión de financiación y desembolso del </w:t>
      </w:r>
      <w:proofErr w:type="spellStart"/>
      <w:r w:rsidR="002F2AE4" w:rsidRPr="00F30C46">
        <w:t>FEAP</w:t>
      </w:r>
      <w:proofErr w:type="spellEnd"/>
      <w:r w:rsidR="00A01BBC" w:rsidRPr="00F30C46">
        <w:t>, es decir, el de 450 000 000 EUR para Polonia, en compensación por el equipo que ha facilitado a Ucrania; los insta</w:t>
      </w:r>
      <w:r w:rsidR="002F2AE4" w:rsidRPr="00F30C46">
        <w:t xml:space="preserve"> a que garanticen que el único instrumento de la Unión de apoyo a la ayuda militar a Ucrania vuelva a ser plenamente operativo; pide a la </w:t>
      </w:r>
      <w:proofErr w:type="spellStart"/>
      <w:r w:rsidR="002F2AE4" w:rsidRPr="00F30C46">
        <w:t>VP</w:t>
      </w:r>
      <w:proofErr w:type="spellEnd"/>
      <w:r w:rsidR="002F2AE4" w:rsidRPr="00F30C46">
        <w:t>/AR que presente propuestas para evitar tales bloqueos en el futuro o que encuentre un mecanismo alternativo que sea plenamente fiable;</w:t>
      </w:r>
    </w:p>
    <w:p w14:paraId="4E4F2E0F" w14:textId="59DE8C73" w:rsidR="002F2AE4" w:rsidRPr="00F30C46" w:rsidRDefault="002A086C" w:rsidP="002F2AE4">
      <w:pPr>
        <w:pStyle w:val="NormalHanging12a"/>
        <w:widowControl/>
      </w:pPr>
      <w:r w:rsidRPr="00F30C46">
        <w:t>24</w:t>
      </w:r>
      <w:r w:rsidR="002F2AE4" w:rsidRPr="00F30C46">
        <w:t>.</w:t>
      </w:r>
      <w:r w:rsidR="002F2AE4" w:rsidRPr="00F30C46">
        <w:tab/>
      </w:r>
      <w:r w:rsidR="00A01BBC" w:rsidRPr="00F30C46">
        <w:t>Subraya la urgente necesidad de que la Unión y sus Estados miembros impulsen la creación de un tribunal especial internacional con jurisdicción para investigar y enjuiciar el crimen de agresión perpetrado contra Ucrania por los dirigentes políticos y militares de la Federación de Rusia y sus aliados; condena la ejecución de prisioneros de guerra ucranianos por parte de las fuerzas rusas; subraya que no habrá paz sostenible sin justicia; acoge con satisfacción el establecimiento del Centro Internacional para el Enjuiciamiento del Crimen de Agresión contra Ucrania en La Haya; expresa su apoyo a todas las actividades de la Corte Penal Internacional y de la Corte Internacional de Justicia en el enjuiciamiento de los crímenes cometidos en territorio ucraniano; celebra la ratificación por parte de Ucrania del Estatuto de Roma de la CPI, que le permitió convertirse en Estado parte de dicho Estatuto a partir de enero de 2025</w:t>
      </w:r>
      <w:r w:rsidR="002F2AE4" w:rsidRPr="00F30C46">
        <w:t>;</w:t>
      </w:r>
    </w:p>
    <w:p w14:paraId="4EA6CBC5" w14:textId="49BF08C5" w:rsidR="002F2AE4" w:rsidRPr="00F30C46" w:rsidRDefault="002A086C" w:rsidP="002F2AE4">
      <w:pPr>
        <w:pStyle w:val="NormalHanging12a"/>
        <w:widowControl/>
      </w:pPr>
      <w:r w:rsidRPr="00F30C46">
        <w:lastRenderedPageBreak/>
        <w:t>25</w:t>
      </w:r>
      <w:r w:rsidR="002F2AE4" w:rsidRPr="00F30C46">
        <w:t>.</w:t>
      </w:r>
      <w:r w:rsidR="002F2AE4" w:rsidRPr="00F30C46">
        <w:tab/>
        <w:t>Felicita a Ucrania por sus progresos</w:t>
      </w:r>
      <w:r w:rsidR="00A01BBC" w:rsidRPr="00F30C46">
        <w:t>, a pesar de las condiciones de guerra,</w:t>
      </w:r>
      <w:r w:rsidR="002F2AE4" w:rsidRPr="00F30C46">
        <w:t xml:space="preserve"> en el proceso de análisis del grado de la adecuación del acervo y le pide que siga avanzando hacia la adhesión a la Unión utilizando todos los recursos puestos a su disposición en el marco del Mecanismo para Ucrania y que garantice la participación significativa de su sociedad civil en sus fases de aplicación y seguimiento; recuerda que la adhesión a la Unión es un proceso basado estrictamente en los méritos que requiere el cumplimiento de los criterios de Copenhague para la adhesión a la Unión, en particular los relativos a la democracia, el Estado de Derecho, los valores fundamentales y la lucha contra la corrupción;</w:t>
      </w:r>
    </w:p>
    <w:p w14:paraId="6FE418A2" w14:textId="0A185A7B" w:rsidR="002F2AE4" w:rsidRPr="00F30C46" w:rsidRDefault="002A086C" w:rsidP="002F2AE4">
      <w:pPr>
        <w:pStyle w:val="NormalHanging12a"/>
        <w:widowControl/>
      </w:pPr>
      <w:r w:rsidRPr="00F30C46">
        <w:t>26</w:t>
      </w:r>
      <w:r w:rsidR="002F2AE4" w:rsidRPr="00F30C46">
        <w:t>.</w:t>
      </w:r>
      <w:r w:rsidR="002F2AE4" w:rsidRPr="00F30C46">
        <w:tab/>
      </w:r>
      <w:r w:rsidR="00A01BBC" w:rsidRPr="00F30C46">
        <w:t xml:space="preserve">Considera que la adhesión de Ucrania y Moldavia a la Unión sería una inversión mutuamente beneficiosa en una Europa unida y fuerte; acoge con satisfacción el plan de crecimiento para la República de Moldavia y la adopción del Mecanismo de Reforma y Crecimiento para la República de Moldavia, por valor de 1 900 000 000 EUR, que sirve para acelerar las reformas relacionadas con la Unión; expresa su preocupación por las consecuencias negativas de la suspensión de la </w:t>
      </w:r>
      <w:proofErr w:type="spellStart"/>
      <w:r w:rsidR="00A01BBC" w:rsidRPr="00F30C46">
        <w:t>USAID</w:t>
      </w:r>
      <w:proofErr w:type="spellEnd"/>
      <w:r w:rsidR="00A01BBC" w:rsidRPr="00F30C46">
        <w:t xml:space="preserve"> para Moldavia; considera que esta carencia debe compensarse, en la medida de lo posible, con fuentes de la Unión, la Dotación Europea para la Democracia y otros; anima a la </w:t>
      </w:r>
      <w:proofErr w:type="spellStart"/>
      <w:r w:rsidR="00A01BBC" w:rsidRPr="00F30C46">
        <w:t>VP</w:t>
      </w:r>
      <w:proofErr w:type="spellEnd"/>
      <w:r w:rsidR="00A01BBC" w:rsidRPr="00F30C46">
        <w:t xml:space="preserve">/AR a que siga reforzando la asociación de la </w:t>
      </w:r>
      <w:proofErr w:type="spellStart"/>
      <w:r w:rsidR="00A01BBC" w:rsidRPr="00F30C46">
        <w:t>PESC</w:t>
      </w:r>
      <w:proofErr w:type="spellEnd"/>
      <w:r w:rsidR="00A01BBC" w:rsidRPr="00F30C46">
        <w:t xml:space="preserve"> con Ucrania y Moldavia y, en este contexto, acoge favorablemente la firma de la asociación de seguridad y defensa entre la Unión y Moldavia en mayo de 2024; recuerda que la seguridad de la República de Moldavia está inextricablemente vinculada a la seguridad de Ucrania; subraya, por tanto, la necesidad de aumentar las contribuciones financieras del </w:t>
      </w:r>
      <w:proofErr w:type="spellStart"/>
      <w:r w:rsidR="00A01BBC" w:rsidRPr="00F30C46">
        <w:t>FEAP</w:t>
      </w:r>
      <w:proofErr w:type="spellEnd"/>
      <w:r w:rsidR="00A01BBC" w:rsidRPr="00F30C46">
        <w:t xml:space="preserve"> para seguir mejorando las capacidades de defensa de Moldavia</w:t>
      </w:r>
      <w:r w:rsidR="002F2AE4" w:rsidRPr="00F30C46">
        <w:t>;</w:t>
      </w:r>
    </w:p>
    <w:p w14:paraId="1C91F76A" w14:textId="6353D236" w:rsidR="002F2AE4" w:rsidRPr="00F30C46" w:rsidRDefault="002A086C" w:rsidP="002F2AE4">
      <w:pPr>
        <w:pStyle w:val="NormalHanging12a"/>
        <w:widowControl/>
      </w:pPr>
      <w:r w:rsidRPr="00F30C46">
        <w:t>27</w:t>
      </w:r>
      <w:r w:rsidR="002F2AE4" w:rsidRPr="00F30C46">
        <w:t>.</w:t>
      </w:r>
      <w:r w:rsidR="002F2AE4" w:rsidRPr="00F30C46">
        <w:tab/>
        <w:t xml:space="preserve">Felicita a Moldavia por celebrar las elecciones presidenciales y el referéndum de un modo profesional y con un extraordinario sentido del deber y la dedicación, pese a la enorme y continua injerencia de Rusia y sus agentes; acoge con satisfacción el resultado del referéndum sobre la adhesión de Moldavia a la Unión Europea celebrado en 2024, que consagró en la Constitución del país el compromiso de adherirse a la Unión; expresa su apoyo a Moldavia en la defensa de su democracia; condena enérgicamente los intentos constantes y coordinados por parte de la Federación de Rusia, los oligarcas </w:t>
      </w:r>
      <w:proofErr w:type="spellStart"/>
      <w:r w:rsidR="002F2AE4" w:rsidRPr="00F30C46">
        <w:t>prorrusos</w:t>
      </w:r>
      <w:proofErr w:type="spellEnd"/>
      <w:r w:rsidR="002F2AE4" w:rsidRPr="00F30C46">
        <w:t xml:space="preserve"> y los representantes locales patrocinados por Rusia de desestabilizar la República de Moldavia, sembrar divisiones dentro de la sociedad moldava y desviar el rumbo </w:t>
      </w:r>
      <w:proofErr w:type="spellStart"/>
      <w:r w:rsidR="002F2AE4" w:rsidRPr="00F30C46">
        <w:t>proeuropeo</w:t>
      </w:r>
      <w:proofErr w:type="spellEnd"/>
      <w:r w:rsidR="002F2AE4" w:rsidRPr="00F30C46">
        <w:t xml:space="preserve"> del país mediante ataques híbridos, la militarización del suministro de energía, las campañas de desinformación, las amenazas de bomba, las protestas orquestadas y la amenaza o el uso de la violencia; elogia el establecimiento y las operaciones de la Misión de Cooperación de la Unión Europea en Moldavia, que han mejorado las capacidades de las autoridades moldavas para responder a la injerencia rusa; pide al Consejo, a la Comisión y al SEAE que proporcionen recursos adicionales, también de tipo humano y financiero, equipos y expertos civiles, necesarios para seguir cumpliendo el mandato de la Misión después de mayo de 2025;</w:t>
      </w:r>
    </w:p>
    <w:p w14:paraId="26CD5B07" w14:textId="21B454ED" w:rsidR="002F2AE4" w:rsidRPr="00F30C46" w:rsidRDefault="002A086C" w:rsidP="002F2AE4">
      <w:pPr>
        <w:pStyle w:val="NormalHanging12a"/>
        <w:widowControl/>
      </w:pPr>
      <w:r w:rsidRPr="00F30C46">
        <w:t>28</w:t>
      </w:r>
      <w:r w:rsidR="002F2AE4" w:rsidRPr="00F30C46">
        <w:t>.</w:t>
      </w:r>
      <w:r w:rsidR="002F2AE4" w:rsidRPr="00F30C46">
        <w:tab/>
        <w:t xml:space="preserve">Subraya la importancia que reviste el </w:t>
      </w:r>
      <w:proofErr w:type="spellStart"/>
      <w:r w:rsidR="002F2AE4" w:rsidRPr="00F30C46">
        <w:t>FEAP</w:t>
      </w:r>
      <w:proofErr w:type="spellEnd"/>
      <w:r w:rsidR="002F2AE4" w:rsidRPr="00F30C46">
        <w:t xml:space="preserve"> para mejorar la capacidad de la Unión de evitar conflictos, consolidar la paz y reforzar la seguridad internacional; </w:t>
      </w:r>
    </w:p>
    <w:p w14:paraId="2F29D3E4" w14:textId="1E2AC132" w:rsidR="002F2AE4" w:rsidRPr="00F30C46" w:rsidRDefault="002A086C" w:rsidP="002F2AE4">
      <w:pPr>
        <w:pStyle w:val="NormalHanging12a"/>
        <w:widowControl/>
      </w:pPr>
      <w:r w:rsidRPr="00F30C46">
        <w:t>29</w:t>
      </w:r>
      <w:r w:rsidR="002F2AE4" w:rsidRPr="00F30C46">
        <w:t>.</w:t>
      </w:r>
      <w:r w:rsidR="002F2AE4" w:rsidRPr="00F30C46">
        <w:tab/>
        <w:t xml:space="preserve">Acoge con satisfacción la puesta en marcha del grupo consultivo UE-Bielorrusia para permitir un diálogo continuo entre la Unión y las fuerzas democráticas bielorrusas; reitera su apoyo a la liberación de todos los presos políticos y los valientes activistas y periodistas de Bielorrusia que siguen resistiendo al régimen del líder ilegítimo a pesar de la represión en curso, en particular la negativa a renovar los pasaportes de los ciudadanos bielorrusos en el extranjero, y que han expresado su deseo de desarrollo </w:t>
      </w:r>
      <w:r w:rsidR="002F2AE4" w:rsidRPr="00F30C46">
        <w:lastRenderedPageBreak/>
        <w:t>democrático en Bielorrusia y de adhesión a la Unión, como en la Conferencia «Nueva Bielorrusia» celebrada en Varsovia en agosto de 2023; subraya que estos esfuerzos demuestran el papel fundamental de la sociedad civil en el fortalecimiento de la democracia;</w:t>
      </w:r>
    </w:p>
    <w:p w14:paraId="72B29C14" w14:textId="77777777" w:rsidR="002F2AE4" w:rsidRPr="00F30C46" w:rsidRDefault="002F2AE4" w:rsidP="002F2AE4">
      <w:pPr>
        <w:pStyle w:val="NormalHanging12a"/>
        <w:widowControl/>
        <w:rPr>
          <w:i/>
          <w:u w:val="single"/>
        </w:rPr>
      </w:pPr>
      <w:r w:rsidRPr="00F30C46">
        <w:rPr>
          <w:i/>
          <w:u w:val="single"/>
        </w:rPr>
        <w:t>Poner solución al conflicto y el apoyo a la paz en Oriente Próximo</w:t>
      </w:r>
    </w:p>
    <w:p w14:paraId="491AABB1" w14:textId="45123CAE" w:rsidR="002F2AE4" w:rsidRPr="00F30C46" w:rsidRDefault="002A086C" w:rsidP="002F2AE4">
      <w:pPr>
        <w:pStyle w:val="NormalHanging12a"/>
        <w:widowControl/>
      </w:pPr>
      <w:r w:rsidRPr="00F30C46">
        <w:t>30</w:t>
      </w:r>
      <w:r w:rsidR="002F2AE4" w:rsidRPr="00F30C46">
        <w:t>.</w:t>
      </w:r>
      <w:r w:rsidR="002F2AE4" w:rsidRPr="00F30C46">
        <w:tab/>
        <w:t>Afirma el derecho de Israel a defenderse tal como está consagrado y limitado por el Derecho internacional; recuerda que Israel tiene la obligación de abordar el riesgo de hambruna generalizada y de aparición de brotes epidémicos en Gaza; recuerda que Israel también tiene la obligación de proteger a la población civil y que las operaciones militares deben ser proporcionadas y conformes con el Derecho internacional humanitario; expresa su preocupación por la acción militar del Ejército israelí en la Franja de Gaza, en Cisjordania y en el Líbano; pide un alto el fuego inmediato y permanente, así como la liberación sin condiciones de todos los rehenes;</w:t>
      </w:r>
    </w:p>
    <w:p w14:paraId="66D611D7" w14:textId="4646E98B" w:rsidR="00E13E3B" w:rsidRPr="00F30C46" w:rsidRDefault="002A086C" w:rsidP="002F2AE4">
      <w:pPr>
        <w:pStyle w:val="NormalHanging12a"/>
        <w:widowControl/>
      </w:pPr>
      <w:r w:rsidRPr="00F30C46">
        <w:t>31</w:t>
      </w:r>
      <w:r w:rsidR="00E13E3B" w:rsidRPr="00F30C46">
        <w:t>.</w:t>
      </w:r>
      <w:r w:rsidR="00E13E3B" w:rsidRPr="00F30C46">
        <w:tab/>
        <w:t xml:space="preserve">Lamenta profundamente la ruptura del alto el fuego en Gaza, que ha causado un gran número de víctimas civiles en recientes ataques aéreos; deplora, en este contexto, la negativa de Hamás a entregar a los rehenes restantes; pide un retorno inmediato a la plena aplicación del acuerdo de alto el fuego y liberación de rehenes y subraya la necesidad de avanzar hacia su segunda fase; elogia el compromiso de los mediadores, incluidos los Estados Unidos, Egipto y Qatar, cuyos esfuerzos han sido fundamentales para lograr el acuerdo de alto el fuego y liberación de rehenes en la primera fase; se muestra dispuesto a entablar debates sobre futuras contribuciones concretas para apoyar un alto el fuego; considera que es clave respetar todas las obligaciones contraídas en virtud del acuerdo, garantizando la liberación de todos los rehenes, estableciendo un cese duradero de la violencia y permitiendo el acceso sin restricciones de la asistencia humanitaria y médica y su distribución ininterrumpida en la Franja de Gaza; acoge con satisfacción, a tal fin, el nuevo despliegue de EU BAM </w:t>
      </w:r>
      <w:proofErr w:type="spellStart"/>
      <w:r w:rsidR="00E13E3B" w:rsidRPr="00F30C46">
        <w:t>Rafah</w:t>
      </w:r>
      <w:proofErr w:type="spellEnd"/>
      <w:r w:rsidR="00E13E3B" w:rsidRPr="00F30C46">
        <w:t xml:space="preserve"> el 31 de enero de 2025 para ayudar a la Autoridad Palestina a facilitar los cruces para evacuaciones médicas; expresa su malestar ante el reciente cierre del paso fronterizo de </w:t>
      </w:r>
      <w:proofErr w:type="spellStart"/>
      <w:r w:rsidR="00E13E3B" w:rsidRPr="00F30C46">
        <w:t>Rafah</w:t>
      </w:r>
      <w:proofErr w:type="spellEnd"/>
      <w:r w:rsidR="00E13E3B" w:rsidRPr="00F30C46">
        <w:t xml:space="preserve"> hasta nuevo aviso como consecuencia de las operaciones militares en Gaza iniciadas el 18 de marzo de 2025; pide a todas las partes que se comprometan plenamente con sus obligaciones y den prioridad a la protección de la población civil; insta a todos los actores europeos e internacionales a que supervisen activamente la aplicación del alto el fuego y a que obliguen a rendir cuentas a quienes no lo respeten;</w:t>
      </w:r>
    </w:p>
    <w:p w14:paraId="57472A99" w14:textId="79C4DFC6" w:rsidR="00E13E3B" w:rsidRPr="00F30C46" w:rsidRDefault="002A086C" w:rsidP="002F2AE4">
      <w:pPr>
        <w:pStyle w:val="NormalHanging12a"/>
        <w:widowControl/>
      </w:pPr>
      <w:r w:rsidRPr="00F30C46">
        <w:t>32</w:t>
      </w:r>
      <w:r w:rsidR="00E13E3B" w:rsidRPr="00F30C46">
        <w:t>.</w:t>
      </w:r>
      <w:r w:rsidR="00E13E3B" w:rsidRPr="00F30C46">
        <w:tab/>
        <w:t>Considera que el Consejo de Asociación con Israel, celebrado en Bruselas el 24 de febrero de 2025, fue un primer paso para reanudar un debate franco y abierto con el ministro de Asuntos Exteriores israelí, que requerirá un seguimiento; reconoce el valor de colaborar con Israel para reforzar el papel de la Unión en Oriente Próximo, al tiempo que subraya que la asociación debe basarse en el pleno respeto de los derechos y valores; recuerda que el cumplimiento del artículo 2 del Acuerdo de Asociación es un elemento crucial de la asociación y pide un seguimiento y evaluación constantes de su aplicación por parte del Gobierno israelí; acoge con satisfacción el diálogo de alto nivel previsto con el primer ministro palestino en abril de 2025;</w:t>
      </w:r>
    </w:p>
    <w:p w14:paraId="1F398C08" w14:textId="7E5F7838" w:rsidR="002F2AE4" w:rsidRPr="00F30C46" w:rsidRDefault="002A086C" w:rsidP="002F2AE4">
      <w:pPr>
        <w:pStyle w:val="NormalHanging12a"/>
        <w:widowControl/>
      </w:pPr>
      <w:r w:rsidRPr="00F30C46">
        <w:t>33</w:t>
      </w:r>
      <w:r w:rsidR="002F2AE4" w:rsidRPr="00F30C46">
        <w:t>.</w:t>
      </w:r>
      <w:r w:rsidR="002F2AE4" w:rsidRPr="00F30C46">
        <w:tab/>
      </w:r>
      <w:r w:rsidR="00C75849" w:rsidRPr="00F30C46">
        <w:t xml:space="preserve">Reitera su apoyo inquebrantable a una solución negociada de dos Estados sobre la base de las fronteras de 1967, con dos Estados soberanos y democráticos en pacífica vecindad y con Jerusalén como capital común, que sigue siendo la opción más viable para una paz duradera y para la seguridad de israelíes y palestinos; pide a la </w:t>
      </w:r>
      <w:proofErr w:type="spellStart"/>
      <w:r w:rsidR="00C75849" w:rsidRPr="00F30C46">
        <w:t>VP</w:t>
      </w:r>
      <w:proofErr w:type="spellEnd"/>
      <w:r w:rsidR="00C75849" w:rsidRPr="00F30C46">
        <w:t xml:space="preserve">/AR que apoye todos los esfuerzos en este sentido y, en particular, la Alianza Global para </w:t>
      </w:r>
      <w:r w:rsidR="00C75849" w:rsidRPr="00F30C46">
        <w:lastRenderedPageBreak/>
        <w:t xml:space="preserve">Implementar la Solución </w:t>
      </w:r>
      <w:proofErr w:type="spellStart"/>
      <w:r w:rsidR="00C75849" w:rsidRPr="00F30C46">
        <w:t>Biestatal</w:t>
      </w:r>
      <w:proofErr w:type="spellEnd"/>
      <w:r w:rsidR="00C75849" w:rsidRPr="00F30C46">
        <w:t xml:space="preserve">; pide a todas las partes que renueven sus esfuerzos para eliminar los obstáculos a esta solución y que entablen un diálogo destinado a lograr el entendimiento y el respeto mutuos; acoge con satisfacción la posibilidad del retorno de la Autoridad Palestina a Gaza; lamenta que la Autoridad Palestina no haya celebrado elecciones desde 2005, lo que mina su credibilidad, y espera que se celebren pronto elecciones; expresa su convicción de que no puede haber perspectivas de paz, seguridad, estabilidad y prosperidad para Gaza ni para la reconciliación entre las poblaciones israelí y palestina mientras Hamás y otros grupos terroristas ejerzan influencia en la Franja de Gaza; pide, por tanto, al representante especial de la Unión Europea para el proceso de paz en Oriente Próximo que apoye los esfuerzos para contrarrestar el aumento de la radicalización de los jóvenes en la región; condena la proliferación cada vez más rápida de asentamientos ilegales israelíes en tierras palestinas, lo que vulnera el Derecho internacional, socava los esfuerzos para lograr una solución de dos Estados y supone un obstáculo importante para una paz duradera; expresa su preocupación por el aumento de la violencia cometida por las fuerzas israelíes y los colonos extremistas en Cisjordania y Jerusalén Oriental y acoge favorablemente las sanciones adoptadas contra los colonos extremistas israelíes; reitera la importancia de los Acuerdos de Abraham como marco para lograr una paz, estabilidad y prosperidad duraderas en Oriente Próximo; acoge con satisfacción el plan árabe de recuperación y reconstrucción presentado en la Cumbre de El Cairo el 4 de marzo de 2025, que constituye una base seria para debatir el futuro de la Franja de Gaza; anima a la </w:t>
      </w:r>
      <w:proofErr w:type="spellStart"/>
      <w:r w:rsidR="00C75849" w:rsidRPr="00F30C46">
        <w:t>VP</w:t>
      </w:r>
      <w:proofErr w:type="spellEnd"/>
      <w:r w:rsidR="00C75849" w:rsidRPr="00F30C46">
        <w:t xml:space="preserve">/AR y a la comisaria para el Mediterráneo a que colaboren constructivamente con los socios árabes con el fin de aportar soluciones creíbles para la reconstrucción, la gobernanza y la seguridad de Gaza; rechaza, por otra parte, la propuesta de la «Gaza de </w:t>
      </w:r>
      <w:proofErr w:type="spellStart"/>
      <w:r w:rsidR="00C75849" w:rsidRPr="00F30C46">
        <w:t>Trump</w:t>
      </w:r>
      <w:proofErr w:type="spellEnd"/>
      <w:r w:rsidR="00C75849" w:rsidRPr="00F30C46">
        <w:t>», que no tiene en cuenta la volatilidad de las condiciones de seguridad en Oriente Próximo; sostiene que el grado de destrucción y sufrimiento humano en Gaza exige un compromiso internacional global en el que los Estados Unidos, junto con la Unión Europea, las Naciones Unidas, los Estados árabes y otros socios internacionales, complementen sus respectivos esfuerzos para que se reanuden las negociaciones y resulten constructivas; expresa su compromiso con los futuros esfuerzos de normalización entre Israel y los Estados Árabes en la región</w:t>
      </w:r>
      <w:r w:rsidR="002F2AE4" w:rsidRPr="00F30C46">
        <w:t>;</w:t>
      </w:r>
    </w:p>
    <w:p w14:paraId="7DBDC381" w14:textId="2F9403AA" w:rsidR="002F2AE4" w:rsidRPr="00F30C46" w:rsidRDefault="002A086C" w:rsidP="002F2AE4">
      <w:pPr>
        <w:pStyle w:val="NormalHanging12a"/>
        <w:widowControl/>
      </w:pPr>
      <w:r w:rsidRPr="00F30C46">
        <w:t>34</w:t>
      </w:r>
      <w:r w:rsidR="002F2AE4" w:rsidRPr="00F30C46">
        <w:t>.</w:t>
      </w:r>
      <w:r w:rsidR="002F2AE4" w:rsidRPr="00F30C46">
        <w:tab/>
        <w:t>Apoya una solución justa y viable a la cuestión de los refugiados palestinos; subraya que el Organismo de Obras Públicas y Socorro de las Naciones Unidas para los Refugiados de Palestina en el Cercano Oriente (</w:t>
      </w:r>
      <w:proofErr w:type="spellStart"/>
      <w:r w:rsidR="002F2AE4" w:rsidRPr="00F30C46">
        <w:t>OOPS</w:t>
      </w:r>
      <w:proofErr w:type="spellEnd"/>
      <w:r w:rsidR="002F2AE4" w:rsidRPr="00F30C46">
        <w:t xml:space="preserve">) desempeña un papel importante en la prestación de ayuda humanitaria y servicios esenciales que no deben interrumpirse en las circunstancias actuales, y considera que todos los organismos de las Naciones Unidas activos en la región deben recibir apoyo a su labor; recuerda, no obstante, su inquietud por las graves acusaciones formuladas contra miembros del personal del </w:t>
      </w:r>
      <w:proofErr w:type="spellStart"/>
      <w:r w:rsidR="002F2AE4" w:rsidRPr="00F30C46">
        <w:t>OOPS</w:t>
      </w:r>
      <w:proofErr w:type="spellEnd"/>
      <w:r w:rsidR="002F2AE4" w:rsidRPr="00F30C46">
        <w:t xml:space="preserve"> que sugieren que este organismo ha empleado a miembros de la organización terrorista Hamás; acoge con satisfacción las medidas adoptadas por las Naciones Unidas a raíz de las acusaciones relativas al personal de este organismo, así como el pleno compromiso del </w:t>
      </w:r>
      <w:proofErr w:type="spellStart"/>
      <w:r w:rsidR="002F2AE4" w:rsidRPr="00F30C46">
        <w:t>OOPS</w:t>
      </w:r>
      <w:proofErr w:type="spellEnd"/>
      <w:r w:rsidR="002F2AE4" w:rsidRPr="00F30C46">
        <w:t xml:space="preserve"> de aplicar las recomendaciones derivadas del informe Colonna; se hace eco de las Conclusiones del Consejo Europeo de 17 de octubre de 2024, que condenan cualquier intento de revocar el acuerdo de 1967 entre Israel y el </w:t>
      </w:r>
      <w:proofErr w:type="spellStart"/>
      <w:r w:rsidR="002F2AE4" w:rsidRPr="00F30C46">
        <w:t>OOPS</w:t>
      </w:r>
      <w:proofErr w:type="spellEnd"/>
      <w:r w:rsidR="002F2AE4" w:rsidRPr="00F30C46">
        <w:t xml:space="preserve">; insiste en que la Comisión garantice que ningún fondo con cargo al presupuesto de la Unión se utilice para financiar, apoyar o contribuir a las actividades de Hamás o </w:t>
      </w:r>
      <w:proofErr w:type="spellStart"/>
      <w:r w:rsidR="002F2AE4" w:rsidRPr="00F30C46">
        <w:t>Hizbulá</w:t>
      </w:r>
      <w:proofErr w:type="spellEnd"/>
      <w:r w:rsidR="002F2AE4" w:rsidRPr="00F30C46">
        <w:t>; destaca que en el futuro pueden ser necesarias medidas adicionales para velar por una mayor transparencia y rendición de cuentas;</w:t>
      </w:r>
    </w:p>
    <w:p w14:paraId="0F92BA42" w14:textId="6F00A4C3" w:rsidR="002F2AE4" w:rsidRPr="00F30C46" w:rsidRDefault="002A086C" w:rsidP="002F2AE4">
      <w:pPr>
        <w:pStyle w:val="NormalHanging12a"/>
        <w:widowControl/>
      </w:pPr>
      <w:r w:rsidRPr="00F30C46">
        <w:t>35</w:t>
      </w:r>
      <w:r w:rsidR="002F2AE4" w:rsidRPr="00F30C46">
        <w:t>.</w:t>
      </w:r>
      <w:r w:rsidR="002F2AE4" w:rsidRPr="00F30C46">
        <w:tab/>
        <w:t xml:space="preserve">Expresa su preocupación por el aumento de las tensiones en Oriente Próximo e insta a todas las partes a que defiendan el Derecho internacional humanitario, muestren la </w:t>
      </w:r>
      <w:r w:rsidR="002F2AE4" w:rsidRPr="00F30C46">
        <w:lastRenderedPageBreak/>
        <w:t xml:space="preserve">máxima moderación y se comprometan a rebajar la tensión, ya que debe evitarse a toda costa un conflicto regional; lamenta la pérdida de miles de vidas civiles; insta al desarme de </w:t>
      </w:r>
      <w:proofErr w:type="spellStart"/>
      <w:r w:rsidR="002F2AE4" w:rsidRPr="00F30C46">
        <w:t>Hizbulá</w:t>
      </w:r>
      <w:proofErr w:type="spellEnd"/>
      <w:r w:rsidR="002F2AE4" w:rsidRPr="00F30C46">
        <w:t xml:space="preserve"> como parte de unas medidas más amplias para reducir las hostilidades y garantizar la estabilidad regional; pide a la </w:t>
      </w:r>
      <w:proofErr w:type="spellStart"/>
      <w:r w:rsidR="002F2AE4" w:rsidRPr="00F30C46">
        <w:t>VP</w:t>
      </w:r>
      <w:proofErr w:type="spellEnd"/>
      <w:r w:rsidR="002F2AE4" w:rsidRPr="00F30C46">
        <w:t xml:space="preserve">/AR que presente una estrategia global de la Unión en Oriente Próximo, que aumente la presencia efectiva de la Unión en la región, que promueva la estabilidad y la paz a largo plazo en la región y que refuerce las asociaciones con las principales partes interesadas en la región; subraya que la estrategia debe concretarse en los primeros meses del mandato de la nueva Comisión y debe reflejarse en el próximo </w:t>
      </w:r>
      <w:proofErr w:type="spellStart"/>
      <w:r w:rsidR="002F2AE4" w:rsidRPr="00F30C46">
        <w:t>MFP</w:t>
      </w:r>
      <w:proofErr w:type="spellEnd"/>
      <w:r w:rsidR="002F2AE4" w:rsidRPr="00F30C46">
        <w:t xml:space="preserve"> para que tenga un impacto tangible en una situación que se deteriora rápidamente; hace hincapié en la necesidad de que los Estados miembros intensifiquen sus esfuerzos diplomáticos con los socios internacionales, incluidos los países del Golfo, con el fin de promover una desescalada urgente y un diálogo significativo; pone de relieve la necesidad de dar prioridad y fortalecer a las organizaciones de la sociedad civil en la región, en particular aquellas organizaciones que trabajan en la protección de los derechos humanos y la consolidación de la paz; </w:t>
      </w:r>
    </w:p>
    <w:p w14:paraId="0B002A81" w14:textId="06BDC301" w:rsidR="002F2AE4" w:rsidRPr="00F30C46" w:rsidRDefault="002A086C" w:rsidP="002F2AE4">
      <w:pPr>
        <w:pStyle w:val="NormalHanging12a"/>
        <w:widowControl/>
      </w:pPr>
      <w:r w:rsidRPr="00F30C46">
        <w:t>36</w:t>
      </w:r>
      <w:r w:rsidR="002F2AE4" w:rsidRPr="00F30C46">
        <w:t>.</w:t>
      </w:r>
      <w:r w:rsidR="002F2AE4" w:rsidRPr="00F30C46">
        <w:tab/>
        <w:t xml:space="preserve">Condena con firmeza el papel desestabilizador que desempeñan el régimen iraní y su red de agentes no estatales en la región; recuerda que Irán ha dejado de ocultarse tras la sombra de sus representantes y condena los dos ataques abiertos y directos de Irán contra el territorio de Israel en 2024, a los que Israel respondió con represalias en ambas ocasiones, lo que supone una escalada sin precedentes del conflicto; condena enérgicamente los ataques de </w:t>
      </w:r>
      <w:proofErr w:type="spellStart"/>
      <w:r w:rsidR="002F2AE4" w:rsidRPr="00F30C46">
        <w:t>Hizbulá</w:t>
      </w:r>
      <w:proofErr w:type="spellEnd"/>
      <w:r w:rsidR="002F2AE4" w:rsidRPr="00F30C46">
        <w:t xml:space="preserve"> contra Israel, que dieron lugar a una invasión terrestre israelí en el Líbano que ha causado un elevado número de víctimas civiles, desplazamientos forzosos y una escalada de la violencia en el Líbano; toma nota del alto el fuego entre Israel e </w:t>
      </w:r>
      <w:proofErr w:type="spellStart"/>
      <w:r w:rsidR="002F2AE4" w:rsidRPr="00F30C46">
        <w:t>Hizbulá</w:t>
      </w:r>
      <w:proofErr w:type="spellEnd"/>
      <w:r w:rsidR="002F2AE4" w:rsidRPr="00F30C46">
        <w:t>, acordado el 27 de noviembre de 2024 para un período de sesenta días; insta a Israel a que se retire del sur del Líbano en consonancia con la Resolución 1701 del Consejo de Seguridad de las Naciones Unidas; recuerda la necesidad de un cese definitivo de las hostilidades lo antes posible que ofrezca margen para una solución diplomática a lo largo de la línea azul; exige que la Resolución 1701 del Consejo de Seguridad de las Naciones Unidas se cumpla en su totalidad, como única vía para rebajar las tensiones y estabilizar la frontera entre Israel y el Líbano de forma duradera y restablecer plenamente la soberanía, la integridad territorial y la estabilidad del Líbano;</w:t>
      </w:r>
      <w:r w:rsidR="00C75849" w:rsidRPr="00F30C46">
        <w:t xml:space="preserve"> acoge con satisfacción la Decisión del Consejo, de 21 de enero de 2025, de adoptar una tercera medida de asistencia en el marco del Fondo Europeo de Apoyo a la Paz por valor de 60 000 000 EUR en beneficio de las Fuerzas Armadas libanesas;</w:t>
      </w:r>
    </w:p>
    <w:p w14:paraId="206B5701" w14:textId="38EEC213" w:rsidR="002F2AE4" w:rsidRPr="00F30C46" w:rsidRDefault="002A086C" w:rsidP="002F2AE4">
      <w:pPr>
        <w:pStyle w:val="NormalHanging12a"/>
        <w:widowControl/>
      </w:pPr>
      <w:r w:rsidRPr="00F30C46">
        <w:t>37</w:t>
      </w:r>
      <w:r w:rsidR="002F2AE4" w:rsidRPr="00F30C46">
        <w:t>.</w:t>
      </w:r>
      <w:r w:rsidR="002F2AE4" w:rsidRPr="00F30C46">
        <w:tab/>
        <w:t xml:space="preserve">Pide al Consejo y a la </w:t>
      </w:r>
      <w:proofErr w:type="spellStart"/>
      <w:r w:rsidR="002F2AE4" w:rsidRPr="00F30C46">
        <w:t>VP</w:t>
      </w:r>
      <w:proofErr w:type="spellEnd"/>
      <w:r w:rsidR="002F2AE4" w:rsidRPr="00F30C46">
        <w:t xml:space="preserve">/AR que se incluya a </w:t>
      </w:r>
      <w:proofErr w:type="spellStart"/>
      <w:r w:rsidR="002F2AE4" w:rsidRPr="00F30C46">
        <w:t>Hizbulá</w:t>
      </w:r>
      <w:proofErr w:type="spellEnd"/>
      <w:r w:rsidR="002F2AE4" w:rsidRPr="00F30C46">
        <w:t xml:space="preserve"> en su totalidad en la lista de la UE de organizaciones terroristas;</w:t>
      </w:r>
    </w:p>
    <w:p w14:paraId="50F5876C" w14:textId="3A981C08" w:rsidR="002F2AE4" w:rsidRPr="00F30C46" w:rsidRDefault="002A086C" w:rsidP="002F2AE4">
      <w:pPr>
        <w:pStyle w:val="NormalHanging12a"/>
        <w:widowControl/>
      </w:pPr>
      <w:r w:rsidRPr="00F30C46">
        <w:t>38</w:t>
      </w:r>
      <w:r w:rsidR="002F2AE4" w:rsidRPr="00F30C46">
        <w:t>.</w:t>
      </w:r>
      <w:r w:rsidR="002F2AE4" w:rsidRPr="00F30C46">
        <w:tab/>
        <w:t>Toma nota de la orden de detención emitida por la CPI el 21 de noviembre de 2024;</w:t>
      </w:r>
    </w:p>
    <w:p w14:paraId="7BF1EAA3" w14:textId="62ADA243" w:rsidR="00C75849" w:rsidRPr="00F30C46" w:rsidRDefault="002A086C" w:rsidP="002F2AE4">
      <w:pPr>
        <w:pStyle w:val="NormalHanging12a"/>
        <w:widowControl/>
      </w:pPr>
      <w:r w:rsidRPr="00F30C46">
        <w:t>39</w:t>
      </w:r>
      <w:r w:rsidR="00C75849" w:rsidRPr="00F30C46">
        <w:t>.</w:t>
      </w:r>
      <w:r w:rsidR="00C75849" w:rsidRPr="00F30C46">
        <w:tab/>
        <w:t>Se hace eco del llamamiento de la presidenta de la CPI, la jueza Tomoko Akane, para que la Unión adopte medidas inmediatas para proteger a la CPI y el Estado de Derecho en la comunidad internacional, en particular, mediante la rápida modificación del estatuto de bloqueo de la Unión para incluir a la CPI en su ámbito de aplicación;</w:t>
      </w:r>
    </w:p>
    <w:p w14:paraId="76590DB4" w14:textId="473AAE3E" w:rsidR="002F2AE4" w:rsidRPr="00F30C46" w:rsidRDefault="002A086C" w:rsidP="002F2AE4">
      <w:pPr>
        <w:pStyle w:val="NormalHanging12a"/>
        <w:widowControl/>
      </w:pPr>
      <w:r w:rsidRPr="00F30C46">
        <w:t>40</w:t>
      </w:r>
      <w:r w:rsidR="002F2AE4" w:rsidRPr="00F30C46">
        <w:t>.</w:t>
      </w:r>
      <w:r w:rsidR="002F2AE4" w:rsidRPr="00F30C46">
        <w:tab/>
      </w:r>
      <w:r w:rsidR="00C75849" w:rsidRPr="00F30C46">
        <w:t xml:space="preserve">Acoge con satisfacción la formación de un nuevo Gobierno; desea que el presidente Joseph </w:t>
      </w:r>
      <w:proofErr w:type="spellStart"/>
      <w:r w:rsidR="00C75849" w:rsidRPr="00F30C46">
        <w:t>Aoun</w:t>
      </w:r>
      <w:proofErr w:type="spellEnd"/>
      <w:r w:rsidR="00C75849" w:rsidRPr="00F30C46">
        <w:t xml:space="preserve"> y el primer ministro </w:t>
      </w:r>
      <w:proofErr w:type="spellStart"/>
      <w:r w:rsidR="00C75849" w:rsidRPr="00F30C46">
        <w:t>Nawaf</w:t>
      </w:r>
      <w:proofErr w:type="spellEnd"/>
      <w:r w:rsidR="00C75849" w:rsidRPr="00F30C46">
        <w:t xml:space="preserve"> </w:t>
      </w:r>
      <w:proofErr w:type="spellStart"/>
      <w:r w:rsidR="00C75849" w:rsidRPr="00F30C46">
        <w:t>Salam</w:t>
      </w:r>
      <w:proofErr w:type="spellEnd"/>
      <w:r w:rsidR="00C75849" w:rsidRPr="00F30C46">
        <w:t xml:space="preserve"> tengan éxito en la consecución de las aspiraciones del pueblo libanés; se compromete a apoyar al país en la reconstrucción de las instituciones estatales para que cumplan su misión al servicio de todos los ciudadanos, impulsando una agenda orientada a las reformas y con visión de futuro, en </w:t>
      </w:r>
      <w:r w:rsidR="00C75849" w:rsidRPr="00F30C46">
        <w:lastRenderedPageBreak/>
        <w:t xml:space="preserve">particular en lo que respecta a las libertades civiles y el Estado de Derecho; apoya los esfuerzos de reconstrucción mientras emprende un camino hacia la estabilización política y la recuperación socioeconómica; pide a la </w:t>
      </w:r>
      <w:proofErr w:type="spellStart"/>
      <w:r w:rsidR="00C75849" w:rsidRPr="00F30C46">
        <w:t>VP</w:t>
      </w:r>
      <w:proofErr w:type="spellEnd"/>
      <w:r w:rsidR="00C75849" w:rsidRPr="00F30C46">
        <w:t>/AR que revitalice la Asociación UE</w:t>
      </w:r>
      <w:r w:rsidR="00C75849" w:rsidRPr="00F30C46">
        <w:noBreakHyphen/>
        <w:t>Líbano, incluida la convocatoria próxima de un Consejo de Asociación</w:t>
      </w:r>
      <w:r w:rsidR="002F2AE4" w:rsidRPr="00F30C46">
        <w:t xml:space="preserve">; </w:t>
      </w:r>
    </w:p>
    <w:p w14:paraId="516F9991" w14:textId="313B6C46" w:rsidR="002F2AE4" w:rsidRPr="00F30C46" w:rsidRDefault="002A086C" w:rsidP="002F2AE4">
      <w:pPr>
        <w:pStyle w:val="NormalHanging12a"/>
        <w:widowControl/>
      </w:pPr>
      <w:r w:rsidRPr="00F30C46">
        <w:t>41</w:t>
      </w:r>
      <w:r w:rsidR="002F2AE4" w:rsidRPr="00F30C46">
        <w:t>.</w:t>
      </w:r>
      <w:r w:rsidR="002F2AE4" w:rsidRPr="00F30C46">
        <w:tab/>
        <w:t>Condena enérgicamente los recientes ataques contra la Fuerza Provisional de las Naciones Unidas en el Líbano (</w:t>
      </w:r>
      <w:proofErr w:type="spellStart"/>
      <w:r w:rsidR="002F2AE4" w:rsidRPr="00F30C46">
        <w:t>FPNUL</w:t>
      </w:r>
      <w:proofErr w:type="spellEnd"/>
      <w:r w:rsidR="002F2AE4" w:rsidRPr="00F30C46">
        <w:t xml:space="preserve">) por parte del Ejército israelí y de </w:t>
      </w:r>
      <w:proofErr w:type="spellStart"/>
      <w:r w:rsidR="002F2AE4" w:rsidRPr="00F30C46">
        <w:t>Hizbulá</w:t>
      </w:r>
      <w:proofErr w:type="spellEnd"/>
      <w:r w:rsidR="002F2AE4" w:rsidRPr="00F30C46">
        <w:t xml:space="preserve">; reitera la inviolabilidad de todo el personal y las instalaciones de las Naciones Unidas y reafirma la importancia del papel de estabilización que desempeña la </w:t>
      </w:r>
      <w:proofErr w:type="spellStart"/>
      <w:r w:rsidR="002F2AE4" w:rsidRPr="00F30C46">
        <w:t>FPNUL</w:t>
      </w:r>
      <w:proofErr w:type="spellEnd"/>
      <w:r w:rsidR="002F2AE4" w:rsidRPr="00F30C46">
        <w:t xml:space="preserve"> en el sur del Líbano, a la que contribuyen dieciséis Estados miembros, y pide el cese inmediato de estos ataques;</w:t>
      </w:r>
    </w:p>
    <w:p w14:paraId="41632E29" w14:textId="4FB5748C" w:rsidR="002F2AE4" w:rsidRPr="00F30C46" w:rsidRDefault="002A086C" w:rsidP="002F2AE4">
      <w:pPr>
        <w:pStyle w:val="NormalHanging12a"/>
        <w:widowControl/>
      </w:pPr>
      <w:r w:rsidRPr="00F30C46">
        <w:t>42</w:t>
      </w:r>
      <w:r w:rsidR="002F2AE4" w:rsidRPr="00F30C46">
        <w:t>.</w:t>
      </w:r>
      <w:r w:rsidR="002F2AE4" w:rsidRPr="00F30C46">
        <w:tab/>
        <w:t>Acoge favorablemente la decisión de prorrogar las sanciones contra Irán hasta julio de 2025, en particular sancionando la producción iraní de drones no tripulados y misiles y su suministro a Rusia y a toda la región de Oriente Próximo; destaca los fuertes vínculos entre Irán y el Cuerpo de los Guardianes de la Revolución Islámica (</w:t>
      </w:r>
      <w:proofErr w:type="spellStart"/>
      <w:r w:rsidR="002F2AE4" w:rsidRPr="00F30C46">
        <w:t>CGRI</w:t>
      </w:r>
      <w:proofErr w:type="spellEnd"/>
      <w:r w:rsidR="002F2AE4" w:rsidRPr="00F30C46">
        <w:t xml:space="preserve">), sus agentes, como los </w:t>
      </w:r>
      <w:proofErr w:type="spellStart"/>
      <w:r w:rsidR="002F2AE4" w:rsidRPr="00F30C46">
        <w:t>huzíes</w:t>
      </w:r>
      <w:proofErr w:type="spellEnd"/>
      <w:r w:rsidR="002F2AE4" w:rsidRPr="00F30C46">
        <w:t xml:space="preserve">, y las milicias activas en Irak y Siria; condena con firmeza el elevado número de atentados terroristas y asesinatos, o los intentos frustrados, perpetrados por el </w:t>
      </w:r>
      <w:proofErr w:type="spellStart"/>
      <w:r w:rsidR="002F2AE4" w:rsidRPr="00F30C46">
        <w:t>CGRI</w:t>
      </w:r>
      <w:proofErr w:type="spellEnd"/>
      <w:r w:rsidR="002F2AE4" w:rsidRPr="00F30C46">
        <w:t xml:space="preserve"> en todo el mundo, también en suelo europeo, durante las últimas décadas; reitera su llamamiento para que </w:t>
      </w:r>
      <w:proofErr w:type="spellStart"/>
      <w:r w:rsidR="002F2AE4" w:rsidRPr="00F30C46">
        <w:t>Hizbulá</w:t>
      </w:r>
      <w:proofErr w:type="spellEnd"/>
      <w:r w:rsidR="002F2AE4" w:rsidRPr="00F30C46">
        <w:t xml:space="preserve"> y el </w:t>
      </w:r>
      <w:proofErr w:type="spellStart"/>
      <w:r w:rsidR="002F2AE4" w:rsidRPr="00F30C46">
        <w:t>CGRI</w:t>
      </w:r>
      <w:proofErr w:type="spellEnd"/>
      <w:r w:rsidR="002F2AE4" w:rsidRPr="00F30C46">
        <w:t xml:space="preserve"> se añadan a la lista de la Unión de organizaciones terroristas; señala que las opciones de sanción que aún no se han agotado incluyen un planteamiento mucho más restrictivo en lo que se refiere a las transferencias de tecnología mediante la exportación de productos no clasificados como «productos de doble uso»;</w:t>
      </w:r>
    </w:p>
    <w:p w14:paraId="14EEB69C" w14:textId="7F4504C2" w:rsidR="002F2AE4" w:rsidRPr="00F30C46" w:rsidRDefault="002A086C" w:rsidP="002F2AE4">
      <w:pPr>
        <w:pStyle w:val="NormalHanging12a"/>
        <w:widowControl/>
      </w:pPr>
      <w:r w:rsidRPr="00F30C46">
        <w:t>43</w:t>
      </w:r>
      <w:r w:rsidR="002F2AE4" w:rsidRPr="00F30C46">
        <w:t>.</w:t>
      </w:r>
      <w:r w:rsidR="002F2AE4" w:rsidRPr="00F30C46">
        <w:tab/>
        <w:t xml:space="preserve">Condena enérgicamente los ataques desestabilizadores de </w:t>
      </w:r>
      <w:proofErr w:type="spellStart"/>
      <w:r w:rsidR="002F2AE4" w:rsidRPr="00F30C46">
        <w:t>huzíes</w:t>
      </w:r>
      <w:proofErr w:type="spellEnd"/>
      <w:r w:rsidR="002F2AE4" w:rsidRPr="00F30C46">
        <w:t xml:space="preserve"> contra buques comerciales </w:t>
      </w:r>
      <w:r w:rsidR="00C75849" w:rsidRPr="00F30C46">
        <w:t xml:space="preserve">y militares </w:t>
      </w:r>
      <w:r w:rsidR="002F2AE4" w:rsidRPr="00F30C46">
        <w:t>que transitan por el mar Rojo; subraya que estas acciones han provocado una perturbación significativa del comercio mundial, ya que las compañías navieras se ven obligadas a redirigir gran parte del tráfico del mar Rojo de modo que rodee el extremo meridional de África; pide una acción colectiva y anima a que se refuercen el compromiso de la Unión y la cooperación internacional, e insta encarecidamente a seguir actuando para garantizar la libertad de navegación en una de las vías navegables más críticas del mundo; pide el cese inmediato de estos ataques ilegales;</w:t>
      </w:r>
    </w:p>
    <w:p w14:paraId="24E03EBD" w14:textId="15D487E1" w:rsidR="002F2AE4" w:rsidRPr="00F30C46" w:rsidRDefault="002A086C" w:rsidP="002F2AE4">
      <w:pPr>
        <w:pStyle w:val="NormalHanging12a"/>
        <w:widowControl/>
      </w:pPr>
      <w:r w:rsidRPr="00F30C46">
        <w:t>44</w:t>
      </w:r>
      <w:r w:rsidR="002F2AE4" w:rsidRPr="00F30C46">
        <w:t>.</w:t>
      </w:r>
      <w:r w:rsidR="002F2AE4" w:rsidRPr="00F30C46">
        <w:tab/>
        <w:t xml:space="preserve">Comparte el objetivo de impedir a toda costa que Irán adquiera armas nucleares; señala, no obstante, que el régimen de Teherán ha rechazado claramente una reactivación del </w:t>
      </w:r>
      <w:proofErr w:type="spellStart"/>
      <w:r w:rsidR="002F2AE4" w:rsidRPr="00F30C46">
        <w:t>PAIC</w:t>
      </w:r>
      <w:proofErr w:type="spellEnd"/>
      <w:r w:rsidR="002F2AE4" w:rsidRPr="00F30C46">
        <w:t xml:space="preserve"> y se ha negado a cooperar en su actual litigio con el Organismo Internacional de Energía Atómica; destaca que, al mismo tiempo, Irán ha aumentado su capacidad armamentística nuclear; lamenta que actualmente no exista una estrategia para persuadir a Irán de que se abstenga de desarrollar capacidad nuclear militar, ni un plan de acción para el caso de que Irán supere el umbral nuclear; pide a la </w:t>
      </w:r>
      <w:proofErr w:type="spellStart"/>
      <w:r w:rsidR="002F2AE4" w:rsidRPr="00F30C46">
        <w:t>VP</w:t>
      </w:r>
      <w:proofErr w:type="spellEnd"/>
      <w:r w:rsidR="002F2AE4" w:rsidRPr="00F30C46">
        <w:t xml:space="preserve">/AR que presente una estrategia revisada con respecto a Irán que sirva como preparación ante cualquier situación; </w:t>
      </w:r>
    </w:p>
    <w:p w14:paraId="49D397C0" w14:textId="156D90E4" w:rsidR="002F2AE4" w:rsidRPr="00F30C46" w:rsidRDefault="002A086C" w:rsidP="002F2AE4">
      <w:pPr>
        <w:pStyle w:val="NormalHanging12a"/>
        <w:widowControl/>
      </w:pPr>
      <w:r w:rsidRPr="00F30C46">
        <w:t>45</w:t>
      </w:r>
      <w:r w:rsidR="002F2AE4" w:rsidRPr="00F30C46">
        <w:t>.</w:t>
      </w:r>
      <w:r w:rsidR="002F2AE4" w:rsidRPr="00F30C46">
        <w:tab/>
        <w:t xml:space="preserve">Expresa su preocupación por los discursos incendiarios, alimentados por la desinformación y la información falsa, que rodean a este conflicto, y su instrumentalización por parte de agentes maliciosos que buscan sembrar la desconfianza y el odio, también en el seno de las sociedades europeas, tal como ilustra de manera notable, aunque no exclusiva, el preocupante aumento del antisemitismo; advierte de que la Unión debe tener como objetivo primordial la lucha contra la desinformación, y pide que la Comisión aplique un enfoque coordinado, teniendo en cuenta las </w:t>
      </w:r>
      <w:r w:rsidR="002F2AE4" w:rsidRPr="00F30C46">
        <w:lastRenderedPageBreak/>
        <w:t>dimensiones exteriores e interiores de sus políticas, incluido, pero no de manera exclusiva, el próximo plan de comunicación estratégica para promover el papel de la Unión en la vecindad meridional;</w:t>
      </w:r>
    </w:p>
    <w:p w14:paraId="55717857" w14:textId="7FD0D153" w:rsidR="002F2AE4" w:rsidRPr="00F30C46" w:rsidRDefault="002A086C" w:rsidP="002F2AE4">
      <w:pPr>
        <w:pStyle w:val="NormalHanging12a"/>
        <w:widowControl/>
      </w:pPr>
      <w:r w:rsidRPr="00F30C46">
        <w:t>46</w:t>
      </w:r>
      <w:r w:rsidR="002F2AE4" w:rsidRPr="00F30C46">
        <w:t>.</w:t>
      </w:r>
      <w:r w:rsidR="002F2AE4" w:rsidRPr="00F30C46">
        <w:tab/>
      </w:r>
      <w:r w:rsidR="00C75849" w:rsidRPr="00F30C46">
        <w:t>Acoge con satisfacción la histórica caída del régimen de Asad en Siria; recuerda que este régimen solo sobrevivió tanto tiempo gracias al apoyo de sus aliados rusos e iraníes y que su colapso demuestra que se debilitan; acoge favorablemente el nuevo comienzo de las relaciones entre la Unión y Siria, que se manifiesta en el nombramiento de un encargado de negocios de la Unión en Damasco, el compromiso diplomático y las reuniones de alto nivel celebradas por Estados miembros y dirigentes de la Unión, así como la Novena Conferencia de Bruselas que tuvo lugar el 17 de marzo de 2025 con la participación del ministro interino de Asuntos Exteriores Asad al-</w:t>
      </w:r>
      <w:proofErr w:type="spellStart"/>
      <w:r w:rsidR="00C75849" w:rsidRPr="00F30C46">
        <w:t>Shaibani</w:t>
      </w:r>
      <w:proofErr w:type="spellEnd"/>
      <w:r w:rsidR="00C75849" w:rsidRPr="00F30C46">
        <w:t xml:space="preserve">; </w:t>
      </w:r>
      <w:r w:rsidR="00317795" w:rsidRPr="00F30C46">
        <w:t xml:space="preserve">considera que el establecimiento de relaciones diplomáticas con las nuevas autoridades sirias no debe servir de pretexto para mostrar clemencia hacia los nacionales de los Estados miembros que hayan combatido como parte de grupos islamistas en Siria; declara que estos combatientes siguen representando una amenaza para los países de los que son nacionales y para todos los Estados miembros; </w:t>
      </w:r>
      <w:r w:rsidR="00C75849" w:rsidRPr="00F30C46">
        <w:t xml:space="preserve">reitera su apoyo inquebrantable a la integridad territorial de Siria y destaca la necesidad de intensificar urgentemente la ayuda humanitaria y la protección de los 16,7 millones de personas necesitadas; acoge con satisfacción, a tal fin, la prórroga indefinida de las exenciones humanitarias y la suspensión gradual, aunque condicionada, de las sanciones a varios sectores económicos, con el fin de proporcionar a la economía siria una ayuda vital muy necesaria; se compromete a seguir de cerca el proceso de transición política y a solicitar a los Estados miembros que revoquen el levantamiento de las sanciones si las autoridades sirias no cumplen sus compromisos declarados; reconoce el reto de la construcción ordenada del Estado vinculado al riesgo de insurgencia de grupos armados leales al antiguo régimen; anima a las autoridades en funciones a organizar de manera urgente el desarme paramilitar y civil, en particular tras las represalias inaceptables dirigidas contra la comunidad alauí sobre la base de su asociación percibida con el régimen de Al-Asad; pide a la Unión Europea y a los Estados miembros que respalden el proceso de aplicación del acuerdo entre el Gobierno de transición sirio y las </w:t>
      </w:r>
      <w:proofErr w:type="spellStart"/>
      <w:r w:rsidR="00C75849" w:rsidRPr="00F30C46">
        <w:t>FDS</w:t>
      </w:r>
      <w:proofErr w:type="spellEnd"/>
      <w:r w:rsidR="00C75849" w:rsidRPr="00F30C46">
        <w:t>, dirigidas por los kurdos, con el fin de garantizar el pleno reconocimiento y la participación política de la comunidad kurda en Siria; pide a todas las partes que contribuyan a una transición política pacífica y dirigida por el pueblo sirio hacia un modelo de gobernanza democrática que garantice la representación, la participación y la igualdad de derechos de las mujeres, las minorías y todos los miembros de la sociedad siria con independencia de su origen étnico o su religión, y que sitúe el buen funcionamiento de las instituciones públicas y el bienestar del pueblo sirio en el centro de sus acciones; acoge con agrado el reconocimiento de la diversidad siria por parte del presidente en funciones Al-</w:t>
      </w:r>
      <w:proofErr w:type="spellStart"/>
      <w:r w:rsidR="00C75849" w:rsidRPr="00F30C46">
        <w:t>Shara</w:t>
      </w:r>
      <w:proofErr w:type="spellEnd"/>
      <w:r w:rsidR="00C75849" w:rsidRPr="00F30C46">
        <w:t xml:space="preserve">, al tiempo que toma nota de las carencias en este ámbito que muestra la composición del actual Gobierno provisional; cree firmemente que el éxito de la transición política siria, en especial la salvaguardia de la paz civil y la creación de confianza en las instituciones del Estado, depende de la justicia transicional y de la reconciliación como vía para luchar contra la impunidad de todas las partes responsables de violaciones del Derecho internacional humanitario; subraya que la lucha contra la impunidad en Siria constituye un imperativo moral y político para Europa y la comunidad internacional; pide a la Unión y a sus Estados miembros que apoyen la labor del Mecanismo Internacional, Imparcial e Independiente para Ayudar en la Investigación y el Enjuiciamiento de los Responsables de los Delitos de Derecho Internacional Más Graves Cometidos en la República Árabe Siria desde Marzo de 2011; anima a Siria a que ratifique el Estatuto de Roma de la Corte Penal Internacional (CPI) </w:t>
      </w:r>
      <w:r w:rsidR="00C75849" w:rsidRPr="00F30C46">
        <w:lastRenderedPageBreak/>
        <w:t xml:space="preserve">y adapte la legislación nacional en consecuencia, y a que conceda a la CPI jurisdicción retroactiva mediante una declaración; pide a la Unión y a sus Estados miembros que consideren la posibilidad de crear una misión especial, en cooperación con los socios internacionales, para ayudar a documentar los casos de delitos graves cometidos por el régimen de Asad, así como por todas las demás facciones; destaca la importancia de preservar la integridad territorial de Siria, también para contribuir a preservar la estabilidad en la región; pide a la </w:t>
      </w:r>
      <w:proofErr w:type="spellStart"/>
      <w:r w:rsidR="00C75849" w:rsidRPr="00F30C46">
        <w:t>VP</w:t>
      </w:r>
      <w:proofErr w:type="spellEnd"/>
      <w:r w:rsidR="00C75849" w:rsidRPr="00F30C46">
        <w:t>/AR y a los Estados miembros que adopten medidas inmediatas para evitar el restablecimiento o el refuerzo de las fuerzas militares, paramilitares o servicios de inteligencia rusos en el país</w:t>
      </w:r>
      <w:r w:rsidR="002F2AE4" w:rsidRPr="00F30C46">
        <w:t>;</w:t>
      </w:r>
    </w:p>
    <w:p w14:paraId="7D228867" w14:textId="77777777" w:rsidR="002F2AE4" w:rsidRPr="00F30C46" w:rsidRDefault="002F2AE4" w:rsidP="002F2AE4">
      <w:pPr>
        <w:pStyle w:val="NormalHanging12a"/>
        <w:widowControl/>
        <w:rPr>
          <w:i/>
          <w:u w:val="single"/>
        </w:rPr>
      </w:pPr>
      <w:r w:rsidRPr="00F30C46">
        <w:rPr>
          <w:i/>
          <w:u w:val="single"/>
        </w:rPr>
        <w:t>Incentivar la cooperación con socios afines</w:t>
      </w:r>
    </w:p>
    <w:p w14:paraId="30D7DFB7" w14:textId="08FB5245" w:rsidR="002F2AE4" w:rsidRPr="00F30C46" w:rsidRDefault="002A086C" w:rsidP="002F2AE4">
      <w:pPr>
        <w:pStyle w:val="NormalHanging12a"/>
        <w:widowControl/>
      </w:pPr>
      <w:r w:rsidRPr="00F30C46">
        <w:t>47</w:t>
      </w:r>
      <w:r w:rsidR="002F2AE4" w:rsidRPr="00F30C46">
        <w:t>.</w:t>
      </w:r>
      <w:r w:rsidR="002F2AE4" w:rsidRPr="00F30C46">
        <w:tab/>
        <w:t xml:space="preserve">Reconoce que el requisito de unanimidad obliga a los Estados miembros a trabajar incansablemente para alcanzar el consenso y la unidad, lo que constituye la fuente de la influencia política de la Unión en la escena internacional; señala, no obstante, la necesidad de evaluar críticamente el equilibrio entre el ideal de unidad y los elevados costes de la unanimidad en términos de credibilidad en la escena mundial, en particular teniendo presente la eficacia del funcionamiento de una Unión Europea ampliada; </w:t>
      </w:r>
    </w:p>
    <w:p w14:paraId="64AE328A" w14:textId="244FB061" w:rsidR="002F2AE4" w:rsidRPr="00F30C46" w:rsidRDefault="002A086C" w:rsidP="002F2AE4">
      <w:pPr>
        <w:pStyle w:val="NormalHanging12a"/>
        <w:widowControl/>
      </w:pPr>
      <w:r w:rsidRPr="00F30C46">
        <w:t>48</w:t>
      </w:r>
      <w:r w:rsidR="002F2AE4" w:rsidRPr="00F30C46">
        <w:t>.</w:t>
      </w:r>
      <w:r w:rsidR="002F2AE4" w:rsidRPr="00F30C46">
        <w:tab/>
        <w:t xml:space="preserve">Lamenta, en este contexto, que determinados Estados miembros hayan utilizado su derecho de veto para debilitar acuerdos, retrasar la toma de decisiones o directamente frustrar una política común; lamenta que el potencial de una acción exterior, de seguridad y de defensa rápida, eficiente y eficaz, tal como se prevé, entre otros, en las cláusulas pasarela del </w:t>
      </w:r>
      <w:proofErr w:type="spellStart"/>
      <w:r w:rsidR="002F2AE4" w:rsidRPr="00F30C46">
        <w:t>TUE</w:t>
      </w:r>
      <w:proofErr w:type="spellEnd"/>
      <w:r w:rsidR="002F2AE4" w:rsidRPr="00F30C46">
        <w:t>, no se haya utilizado nunca;</w:t>
      </w:r>
    </w:p>
    <w:p w14:paraId="09D5C7C8" w14:textId="202E3243" w:rsidR="002F2AE4" w:rsidRPr="00F30C46" w:rsidRDefault="002A086C" w:rsidP="002F2AE4">
      <w:pPr>
        <w:pStyle w:val="NormalHanging12a"/>
        <w:widowControl/>
      </w:pPr>
      <w:r w:rsidRPr="00F30C46">
        <w:t>49</w:t>
      </w:r>
      <w:r w:rsidR="002F2AE4" w:rsidRPr="00F30C46">
        <w:t>.</w:t>
      </w:r>
      <w:r w:rsidR="002F2AE4" w:rsidRPr="00F30C46">
        <w:tab/>
        <w:t xml:space="preserve">Reitera su llamamiento al Consejo para que pase gradualmente a la votación por mayoría cualificada para las decisiones en ámbitos de la </w:t>
      </w:r>
      <w:proofErr w:type="spellStart"/>
      <w:r w:rsidR="002F2AE4" w:rsidRPr="00F30C46">
        <w:t>PESC</w:t>
      </w:r>
      <w:proofErr w:type="spellEnd"/>
      <w:r w:rsidR="002F2AE4" w:rsidRPr="00F30C46">
        <w:t xml:space="preserve"> que no tengan repercusiones en el ámbito militar o de la defensa; reconoce la inquietud expresada por algunos Estados miembros, que temen que disminuya la capacidad para influir en la política exterior y de seguridad a nivel de la Unión; anima, a la espera de la plena aplicación de la votación por mayoría cualificada a las decisiones sin implicaciones militares o para la defensa, a que se aprovechen al máximo todas las posibilidades existentes en la actualidad para mejorar la firmeza en este sentido, también recurriendo a la abstención constructiva en consonancia con el artículo 31, apartado 1, del </w:t>
      </w:r>
      <w:proofErr w:type="spellStart"/>
      <w:r w:rsidR="002F2AE4" w:rsidRPr="00F30C46">
        <w:t>TUE</w:t>
      </w:r>
      <w:proofErr w:type="spellEnd"/>
      <w:r w:rsidR="002F2AE4" w:rsidRPr="00F30C46">
        <w:t>; es consciente de que el avance hacia la aplicación de la votación por mayoría cualificada solo puede ser gradual, partiendo de la formación de una cultura estratégica europea;</w:t>
      </w:r>
    </w:p>
    <w:p w14:paraId="695DE97E" w14:textId="274AF096" w:rsidR="002F2AE4" w:rsidRPr="00F30C46" w:rsidRDefault="002A086C" w:rsidP="002F2AE4">
      <w:pPr>
        <w:pStyle w:val="NormalHanging12a"/>
        <w:widowControl/>
      </w:pPr>
      <w:r w:rsidRPr="00F30C46">
        <w:t>50</w:t>
      </w:r>
      <w:r w:rsidR="002F2AE4" w:rsidRPr="00F30C46">
        <w:t>.</w:t>
      </w:r>
      <w:r w:rsidR="002F2AE4" w:rsidRPr="00F30C46">
        <w:tab/>
        <w:t xml:space="preserve">Destaca que el mundo es cada vez más multipolar y menos multilateral; hace hincapié en que los foros multilaterales, entre los que destacan las Naciones Unidas y sus agencias, deben considerarse el formato de cooperación de preferencia para la Unión; pide a los Estados miembros que refuercen las formas inclusivas de gobernanza multilateral y, en este contexto, anima a la Comisión, al SEAE y al Consejo a que intensifiquen la cooperación interinstitucional con las organizaciones multilaterales que forman parte integrante del sistema internacional basado en normas y a que protejan, de esta forma, a las Naciones Unidas y al conjunto del sistema multilateral; expresa su preocupación, a este respecto, por la creciente importancia de los formatos exclusivos de cooperación, que experimentan una competencia cada vez mayor; manifiesta asimismo su inquietud por el aumento del número de miembros del grupo de países </w:t>
      </w:r>
      <w:proofErr w:type="spellStart"/>
      <w:r w:rsidR="002F2AE4" w:rsidRPr="00F30C46">
        <w:t>BRICS</w:t>
      </w:r>
      <w:proofErr w:type="spellEnd"/>
      <w:r w:rsidR="002F2AE4" w:rsidRPr="00F30C46">
        <w:t xml:space="preserve">, que en la actualidad engloba al 45 % de la población mundial; insiste en que esta cooperación proporciona a Rusia los medios para eludir las medidas destinadas a aislar políticamente al país y permite a China seguir ampliando su influencia con su </w:t>
      </w:r>
      <w:r w:rsidR="002F2AE4" w:rsidRPr="00F30C46">
        <w:rPr>
          <w:i/>
          <w:iCs/>
        </w:rPr>
        <w:t>modus operandi</w:t>
      </w:r>
      <w:r w:rsidR="002F2AE4" w:rsidRPr="00F30C46">
        <w:t xml:space="preserve"> consistente en financiar proyectos de infraestructuras;</w:t>
      </w:r>
      <w:r w:rsidR="00317795" w:rsidRPr="00F30C46">
        <w:t xml:space="preserve"> subraya que la </w:t>
      </w:r>
      <w:r w:rsidR="00317795" w:rsidRPr="00F30C46">
        <w:lastRenderedPageBreak/>
        <w:t>seriedad del compromiso de China dependerá de su disposición a hacer concesiones para abordar la gestión y la reestructuración de la deuda de los países del Sur Global;</w:t>
      </w:r>
      <w:r w:rsidR="002F2AE4" w:rsidRPr="00F30C46">
        <w:t xml:space="preserve"> observa, al mismo tiempo, que cada vez es más frecuente la instrumentalización y el menoscabo de las instituciones y normas internacionales por parte de regímenes autocráticos; subraya que esta tendencia coloca a la Unión en una posición delicada, ya que debe lograr un equilibrio entre la necesidad de apelar a una concepción amplia e inclusiva del multilateralismo y, al mismo tiempo, fortalecer la cooperación con socios afines seleccionados;</w:t>
      </w:r>
    </w:p>
    <w:p w14:paraId="164685BE" w14:textId="2E0C8E45" w:rsidR="00317795" w:rsidRPr="00F30C46" w:rsidRDefault="002A086C" w:rsidP="002F2AE4">
      <w:pPr>
        <w:pStyle w:val="NormalHanging12a"/>
        <w:widowControl/>
      </w:pPr>
      <w:r w:rsidRPr="00F30C46">
        <w:t>51</w:t>
      </w:r>
      <w:r w:rsidR="00317795" w:rsidRPr="00F30C46">
        <w:t>.</w:t>
      </w:r>
      <w:r w:rsidR="00317795" w:rsidRPr="00F30C46">
        <w:tab/>
        <w:t xml:space="preserve">Pide a la Comisión y al Consejo que reevalúen y reconsideren el enfoque de la Unión con respecto al grupo </w:t>
      </w:r>
      <w:proofErr w:type="spellStart"/>
      <w:r w:rsidR="00317795" w:rsidRPr="00F30C46">
        <w:t>BRICS</w:t>
      </w:r>
      <w:proofErr w:type="spellEnd"/>
      <w:r w:rsidR="00317795" w:rsidRPr="00F30C46">
        <w:t xml:space="preserve"> y sus socios, y que desarrollen una política específica de la Unión con respecto a los </w:t>
      </w:r>
      <w:proofErr w:type="spellStart"/>
      <w:r w:rsidR="00317795" w:rsidRPr="00F30C46">
        <w:t>BRICS</w:t>
      </w:r>
      <w:proofErr w:type="spellEnd"/>
      <w:r w:rsidR="00317795" w:rsidRPr="00F30C46">
        <w:t>+;</w:t>
      </w:r>
    </w:p>
    <w:p w14:paraId="2607F95E" w14:textId="677A3328" w:rsidR="00317795" w:rsidRPr="00F30C46" w:rsidRDefault="002A086C" w:rsidP="002F2AE4">
      <w:pPr>
        <w:pStyle w:val="NormalHanging12a"/>
        <w:widowControl/>
      </w:pPr>
      <w:r w:rsidRPr="00F30C46">
        <w:t>52</w:t>
      </w:r>
      <w:r w:rsidR="00317795" w:rsidRPr="00F30C46">
        <w:t>.</w:t>
      </w:r>
      <w:r w:rsidR="00317795" w:rsidRPr="00F30C46">
        <w:tab/>
        <w:t>Pide encarecidamente que se revise la ayuda financiera que proporciona la Unión a terceros países para garantizar que no apoya a gobiernos que cuestionan los valores europeos, difunden propaganda antioccidental, apoyan la guerra de agresión de Rusia contra Ucrania y menoscaban el orden internacional actual que defiende la democracia, los derechos humanos y la lucha contra la corrupción;</w:t>
      </w:r>
    </w:p>
    <w:p w14:paraId="52D37C8F" w14:textId="00FC5F78" w:rsidR="002F2AE4" w:rsidRPr="00F30C46" w:rsidRDefault="002A086C" w:rsidP="002F2AE4">
      <w:pPr>
        <w:pStyle w:val="NormalHanging12a"/>
        <w:widowControl/>
      </w:pPr>
      <w:r w:rsidRPr="00F30C46">
        <w:t>53</w:t>
      </w:r>
      <w:r w:rsidR="002F2AE4" w:rsidRPr="00F30C46">
        <w:t>.</w:t>
      </w:r>
      <w:r w:rsidR="002F2AE4" w:rsidRPr="00F30C46">
        <w:tab/>
        <w:t>Destaca, en este sentido, que el contexto geopolítico en el que actúa la Unión sigue estando marcado por una incertidumbre radical y un cambio de la cooperación a la competencia; observa con preocupación cómo se están utilizando todos los tipos de interacción como arma y observa que esta tendencia es perjudicial para la cooperación internacional en un momento en que las transiciones mundiales deben acelerarse para abordar eficazmente los retos mundiales; recuerda que la Unión no puede permitirse un repliegue sobre sí misma y debe permanecer abierta y comprometida en el mundo para defender sus valores e intereses; subraya que, a la luz de los redoblados esfuerzos por parte de terceros países para desestabilizar el orden internacional y debilitar el multilateralismo mediante la difusión de desinformación, es esencial mejorar la cooperación y la coordinación con socios afines;</w:t>
      </w:r>
    </w:p>
    <w:p w14:paraId="165E6879" w14:textId="6CE7422D" w:rsidR="002F2AE4" w:rsidRPr="00F30C46" w:rsidRDefault="002A086C" w:rsidP="002F2AE4">
      <w:pPr>
        <w:pStyle w:val="NormalHanging12a"/>
        <w:widowControl/>
      </w:pPr>
      <w:r w:rsidRPr="00F30C46">
        <w:t>54</w:t>
      </w:r>
      <w:r w:rsidR="002F2AE4" w:rsidRPr="00F30C46">
        <w:t>.</w:t>
      </w:r>
      <w:r w:rsidR="002F2AE4" w:rsidRPr="00F30C46">
        <w:tab/>
        <w:t>Pide a las instituciones de la Unión y a los Estados miembros que apoyen activamente una reforma institucional integral de las instituciones multilaterales, ante todo del sistema de las Naciones Unidas y, en particular, del Consejo de Seguridad de las Naciones Unidas, que debe incluir medidas destinadas a limitar el uso del poder de veto, impulsar la representación regional, garantizar la rendición de cuentas del órgano ejecutivo ante la asamblea que lo elige y redefinir su composición para reflejar mejor la realidad geopolítica, también mediante el establecimiento de un puesto como miembro permanente para la Unión; destaca que dichas reformas revisten un carácter esencial para reforzar el multilateralismo, para mejorar la gobernanza mundial y la toma de decisiones basada en valores y para hacer frente a los desafíos internacionales de un modo más inclusivo y responsable;</w:t>
      </w:r>
    </w:p>
    <w:p w14:paraId="3EDA9A5C" w14:textId="797A2D93" w:rsidR="002F2AE4" w:rsidRPr="00F30C46" w:rsidRDefault="002A086C" w:rsidP="002F2AE4">
      <w:pPr>
        <w:pStyle w:val="NormalHanging12a"/>
        <w:widowControl/>
      </w:pPr>
      <w:r w:rsidRPr="00F30C46">
        <w:t>55</w:t>
      </w:r>
      <w:r w:rsidR="002F2AE4" w:rsidRPr="00F30C46">
        <w:t>.</w:t>
      </w:r>
      <w:r w:rsidR="002F2AE4" w:rsidRPr="00F30C46">
        <w:tab/>
        <w:t>Recuerda la importancia de una asociación sólida y constructiva con el Reino Unido</w:t>
      </w:r>
      <w:r w:rsidR="00317795" w:rsidRPr="00F30C46">
        <w:t>, no solo debido a la existencia de un amplio acuerdo de comercio y cooperación sin precedentes y a la base de valores compartidos como la democracia, el apoyo al multilateralismo y los derechos humanos, sino también al alcance de los temas de interés común en ámbitos como la defensa, el clima y la energía, la gestión de las fronteras, la lucha contra el terrorismo, la delincuencia organizada y la promoción de la paz y la estabilidad; acoge con satisfacción, en particular,</w:t>
      </w:r>
      <w:r w:rsidR="002F2AE4" w:rsidRPr="00F30C46">
        <w:t xml:space="preserve"> el impulso renovado del nuevo Gobierno del Reino Unido para reflexionar con la Unión sobre las posibilidades de una cooperación más intensa y permanente en materia de política exterior y </w:t>
      </w:r>
      <w:r w:rsidR="002F2AE4" w:rsidRPr="00F30C46">
        <w:lastRenderedPageBreak/>
        <w:t>seguridad, respaldada por medidas concretas y basada en la buena cooperación en el marco de las Naciones Unidas, así como en una coordinación eficaz entre la Unión y el Reino Unido en lo que se refiere a la adopción y el seguimiento de la aplicación de las sanciones contra Rusia; considera que dicha coordinación aporta un valor añadido tanto para la Unión como para el Reino Unido y, por lo tanto, acoge favorablemente el acuerdo de trabajar con el objetivo de crear una asociación en materia de seguridad entre la Unión y el Reino Unido basada en el interés compartido y la responsabilidad colectiva; considera que, en el ámbito de dicha asociación, deben consultarse temas como la seguridad marítima; pide que el Parlamento participe en dichas reflexiones y esté debidamente informado al respecto</w:t>
      </w:r>
      <w:r w:rsidR="00317795" w:rsidRPr="00F30C46">
        <w:t xml:space="preserve"> antes y después de la cumbre prevista entre el Reino Unido y la Unión</w:t>
      </w:r>
      <w:r w:rsidR="002F2AE4" w:rsidRPr="00F30C46">
        <w:t>;</w:t>
      </w:r>
    </w:p>
    <w:p w14:paraId="6360A24C" w14:textId="359264BB" w:rsidR="002F2AE4" w:rsidRPr="00F30C46" w:rsidRDefault="002A086C" w:rsidP="002F2AE4">
      <w:pPr>
        <w:pStyle w:val="NormalHanging12a"/>
        <w:widowControl/>
      </w:pPr>
      <w:r w:rsidRPr="00F30C46">
        <w:t>56</w:t>
      </w:r>
      <w:r w:rsidR="002F2AE4" w:rsidRPr="00F30C46">
        <w:t>.</w:t>
      </w:r>
      <w:r w:rsidR="002F2AE4" w:rsidRPr="00F30C46">
        <w:tab/>
      </w:r>
      <w:r w:rsidR="00317795" w:rsidRPr="00F30C46">
        <w:t>Toma nota del resultado de las elecciones presidenciales y al Congreso de los Estados Unidos; expresa su preocupación por el rápido ritmo con el que el nuevo Gobierno de los Estados Unidos ha estado fracturando las asociaciones establecidas y la tradición diplomática; expresa su consternación por la actual política del Gobierno estadounidense de apaciguar a Rusia y atacar a sus aliados tradicionales; lamenta las recientes declaraciones del vicepresidente de los Estados Unidos </w:t>
      </w:r>
      <w:proofErr w:type="spellStart"/>
      <w:r w:rsidR="00317795" w:rsidRPr="00F30C46">
        <w:t>Vance</w:t>
      </w:r>
      <w:proofErr w:type="spellEnd"/>
      <w:r w:rsidR="00317795" w:rsidRPr="00F30C46">
        <w:t xml:space="preserve">, que ponen en entredicho los valores compartidos que sustentan la asociación transatlántica; advierte de que, con esta política errática, el Gobierno de </w:t>
      </w:r>
      <w:proofErr w:type="spellStart"/>
      <w:r w:rsidR="00317795" w:rsidRPr="00F30C46">
        <w:t>Trump</w:t>
      </w:r>
      <w:proofErr w:type="spellEnd"/>
      <w:r w:rsidR="00317795" w:rsidRPr="00F30C46">
        <w:t xml:space="preserve"> está poniendo en riesgo un bien limitado: la confianza en los Estados Unidos; cree, no obstante, que la relación transatlántica sigue siendo indispensable para la seguridad de los socios a ambos lados del Atlántico y que, por tanto, merece la pena invertir en ella; considera que es más decisivo que nunca seguir colaborando con sus homólogos estadounidenses a nivel federal y estatal; anima a los Estados miembros a que busquen canales diplomáticos bilaterales con sus homólogos estadounidenses, como el formato de cooperación preferido por el Gobierno de los Estados Unidos, mostrando unidad y compromiso con una posición común de la Unión; reitera la importancia de la celebración periódica de cumbres UE</w:t>
      </w:r>
      <w:r w:rsidR="00317795" w:rsidRPr="00F30C46">
        <w:noBreakHyphen/>
        <w:t>EE. para dar un impulso de primer orden a la futura cooperación; se muestra totalmente a favor de que se profundice la cooperación en el marco del diálogo transatlántico entre la Unión y los Estados Unidos, por ejemplo, a través de la diplomacia parlamentaria transatlántica</w:t>
      </w:r>
      <w:r w:rsidR="002F2AE4" w:rsidRPr="00F30C46">
        <w:t>;</w:t>
      </w:r>
    </w:p>
    <w:p w14:paraId="29716473" w14:textId="514314B8" w:rsidR="00317795" w:rsidRPr="00F30C46" w:rsidRDefault="002A086C" w:rsidP="002F2AE4">
      <w:pPr>
        <w:pStyle w:val="NormalHanging12a"/>
        <w:widowControl/>
      </w:pPr>
      <w:r w:rsidRPr="00F30C46">
        <w:t>57</w:t>
      </w:r>
      <w:r w:rsidR="00317795" w:rsidRPr="00F30C46">
        <w:t>.</w:t>
      </w:r>
      <w:r w:rsidR="00317795" w:rsidRPr="00F30C46">
        <w:tab/>
        <w:t>Lamenta la decisión de los Estados Unidos de poner fin de manera repentina a la mayor parte de su ayuda humanitaria y ayuda al desarrollo, entre las que se incluye la ayuda que proporcionaba hasta ahora la Agencia de los Estados Unidos para el Desarrollo Internacional (</w:t>
      </w:r>
      <w:proofErr w:type="spellStart"/>
      <w:r w:rsidR="00317795" w:rsidRPr="00F30C46">
        <w:t>USAID</w:t>
      </w:r>
      <w:proofErr w:type="spellEnd"/>
      <w:r w:rsidR="00317795" w:rsidRPr="00F30C46">
        <w:t xml:space="preserve">), lo que tiene efectos devastadores en las vidas de innumerables personas y también entraña graves consecuencias para los derechos humanos y la seguridad mundial; reconoce que la Unión no puede sustituir a la </w:t>
      </w:r>
      <w:proofErr w:type="spellStart"/>
      <w:r w:rsidR="00317795" w:rsidRPr="00F30C46">
        <w:t>USAID</w:t>
      </w:r>
      <w:proofErr w:type="spellEnd"/>
      <w:r w:rsidR="00317795" w:rsidRPr="00F30C46">
        <w:t>, pero sí que tiene que reasignar recursos de manera estratégica e inteligente con arreglo al enfoque del Equipo Europa a fin de mitigar las repercusiones, tanto en interés de los países afectados como en nuestros propios intereses; acoge con satisfacción el anuncio de la Comisión y del SEAE según el cual se están realizando esfuerzos para inyectar liquidez en las zonas gravemente afectadas mediante la reasignación y el aumento de la prefinanciación; elogia la decisión de preparar un inventario a escala de la Unión, que debería tener en cuenta también los efectos secundarios, y pide que los resultados se compartan con los Estados miembros y con el Parlamento; pide a la Comisión que emita una declaración en la que haga balance de la respuesta global de la Unión a esta crisis;</w:t>
      </w:r>
    </w:p>
    <w:p w14:paraId="14130DFD" w14:textId="2519FA5E" w:rsidR="00317795" w:rsidRPr="00F30C46" w:rsidRDefault="002A086C" w:rsidP="002F2AE4">
      <w:pPr>
        <w:pStyle w:val="NormalHanging12a"/>
        <w:widowControl/>
      </w:pPr>
      <w:r w:rsidRPr="00F30C46">
        <w:t>58</w:t>
      </w:r>
      <w:r w:rsidR="00317795" w:rsidRPr="00F30C46">
        <w:t>.</w:t>
      </w:r>
      <w:r w:rsidR="00317795" w:rsidRPr="00F30C46">
        <w:tab/>
        <w:t xml:space="preserve">Pide a la Comisión que fomente unos vínculos más estrechos con Canadá con el fin de contrarrestar los retos mundiales que afectan a nuestros valores, intereses, seguridad y prosperidad compartidos; considera que el diálogo bilateral en materia de seguridad y </w:t>
      </w:r>
      <w:r w:rsidR="00317795" w:rsidRPr="00F30C46">
        <w:lastRenderedPageBreak/>
        <w:t>defensa, así como la próxima asociación de seguridad y defensa proporcionan la base para una mayor cooperación en materia de seguridad y defensa, en particular en las iniciativas respectivas para impulsar la producción de la industria de la defensa;</w:t>
      </w:r>
    </w:p>
    <w:p w14:paraId="0D3F2683" w14:textId="4C2F2071" w:rsidR="002F2AE4" w:rsidRPr="00F30C46" w:rsidRDefault="002A086C" w:rsidP="002F2AE4">
      <w:pPr>
        <w:pStyle w:val="NormalHanging12a"/>
        <w:widowControl/>
      </w:pPr>
      <w:r w:rsidRPr="00F30C46">
        <w:t>59</w:t>
      </w:r>
      <w:r w:rsidR="002F2AE4" w:rsidRPr="00F30C46">
        <w:t>.</w:t>
      </w:r>
      <w:r w:rsidR="002F2AE4" w:rsidRPr="00F30C46">
        <w:tab/>
        <w:t>Reitera, pese a todo, la necesidad de que los Estados miembros pongan plenamente en práctica el concepto de autonomía estratégica de la Unión y de preparación en materia de defensa y realicen, a tal efecto, inversiones colectivas y coordinadas en su seguridad y defensa, con el objetivo de lograr una verdadera Unión Europea de Defensa que sea interoperable y complementaria a la alianza de la OTAN y que pueda actuar con independencia cuando sea necesario;</w:t>
      </w:r>
      <w:r w:rsidR="00317795" w:rsidRPr="00F30C46">
        <w:t xml:space="preserve"> considera que la Unión debe actuar con urgencia para reducir su dependencia de terceros países en relación con sus capacidades de defensa, incluidos los elementos de apoyo estratégico, a fin de garantizar su propia seguridad autónoma; recuerda que la </w:t>
      </w:r>
      <w:proofErr w:type="spellStart"/>
      <w:r w:rsidR="00317795" w:rsidRPr="00F30C46">
        <w:t>BITDE</w:t>
      </w:r>
      <w:proofErr w:type="spellEnd"/>
      <w:r w:rsidR="00317795" w:rsidRPr="00F30C46">
        <w:t xml:space="preserve"> es un activo estratégico tanto para la seguridad y la defensa de la Unión como para su política exterior; pide que esta se refuerce de forma significativa y que se profundicen las asociaciones industriales en materia de defensa y la integración de la base industrial de socios fiables afines en la </w:t>
      </w:r>
      <w:proofErr w:type="spellStart"/>
      <w:r w:rsidR="00317795" w:rsidRPr="00F30C46">
        <w:t>BITDE</w:t>
      </w:r>
      <w:proofErr w:type="spellEnd"/>
      <w:r w:rsidR="00317795" w:rsidRPr="00F30C46">
        <w:t>, ante todo Ucrania;</w:t>
      </w:r>
    </w:p>
    <w:p w14:paraId="4AB52E74" w14:textId="46FC65F8" w:rsidR="002F2AE4" w:rsidRPr="00F30C46" w:rsidRDefault="002A086C" w:rsidP="002F2AE4">
      <w:pPr>
        <w:pStyle w:val="NormalHanging12a"/>
        <w:widowControl/>
      </w:pPr>
      <w:r w:rsidRPr="00F30C46">
        <w:t>60</w:t>
      </w:r>
      <w:r w:rsidR="002F2AE4" w:rsidRPr="00F30C46">
        <w:t>.</w:t>
      </w:r>
      <w:r w:rsidR="002F2AE4" w:rsidRPr="00F30C46">
        <w:tab/>
        <w:t>Aboga por estrechar las relaciones con los países de Europa occidental no pertenecientes a la Unión y, en particular, la cooperación en determinados ámbitos de la acción exterior de la Unión; acoge con satisfacción, en este contexto, la conclusión de las negociaciones sobre un amplio paquete de medidas sobre las futuras relaciones entre la Unión y Suiza, que marcan un hito significativo en el avance y la profundización de una relación ya estrecha; pide a la Comisión que modernice y profundice las relaciones bilaterales entre la Unión y Suiza; destaca la importancia de promover unas relaciones más sólidas con Noruega, particularmente en el ámbito de la asociación de seguridad y defensa, la gestión cooperativa de las pesquerías compartidas y la continuación de las actividades pesqueras de larga tradición; pide que se firme rápidamente el Acuerdo de Asociación entre la Unión y Andorra y San Marino;</w:t>
      </w:r>
    </w:p>
    <w:p w14:paraId="23C40131" w14:textId="5BE0A98B" w:rsidR="002F2AE4" w:rsidRPr="00F30C46" w:rsidRDefault="002A086C" w:rsidP="002F2AE4">
      <w:pPr>
        <w:pStyle w:val="NormalHanging12a"/>
        <w:widowControl/>
      </w:pPr>
      <w:r w:rsidRPr="00F30C46">
        <w:t>61</w:t>
      </w:r>
      <w:r w:rsidR="002F2AE4" w:rsidRPr="00F30C46">
        <w:t>.</w:t>
      </w:r>
      <w:r w:rsidR="002F2AE4" w:rsidRPr="00F30C46">
        <w:tab/>
        <w:t>Acoge con satisfacción el nuevo impulso de las relaciones bilaterales entre la Unión y Armenia, que cuenta con el firme apoyo de las autoridades de Ereván; pide a la Comisión y al Consejo que apoyen activamente el deseo de Armenia de aumentar la cooperación con la Unión; manifiesta su pleno apoyo a los trabajos recientemente iniciados sobre el Programa de Asociación UE-Armenia, que establece unas prioridades conjuntas más ambiciosas para la cooperación en todas las dimensiones;</w:t>
      </w:r>
    </w:p>
    <w:p w14:paraId="316E819A" w14:textId="54D51A27" w:rsidR="002F2AE4" w:rsidRPr="00F30C46" w:rsidRDefault="002A086C" w:rsidP="002F2AE4">
      <w:pPr>
        <w:pStyle w:val="NormalHanging12a"/>
        <w:widowControl/>
      </w:pPr>
      <w:r w:rsidRPr="00F30C46">
        <w:t>62</w:t>
      </w:r>
      <w:r w:rsidR="002F2AE4" w:rsidRPr="00F30C46">
        <w:t>.</w:t>
      </w:r>
      <w:r w:rsidR="002F2AE4" w:rsidRPr="00F30C46">
        <w:tab/>
        <w:t>Expresa su firme apoyo a las actividades de la Misión de la Unión Europea en Armenia (</w:t>
      </w:r>
      <w:proofErr w:type="spellStart"/>
      <w:r w:rsidR="002F2AE4" w:rsidRPr="00F30C46">
        <w:t>EUMA</w:t>
      </w:r>
      <w:proofErr w:type="spellEnd"/>
      <w:r w:rsidR="002F2AE4" w:rsidRPr="00F30C46">
        <w:t xml:space="preserve">) y subraya el importante papel que desempeña; pide a la </w:t>
      </w:r>
      <w:proofErr w:type="spellStart"/>
      <w:r w:rsidR="002F2AE4" w:rsidRPr="00F30C46">
        <w:t>EUMA</w:t>
      </w:r>
      <w:proofErr w:type="spellEnd"/>
      <w:r w:rsidR="002F2AE4" w:rsidRPr="00F30C46">
        <w:t xml:space="preserve"> que siga supervisando de cerca la evolución de la situación de seguridad sobre el terreno, facilite información transparente al Parlamento y contribuya activamente a los esfuerzos de resolución del conflicto; pide a la Unión y a sus Estados miembros que refuercen el mandato de la </w:t>
      </w:r>
      <w:proofErr w:type="spellStart"/>
      <w:r w:rsidR="002F2AE4" w:rsidRPr="00F30C46">
        <w:t>EUMA</w:t>
      </w:r>
      <w:proofErr w:type="spellEnd"/>
      <w:r w:rsidR="002F2AE4" w:rsidRPr="00F30C46">
        <w:t>, aumenten sus dimensiones y amplíen su duración; pide a las autoridades de Azerbaiyán que acepten una misión civil de este tipo también en su lado de la frontera;</w:t>
      </w:r>
    </w:p>
    <w:p w14:paraId="776ED1C0" w14:textId="0E593026" w:rsidR="002F2AE4" w:rsidRPr="00F30C46" w:rsidRDefault="002A086C" w:rsidP="002F2AE4">
      <w:pPr>
        <w:pStyle w:val="NormalHanging12a"/>
        <w:widowControl/>
      </w:pPr>
      <w:r w:rsidRPr="00F30C46">
        <w:t>63</w:t>
      </w:r>
      <w:r w:rsidR="002F2AE4" w:rsidRPr="00F30C46">
        <w:t>.</w:t>
      </w:r>
      <w:r w:rsidR="002F2AE4" w:rsidRPr="00F30C46">
        <w:tab/>
        <w:t xml:space="preserve">Opina que el centro de gravedad del orden mundial se está desplazando hacia la región </w:t>
      </w:r>
      <w:proofErr w:type="spellStart"/>
      <w:r w:rsidR="002F2AE4" w:rsidRPr="00F30C46">
        <w:t>indopacífica</w:t>
      </w:r>
      <w:proofErr w:type="spellEnd"/>
      <w:r w:rsidR="002F2AE4" w:rsidRPr="00F30C46">
        <w:t xml:space="preserve"> y que la Unión debe reforzar su papel activo y su presencia en esta región para salvaguardar sus intereses, promover la estabilidad y defender un orden internacional basado en normas; reitera que una región </w:t>
      </w:r>
      <w:proofErr w:type="spellStart"/>
      <w:r w:rsidR="002F2AE4" w:rsidRPr="00F30C46">
        <w:t>indopacífica</w:t>
      </w:r>
      <w:proofErr w:type="spellEnd"/>
      <w:r w:rsidR="002F2AE4" w:rsidRPr="00F30C46">
        <w:t xml:space="preserve"> libre, estable, basada en normas y en paz constituye un interés fundamental para Europa; manifiesta su preocupación por que la competencia entre grandes potencias en la región esté </w:t>
      </w:r>
      <w:r w:rsidR="002F2AE4" w:rsidRPr="00F30C46">
        <w:lastRenderedPageBreak/>
        <w:t xml:space="preserve">imponiendo parámetros a la capacidad de la Unión para promover el multilateralismo en la región; señala, en este contexto, que la Reunión Asia-Europa sigue paralizada por las tensiones geopolíticas con Rusia; pide, a este respecto, que se refuercen los vínculos en materia de política exterior, de seguridad y de defensa con socios afines de la región, en consonancia con la Estrategia de la UE para la Cooperación en la Región </w:t>
      </w:r>
      <w:proofErr w:type="spellStart"/>
      <w:r w:rsidR="002F2AE4" w:rsidRPr="00F30C46">
        <w:t>Indopacífica</w:t>
      </w:r>
      <w:proofErr w:type="spellEnd"/>
      <w:r w:rsidR="002F2AE4" w:rsidRPr="00F30C46">
        <w:t xml:space="preserve">; anima a la </w:t>
      </w:r>
      <w:proofErr w:type="spellStart"/>
      <w:r w:rsidR="002F2AE4" w:rsidRPr="00F30C46">
        <w:t>VP</w:t>
      </w:r>
      <w:proofErr w:type="spellEnd"/>
      <w:r w:rsidR="002F2AE4" w:rsidRPr="00F30C46">
        <w:t xml:space="preserve">/AR a promover la visibilidad y la repercusión de la acción exterior de la Unión junto con nuestros socios de la región </w:t>
      </w:r>
      <w:proofErr w:type="spellStart"/>
      <w:r w:rsidR="002F2AE4" w:rsidRPr="00F30C46">
        <w:t>indopacífica</w:t>
      </w:r>
      <w:proofErr w:type="spellEnd"/>
      <w:r w:rsidR="002F2AE4" w:rsidRPr="00F30C46">
        <w:t>, en particular Australia, la India, Nueva Zelanda, Corea del Sur, Japón y Taiwán;</w:t>
      </w:r>
    </w:p>
    <w:p w14:paraId="7171A6A9" w14:textId="0E98DD73" w:rsidR="002F2AE4" w:rsidRPr="00F30C46" w:rsidRDefault="002A086C" w:rsidP="002F2AE4">
      <w:pPr>
        <w:pStyle w:val="NormalHanging12a"/>
        <w:widowControl/>
      </w:pPr>
      <w:r w:rsidRPr="00F30C46">
        <w:t>64</w:t>
      </w:r>
      <w:r w:rsidR="002F2AE4" w:rsidRPr="00F30C46">
        <w:t>.</w:t>
      </w:r>
      <w:r w:rsidR="002F2AE4" w:rsidRPr="00F30C46">
        <w:tab/>
        <w:t>Recuerda, en este sentido, la asociación estratégica que mantienen la Unión y Japón, que debe servir como modelo de asociación bilateral fructífera que permite elaborar políticas eficaces en contextos multilaterales; observa que la Unión y Japón celebran cincuenta años de sus respectivas misiones diplomáticas en 2024 y hace especial hincapié en el interés de la Unión por profundizar y ampliar esta asociación de forma bilateral durante los próximos cincuenta años; acoge con satisfacción, a tal fin, el Acuerdo de Asociación Económica UE-Japón y el Acuerdo de Asociación Estratégica UE-Japón, el cual prevé, entre otras cosas, consultas sobre el desarrollo de las respectivas iniciativas de defensa, incluido el intercambio de información sobre cuestiones relacionadas con la industria de la defensa, así como la consideración de la posible participación mutua en las respectivas iniciativas de defensa;</w:t>
      </w:r>
    </w:p>
    <w:p w14:paraId="3013A199" w14:textId="19744EBC" w:rsidR="002F2AE4" w:rsidRPr="00F30C46" w:rsidRDefault="002A086C" w:rsidP="002F2AE4">
      <w:pPr>
        <w:pStyle w:val="NormalHanging12a"/>
        <w:widowControl/>
      </w:pPr>
      <w:r w:rsidRPr="00F30C46">
        <w:t>65</w:t>
      </w:r>
      <w:r w:rsidR="002F2AE4" w:rsidRPr="00F30C46">
        <w:t>.</w:t>
      </w:r>
      <w:r w:rsidR="002F2AE4" w:rsidRPr="00F30C46">
        <w:tab/>
        <w:t xml:space="preserve">Observa que los retos geopolíticos han reforzado el interés común de la Unión y la India por garantizar la seguridad, la prosperidad y el desarrollo sostenible; pide una cumbre India-UE para que las relaciones bilaterales sigan siendo una prioridad; considera que los ámbitos clave para la cooperación son el cambio climático y el crecimiento ecológico, la digitalización y las nuevas tecnologías, la investigación y el desarrollo, la conectividad, el comercio y la inversión, y la política exterior, de seguridad y defensa; pide, a este respecto, un mayor respaldo de los Estados miembros; pide, asimismo, a los Estados miembros que expandan y amplíen la cooperación UE-India en materia de seguridad marítima en respuesta a la evolución de la presencia de China en la región </w:t>
      </w:r>
      <w:proofErr w:type="spellStart"/>
      <w:r w:rsidR="002F2AE4" w:rsidRPr="00F30C46">
        <w:t>indopacífica</w:t>
      </w:r>
      <w:proofErr w:type="spellEnd"/>
      <w:r w:rsidR="002F2AE4" w:rsidRPr="00F30C46">
        <w:t>; destaca la necesidad de dialogar con la India sobre su fuerte dependencia militar de Rusia y su suministro de tecnologías críticas restringidas a Rusia; insta a la India a que condene la guerra de agresión ilegal de Rusia contra Ucrania y a que se adhiera a la política de sanciones de la Unión contra Rusia;</w:t>
      </w:r>
    </w:p>
    <w:p w14:paraId="7C2B3C53" w14:textId="179FCC1C" w:rsidR="002F2AE4" w:rsidRPr="00F30C46" w:rsidRDefault="002A086C" w:rsidP="002F2AE4">
      <w:pPr>
        <w:pStyle w:val="NormalHanging12a"/>
        <w:widowControl/>
      </w:pPr>
      <w:r w:rsidRPr="00F30C46">
        <w:t>66</w:t>
      </w:r>
      <w:r w:rsidR="002F2AE4" w:rsidRPr="00F30C46">
        <w:t>.</w:t>
      </w:r>
      <w:r w:rsidR="002F2AE4" w:rsidRPr="00F30C46">
        <w:tab/>
        <w:t xml:space="preserve">Considera que la India es un socio democrático importante, y alienta a la Unión a que dialogue con rigor con el Gobierno indio sobre el respeto de los derechos humanos y el Estado de Derecho, tanto dentro del país como en el mundo en general; pide que se apliquen plenamente la estrategia de la Unión con respecto a la India de 2018 y la hoja de ruta UE-India para 2025, en estrecha coordinación con las propias acciones de los Estados miembros; destaca, en particular, la necesidad de promover mayores sinergias en cuanto a la política exterior y de seguridad a través de los mecanismos de diálogo existentes y otros foros establecidos en el marco de la hoja de ruta UE-India para 2025; </w:t>
      </w:r>
      <w:r w:rsidR="00317795" w:rsidRPr="00F30C46">
        <w:t xml:space="preserve">considera que la importante visita de la presidenta de la Comisión y del Colegio de Comisarios a la India los días 27 y 28 de febrero de 2025 marcó el inicio de un nuevo capítulo en la historia de las relaciones UE-India y reafirmó el vínculo estratégico y su potencial sin explotar; </w:t>
      </w:r>
      <w:r w:rsidR="002F2AE4" w:rsidRPr="00F30C46">
        <w:t>acoge con satisfacción el anuncio de una próxima agenda estratégica UE-India;</w:t>
      </w:r>
    </w:p>
    <w:p w14:paraId="21B642E0" w14:textId="686619B3" w:rsidR="002F2AE4" w:rsidRPr="00F30C46" w:rsidRDefault="002A086C" w:rsidP="002F2AE4">
      <w:pPr>
        <w:pStyle w:val="NormalHanging12a"/>
        <w:widowControl/>
      </w:pPr>
      <w:r w:rsidRPr="00F30C46">
        <w:t>67</w:t>
      </w:r>
      <w:r w:rsidR="002F2AE4" w:rsidRPr="00F30C46">
        <w:t>.</w:t>
      </w:r>
      <w:r w:rsidR="002F2AE4" w:rsidRPr="00F30C46">
        <w:tab/>
        <w:t xml:space="preserve">Recuerda el compromiso de la Unión con la política de «una sola China» como uno de los principios de las relaciones entre la Unión Europea y China; subraya que Taiwán es un socio democrático clave para la Unión en la región </w:t>
      </w:r>
      <w:proofErr w:type="spellStart"/>
      <w:r w:rsidR="002F2AE4" w:rsidRPr="00F30C46">
        <w:t>indopacífica</w:t>
      </w:r>
      <w:proofErr w:type="spellEnd"/>
      <w:r w:rsidR="002F2AE4" w:rsidRPr="00F30C46">
        <w:t xml:space="preserve">; reconoce la </w:t>
      </w:r>
      <w:r w:rsidR="002F2AE4" w:rsidRPr="00F30C46">
        <w:lastRenderedPageBreak/>
        <w:t>importancia de Taiwán para garantizar las cadenas de suministro mundiales, especialmente en el sector de la alta tecnología, e insta a la Unión y sus Estados miembros a estrechar su cooperación con Taiwán con el fin de impulsar aún más los vínculos económicos, comerciales y de inversión; anima a la Comisión a que ponga en marcha sin demora medidas preparatorias para las negociaciones de un acuerdo de inversión con Taiwán; hace hincapié en que no es aceptable ningún intento de regímenes autoritarios de restringir el desarrollo benigno de las relaciones entre la Unión y Taiwán;</w:t>
      </w:r>
    </w:p>
    <w:p w14:paraId="683055A0" w14:textId="2FF4C577" w:rsidR="002F2AE4" w:rsidRPr="00F30C46" w:rsidRDefault="002A086C" w:rsidP="002F2AE4">
      <w:pPr>
        <w:pStyle w:val="NormalHanging12a"/>
        <w:widowControl/>
      </w:pPr>
      <w:r w:rsidRPr="00F30C46">
        <w:t>68</w:t>
      </w:r>
      <w:r w:rsidR="002F2AE4" w:rsidRPr="00F30C46">
        <w:t>.</w:t>
      </w:r>
      <w:r w:rsidR="002F2AE4" w:rsidRPr="00F30C46">
        <w:tab/>
        <w:t xml:space="preserve">Condena enérgicamente las continuas provocaciones militares de China contra Taiwán y reitera su firme rechazo a cualquier cambio unilateral del </w:t>
      </w:r>
      <w:r w:rsidR="002F2AE4" w:rsidRPr="00F30C46">
        <w:rPr>
          <w:i/>
          <w:iCs/>
        </w:rPr>
        <w:t>statu quo</w:t>
      </w:r>
      <w:r w:rsidR="002F2AE4" w:rsidRPr="00F30C46">
        <w:t xml:space="preserve"> en el estrecho de Taiwán; pide a la Unión y a sus Estados miembros que velen, mediante una señalización clara y coherente, por que los intentos de modificar unilateralmente el </w:t>
      </w:r>
      <w:r w:rsidR="002F2AE4" w:rsidRPr="00F30C46">
        <w:rPr>
          <w:i/>
          <w:iCs/>
        </w:rPr>
        <w:t>statu quo</w:t>
      </w:r>
      <w:r w:rsidR="002F2AE4" w:rsidRPr="00F30C46">
        <w:t xml:space="preserve"> en el estrecho de Taiwán, en particular mediante la fuerza o la coacción, sean inaceptables y tengan costes elevados; resalta que las reivindicaciones territoriales chinas carecen de base alguna en el Derecho internacional y que solo el Gobierno democráticamente elegido de Taiwán puede representar al pueblo taiwanés; denuncia, además, el bloqueo por parte de China de la participación significativa de Taiwán en organizaciones multilaterales, como la OMS, la Organización de Aviación Civil Internacional y la Convención Marco de las Naciones Unidas sobre el Cambio Climático, debido a su continua distorsión de la Resolución 2758 de la Asamblea General de las Naciones Unidas; pide, en consecuencia, a la Unión y a los Estados miembros que apoyen la participación significativa de Taiwán en las organizaciones internacionales pertinentes;</w:t>
      </w:r>
    </w:p>
    <w:p w14:paraId="2151DB8E" w14:textId="5C482D1C" w:rsidR="002F2AE4" w:rsidRPr="00F30C46" w:rsidRDefault="002A086C" w:rsidP="002F2AE4">
      <w:pPr>
        <w:pStyle w:val="NormalHanging12a"/>
        <w:widowControl/>
      </w:pPr>
      <w:r w:rsidRPr="00F30C46">
        <w:t>69</w:t>
      </w:r>
      <w:r w:rsidR="002F2AE4" w:rsidRPr="00F30C46">
        <w:t>.</w:t>
      </w:r>
      <w:r w:rsidR="002F2AE4" w:rsidRPr="00F30C46">
        <w:tab/>
        <w:t xml:space="preserve">Expresa su profunda preocupación por los últimos cambios en la postura interior y militar de China desde el vigésimo Congreso Nacional del Partido Comunista Chino; opina que China demuestra que tiene la intención de redefinir el orden mundial y, cada vez más, dispone del poder económico, diplomático, tecnológico y militar para lograrlo; subraya que la estrategia de fusión militar-civil da testimonio de estos medios; destaca, en este contexto, que la Unión debe mostrarse más asertiva y unida en su enfoque en lo que se refiere a China y pide, por tanto, a la </w:t>
      </w:r>
      <w:proofErr w:type="spellStart"/>
      <w:r w:rsidR="002F2AE4" w:rsidRPr="00F30C46">
        <w:t>VP</w:t>
      </w:r>
      <w:proofErr w:type="spellEnd"/>
      <w:r w:rsidR="002F2AE4" w:rsidRPr="00F30C46">
        <w:t>/AR y a los Estados miembros que revisen la estrategia con respecto a China teniendo plenamente en cuenta sus políticas nacionales cada vez más opresivas, la asertividad de su política exterior y el uso de la coacción económica como medio con el que China aspira a cumplir sus objetivos; considera que los retos derivados del auge de China como actor mundial requieren una respuesta multidimensional equilibrada junto con el principio de «cooperar cuando sea posible, competir cuando sea necesario y enfrentarse cuando sea inevitable», mediante los cuales la Unión mantiene sus relaciones selectivas con China como miembro permanente del Consejo de Seguridad de las Naciones Unidas en una serie de cuestiones fundamentales;</w:t>
      </w:r>
    </w:p>
    <w:p w14:paraId="5C6096CC" w14:textId="57F784EE" w:rsidR="002F2AE4" w:rsidRPr="00F30C46" w:rsidRDefault="002A086C" w:rsidP="002F2AE4">
      <w:pPr>
        <w:pStyle w:val="NormalHanging12a"/>
        <w:widowControl/>
      </w:pPr>
      <w:r w:rsidRPr="00F30C46">
        <w:t>70</w:t>
      </w:r>
      <w:r w:rsidR="002F2AE4" w:rsidRPr="00F30C46">
        <w:t>.</w:t>
      </w:r>
      <w:r w:rsidR="002F2AE4" w:rsidRPr="00F30C46">
        <w:tab/>
        <w:t xml:space="preserve">Destaca que la actitud cada vez más agresiva de la República Popular China supone una amenaza para la libertad de navegación y pone en peligro la estabilidad, que es vital para el comercio mundial; hace hincapié en que esta situación está siendo observada con preocupación por un número cada vez mayor de socios afines comprometidos con la paz y la estabilidad en la región; subraya la necesidad de reforzar la disuasión contra las conductas desestabilizadoras, también mediante operaciones periódicas para hacer valer la libertad de navegación sobre los intentos de la República Popular China de imponer un control sobre las aguas y el espacio aéreo internacionales; </w:t>
      </w:r>
    </w:p>
    <w:p w14:paraId="00860381" w14:textId="4DB37EAB" w:rsidR="002F2AE4" w:rsidRPr="00F30C46" w:rsidRDefault="002A086C" w:rsidP="002F2AE4">
      <w:pPr>
        <w:pStyle w:val="NormalHanging12a"/>
        <w:widowControl/>
      </w:pPr>
      <w:r w:rsidRPr="00F30C46">
        <w:t>71</w:t>
      </w:r>
      <w:r w:rsidR="002F2AE4" w:rsidRPr="00F30C46">
        <w:t>.</w:t>
      </w:r>
      <w:r w:rsidR="002F2AE4" w:rsidRPr="00F30C46">
        <w:tab/>
        <w:t xml:space="preserve">Opina que China, mediante el crecimiento continuo de la asociación estratégica entre China y Rusia, incluido en lo que se refiere a las transferencias de tecnología y </w:t>
      </w:r>
      <w:r w:rsidR="002F2AE4" w:rsidRPr="00F30C46">
        <w:lastRenderedPageBreak/>
        <w:t>capacidades militares, facilita (indirectamente) la guerra de agresión de Rusia contra Ucrania;</w:t>
      </w:r>
    </w:p>
    <w:p w14:paraId="304114DA" w14:textId="7A0F48A6" w:rsidR="002F2AE4" w:rsidRPr="00F30C46" w:rsidRDefault="002A086C" w:rsidP="002F2AE4">
      <w:pPr>
        <w:pStyle w:val="NormalHanging12a"/>
        <w:widowControl/>
      </w:pPr>
      <w:r w:rsidRPr="00F30C46">
        <w:t>72</w:t>
      </w:r>
      <w:r w:rsidR="002F2AE4" w:rsidRPr="00F30C46">
        <w:t>.</w:t>
      </w:r>
      <w:r w:rsidR="002F2AE4" w:rsidRPr="00F30C46">
        <w:tab/>
        <w:t>Reitera su condena de la violación por parte de China de sus compromisos internacionales, su incumplimiento de las Declaraciones Conjuntas Chino-Británica y Chino-Portuguesa, del Pacto Internacional de Derechos Civiles y Políticos, del principio de «un país, dos sistemas» y de la Ley Fundamental de Hong Kong, así como la represión de la autonomía de la región administrativa especial y de figuras de la oposición, incluidos miembros de la sociedad civil y sus familiares; pide a la Comisión que evalúe el estatuto autónomo de Hong Kong y Macao a la luz de las violaciones por parte de China de las Declaraciones Conjuntas Chino-Británica y Chino-Portuguesa y de la represión de la autonomía de Hong Kong;</w:t>
      </w:r>
    </w:p>
    <w:p w14:paraId="4BC9B062" w14:textId="3763030A" w:rsidR="002F2AE4" w:rsidRPr="00F30C46" w:rsidRDefault="002A086C" w:rsidP="002F2AE4">
      <w:pPr>
        <w:pStyle w:val="NormalHanging12a"/>
        <w:widowControl/>
      </w:pPr>
      <w:r w:rsidRPr="00F30C46">
        <w:t>73</w:t>
      </w:r>
      <w:r w:rsidR="002F2AE4" w:rsidRPr="00F30C46">
        <w:t>.</w:t>
      </w:r>
      <w:r w:rsidR="002F2AE4" w:rsidRPr="00F30C46">
        <w:tab/>
        <w:t>Manifiesta su preocupación por la creciente penetración económica de empresas chinas en la Unión, incluido en sectores estratégicos como la fabricación de baterías; destaca la necesidad urgente de continuar la política de reducción de riesgos y seguir disminuyendo la dependencia económica en sectores críticos, en consonancia con la Estrategia Europea de Seguridad Económica;</w:t>
      </w:r>
    </w:p>
    <w:p w14:paraId="138085FE" w14:textId="6C785E7D" w:rsidR="002F2AE4" w:rsidRPr="00F30C46" w:rsidRDefault="002A086C" w:rsidP="002F2AE4">
      <w:pPr>
        <w:pStyle w:val="NormalHanging12a"/>
        <w:widowControl/>
      </w:pPr>
      <w:r w:rsidRPr="00F30C46">
        <w:t>74</w:t>
      </w:r>
      <w:r w:rsidR="002F2AE4" w:rsidRPr="00F30C46">
        <w:t>.</w:t>
      </w:r>
      <w:r w:rsidR="002F2AE4" w:rsidRPr="00F30C46">
        <w:tab/>
        <w:t>Reitera que la Asociación de Naciones del Asia Sudoriental (ASEAN) es un socio crucial para reforzar el multilateralismo basado en normas; apoya los esfuerzos de la ASEAN para concluir las negociaciones con China sobre la formulación de un código de conducta eficaz y sustantivo en el mar de China Meridional; anima a reforzar las relaciones y la cooperación de la Unión con la ASEAN y a trabajar en aras de una asociación estratégica de amplio alcance, basada en los vínculos económicos y el crecimiento sostenible, y sobre todo en la cooperación política en materia de derechos humanos y democracia; pide un mayor apoyo al Gobierno de unidad nacional de Myanmar/Birmania y que se ejerza una mayor presión a los países de la ASEAN para que respeten las sanciones internacionales contra la junta militar de dicho país;</w:t>
      </w:r>
    </w:p>
    <w:p w14:paraId="44A13019" w14:textId="60CDC2AA" w:rsidR="002F2AE4" w:rsidRPr="00F30C46" w:rsidRDefault="002A086C" w:rsidP="002F2AE4">
      <w:pPr>
        <w:pStyle w:val="NormalHanging12a"/>
        <w:widowControl/>
      </w:pPr>
      <w:r w:rsidRPr="00F30C46">
        <w:t>75</w:t>
      </w:r>
      <w:r w:rsidR="002F2AE4" w:rsidRPr="00F30C46">
        <w:t>.</w:t>
      </w:r>
      <w:r w:rsidR="002F2AE4" w:rsidRPr="00F30C46">
        <w:tab/>
        <w:t xml:space="preserve">Insta a la </w:t>
      </w:r>
      <w:proofErr w:type="spellStart"/>
      <w:r w:rsidR="002F2AE4" w:rsidRPr="00F30C46">
        <w:t>VP</w:t>
      </w:r>
      <w:proofErr w:type="spellEnd"/>
      <w:r w:rsidR="002F2AE4" w:rsidRPr="00F30C46">
        <w:t>/AR y a los Estados miembros a que se centren en las relaciones bilaterales con socios en África, entre otros</w:t>
      </w:r>
      <w:r w:rsidR="00317795" w:rsidRPr="00F30C46">
        <w:t xml:space="preserve"> Sudáfrica,</w:t>
      </w:r>
      <w:r w:rsidR="002F2AE4" w:rsidRPr="00F30C46">
        <w:t xml:space="preserve"> Ghana, Marruecos, Kenia, Senegal y Mauritania, teniendo en cuenta las necesidades e intereses mutuos con el fin de promover asociaciones reales y equilibradas; considera que el principio de «más por más» debe integrarse plenamente en las relaciones con terceros países, en virtud del cual la Unión desarrolla asociaciones más sólidas con aquellos países que defienden los principios de la </w:t>
      </w:r>
      <w:proofErr w:type="spellStart"/>
      <w:r w:rsidR="002F2AE4" w:rsidRPr="00F30C46">
        <w:t>PESC</w:t>
      </w:r>
      <w:proofErr w:type="spellEnd"/>
      <w:r w:rsidR="002F2AE4" w:rsidRPr="00F30C46">
        <w:t xml:space="preserve"> y la política común de seguridad y defensa (</w:t>
      </w:r>
      <w:proofErr w:type="spellStart"/>
      <w:r w:rsidR="002F2AE4" w:rsidRPr="00F30C46">
        <w:t>PCSD</w:t>
      </w:r>
      <w:proofErr w:type="spellEnd"/>
      <w:r w:rsidR="002F2AE4" w:rsidRPr="00F30C46">
        <w:t>), así como los valores fundamentales de la Unión; opina que la Unión debe mantener una atención constante a África, que ya es un continente estratégico y se convertirá en un actor cada vez más importante en el futuro;</w:t>
      </w:r>
    </w:p>
    <w:p w14:paraId="76BF0C37" w14:textId="50B1EB45" w:rsidR="002F2AE4" w:rsidRPr="00F30C46" w:rsidRDefault="002A086C" w:rsidP="002F2AE4">
      <w:pPr>
        <w:pStyle w:val="NormalHanging12a"/>
        <w:widowControl/>
      </w:pPr>
      <w:r w:rsidRPr="00F30C46">
        <w:t>76</w:t>
      </w:r>
      <w:r w:rsidR="002F2AE4" w:rsidRPr="00F30C46">
        <w:t>.</w:t>
      </w:r>
      <w:r w:rsidR="002F2AE4" w:rsidRPr="00F30C46">
        <w:tab/>
        <w:t xml:space="preserve">Pide a la Unión que suspenda su memorando de entendimiento sobre materias primas y toda la cooperación militar con Ruanda, incluida la que se presta a través del </w:t>
      </w:r>
      <w:proofErr w:type="spellStart"/>
      <w:r w:rsidR="002F2AE4" w:rsidRPr="00F30C46">
        <w:t>FEAP</w:t>
      </w:r>
      <w:proofErr w:type="spellEnd"/>
      <w:r w:rsidR="002F2AE4" w:rsidRPr="00F30C46">
        <w:t xml:space="preserve"> o de cualquier otro mecanismo, hasta que Ruanda ponga fin a su apoyo ilegal a grupos armados y respete plenamente la soberanía y la integridad territorial de la República Democrática del Congo; condena las violaciones de la soberanía y la integridad territorial del este de la República Democrática del Congo por parte de los rebeldes del M23; </w:t>
      </w:r>
      <w:r w:rsidR="00317795" w:rsidRPr="00F30C46">
        <w:t xml:space="preserve">condena la toma de Goma y Bukavu por parte del grupo armado M23 y su continua ofensiva en Kivu del Sur, que ha exacerbado aún más la grave crisis humanitaria y acentuado el riesgo de desestabilización de la República Democrática del Congo y de una guerra regional abierta; apoya los procesos de paz de Luanda y Nairobi para lograr una solución política al conflicto por medios diplomáticos e insta a la </w:t>
      </w:r>
      <w:proofErr w:type="spellStart"/>
      <w:r w:rsidR="00317795" w:rsidRPr="00F30C46">
        <w:lastRenderedPageBreak/>
        <w:t>VP</w:t>
      </w:r>
      <w:proofErr w:type="spellEnd"/>
      <w:r w:rsidR="00317795" w:rsidRPr="00F30C46">
        <w:t xml:space="preserve">/AR a que prosiga los contactos diplomáticos con las partes en conflicto y otras partes regionales y a que aumente la presión sobre las partes para que </w:t>
      </w:r>
      <w:proofErr w:type="spellStart"/>
      <w:r w:rsidR="00317795" w:rsidRPr="00F30C46">
        <w:t>reentablen</w:t>
      </w:r>
      <w:proofErr w:type="spellEnd"/>
      <w:r w:rsidR="00317795" w:rsidRPr="00F30C46">
        <w:t xml:space="preserve"> negociaciones de paz, en particular posponiendo las consultas de la Unión con Ruanda en materia de seguridad y defensa y adoptando sanciones en función de la situación sobre el terreno y de los avances en los procesos de mediación regionales que están en curso; </w:t>
      </w:r>
      <w:r w:rsidR="002F2AE4" w:rsidRPr="00F30C46">
        <w:t xml:space="preserve">manifiesta su más viva preocupación por la situación humanitaria de miles de personas desplazadas en la zona; insta a la </w:t>
      </w:r>
      <w:proofErr w:type="spellStart"/>
      <w:r w:rsidR="002F2AE4" w:rsidRPr="00F30C46">
        <w:t>VP</w:t>
      </w:r>
      <w:proofErr w:type="spellEnd"/>
      <w:r w:rsidR="002F2AE4" w:rsidRPr="00F30C46">
        <w:t>/AR a que emprenda acciones claras en consonancia con la estrategia de la Unión para los Grandes Lagos con miras a restablecer la estabilidad y cooperar con la Misión de Estabilización de las Naciones Unidas en la República Democrática del Congo (</w:t>
      </w:r>
      <w:proofErr w:type="spellStart"/>
      <w:r w:rsidR="002F2AE4" w:rsidRPr="00F30C46">
        <w:t>MONUSCO</w:t>
      </w:r>
      <w:proofErr w:type="spellEnd"/>
      <w:r w:rsidR="002F2AE4" w:rsidRPr="00F30C46">
        <w:t>) para proteger a los civiles en el este del país;</w:t>
      </w:r>
    </w:p>
    <w:p w14:paraId="1A4491B8" w14:textId="549B850A" w:rsidR="002F2AE4" w:rsidRPr="00F30C46" w:rsidRDefault="002A086C" w:rsidP="002F2AE4">
      <w:pPr>
        <w:pStyle w:val="NormalHanging12a"/>
        <w:widowControl/>
      </w:pPr>
      <w:r w:rsidRPr="00F30C46">
        <w:t>77</w:t>
      </w:r>
      <w:r w:rsidR="002F2AE4" w:rsidRPr="00F30C46">
        <w:t>.</w:t>
      </w:r>
      <w:r w:rsidR="002F2AE4" w:rsidRPr="00F30C46">
        <w:tab/>
        <w:t>Subraya que los últimos acontecimientos en Túnez han suscitado inquietud en torno a los derechos humanos y las normas democráticas, con informes que indican una transparencia limitada, una participación restringida de la oposición y una competencia política reducida en las elecciones presidenciales; destaca el compromiso y apoyo continuos de la Unión a Túnez durante este período delicado desde el punto de vista político y socioeconómico, mediante el mantenimiento de contactos a diversos niveles;</w:t>
      </w:r>
    </w:p>
    <w:p w14:paraId="5396FD82" w14:textId="6D4BBBB4" w:rsidR="002F2AE4" w:rsidRPr="00F30C46" w:rsidRDefault="002A086C" w:rsidP="002F2AE4">
      <w:pPr>
        <w:pStyle w:val="NormalHanging12a"/>
        <w:widowControl/>
      </w:pPr>
      <w:r w:rsidRPr="00F30C46">
        <w:t>78</w:t>
      </w:r>
      <w:r w:rsidR="002F2AE4" w:rsidRPr="00F30C46">
        <w:t>.</w:t>
      </w:r>
      <w:r w:rsidR="002F2AE4" w:rsidRPr="00F30C46">
        <w:tab/>
        <w:t>Pone de relieve que la Unión tiene un interés directo y vital en la estabilidad, la seguridad y el crecimiento económico de la cuenca mediterránea, así como de la vecindad meridional en general; recuerda que la política europea de vecindad se puso en marcha con los loables objetivos de fomentar la estabilidad, la prosperidad y la buena gobernanza en el Mediterráneo meridional; reconoce, no obstante, que hoy en día es evidente que sus instrumentos, objetivos y principios ya no están en consonancia con las realidades actuales de la región; lamenta que, casi treinta años después de la puesta en marcha del llamado Proceso de Barcelona, no se haya logrado crear un espacio común de prosperidad, estabilidad y libertad con los países mediterráneos de la vecindad meridional; pide a la Comisión que presente un nuevo Pacto por el Mediterráneo; considera que la Unión y los países de la vecindad meridional deben celebrar memorandos de entendimiento destinados a promover la estabilidad, la prosperidad y la defensa de los derechos humanos, supeditados a la cooperación en materia de migración; recuerda que la inestabilidad y la inseguridad en la vecindad meridional siguen representando un desafío para la gestión de las fronteras exteriores de la Unión; defiende que, al tiempo que da prioridad a las relaciones bilaterales con los países de la región, la Unión también debe seguir fomentando la cooperación regional a través de los marcos existentes, como la Unión por el Mediterráneo; celebra que se haya nombrado una comisaria para el Mediterráneo;</w:t>
      </w:r>
    </w:p>
    <w:p w14:paraId="628850DF" w14:textId="0D6CD7E3" w:rsidR="002F2AE4" w:rsidRPr="00F30C46" w:rsidRDefault="002A086C" w:rsidP="002F2AE4">
      <w:pPr>
        <w:pStyle w:val="NormalHanging12a"/>
        <w:widowControl/>
      </w:pPr>
      <w:r w:rsidRPr="00F30C46">
        <w:t>79</w:t>
      </w:r>
      <w:r w:rsidR="002F2AE4" w:rsidRPr="00F30C46">
        <w:t>.</w:t>
      </w:r>
      <w:r w:rsidR="002F2AE4" w:rsidRPr="00F30C46">
        <w:tab/>
        <w:t>Destaca la necesidad de que la Unión refuerce y profundice su cooperación con los países árabes y del Golfo, en respuesta a los acuciantes retos geopolíticos, sociales y económicos a los que se enfrenta la región; hace hincapié en que una colaboración reforzada debe priorizar ámbitos clave como la migración, la transformación digital, la seguridad, la transición ecológica y el intercambio cultural para construir una asociación resiliente; pide un enfoque estratégico que adapte la colaboración a cada país para impulsar el desarrollo sostenible y la comprensión mutua;</w:t>
      </w:r>
    </w:p>
    <w:p w14:paraId="22936364" w14:textId="23A2DDBB" w:rsidR="002F2AE4" w:rsidRPr="00F30C46" w:rsidRDefault="002A086C" w:rsidP="002F2AE4">
      <w:pPr>
        <w:pStyle w:val="NormalHanging12a"/>
        <w:widowControl/>
      </w:pPr>
      <w:r w:rsidRPr="00F30C46">
        <w:t>80</w:t>
      </w:r>
      <w:r w:rsidR="002F2AE4" w:rsidRPr="00F30C46">
        <w:t>.</w:t>
      </w:r>
      <w:r w:rsidR="002F2AE4" w:rsidRPr="00F30C46">
        <w:tab/>
        <w:t>Acoge con satisfacción que se haya celebrado con éxito la primera cumbre entre la Unión y el Consejo de Cooperación del Golfo (</w:t>
      </w:r>
      <w:proofErr w:type="spellStart"/>
      <w:r w:rsidR="002F2AE4" w:rsidRPr="00F30C46">
        <w:t>CCG</w:t>
      </w:r>
      <w:proofErr w:type="spellEnd"/>
      <w:r w:rsidR="002F2AE4" w:rsidRPr="00F30C46">
        <w:t xml:space="preserve">), y cree que dicha cumbre ha marcado un momento crucial en la relación entre la Unión y sus socios del </w:t>
      </w:r>
      <w:proofErr w:type="spellStart"/>
      <w:r w:rsidR="002F2AE4" w:rsidRPr="00F30C46">
        <w:t>CCG</w:t>
      </w:r>
      <w:proofErr w:type="spellEnd"/>
      <w:r w:rsidR="002F2AE4" w:rsidRPr="00F30C46">
        <w:t>, destacando el compromiso mutuo por reforzar los vínculos en ámbitos clave de naturaleza estratégica, económica y cultural;</w:t>
      </w:r>
    </w:p>
    <w:p w14:paraId="0B58A7C8" w14:textId="3A21269A" w:rsidR="002F2AE4" w:rsidRPr="00F30C46" w:rsidRDefault="002A086C" w:rsidP="002F2AE4">
      <w:pPr>
        <w:pStyle w:val="NormalHanging12a"/>
        <w:widowControl/>
      </w:pPr>
      <w:r w:rsidRPr="00F30C46">
        <w:lastRenderedPageBreak/>
        <w:t>81</w:t>
      </w:r>
      <w:r w:rsidR="002F2AE4" w:rsidRPr="00F30C46">
        <w:t>.</w:t>
      </w:r>
      <w:r w:rsidR="002F2AE4" w:rsidRPr="00F30C46">
        <w:tab/>
        <w:t>Subraya la importancia de defender y promover los valores democráticos en la región; condena el aumento de la incitación al odio, también contra las instituciones europeas, y los ataques a las libertades individuales y al orden internacional, tanto dentro como fuera de los Estados miembros;</w:t>
      </w:r>
    </w:p>
    <w:p w14:paraId="63295CD3" w14:textId="24D2A95B" w:rsidR="002F2AE4" w:rsidRPr="00F30C46" w:rsidRDefault="002A086C" w:rsidP="002F2AE4">
      <w:pPr>
        <w:pStyle w:val="NormalHanging12a"/>
        <w:widowControl/>
      </w:pPr>
      <w:r w:rsidRPr="00F30C46">
        <w:t>82</w:t>
      </w:r>
      <w:r w:rsidR="002F2AE4" w:rsidRPr="00F30C46">
        <w:t>.</w:t>
      </w:r>
      <w:r w:rsidR="002F2AE4" w:rsidRPr="00F30C46">
        <w:tab/>
        <w:t>Hace hincapié en que los países de la Unión Europea, América Latina y el Caribe son afines y comparten valores, lenguas, historia, cultura y religión, lo que debería convertirlos en socios naturales en el contexto geopolítico actual; observa que la interacción de la Unión con la región ha disminuido en los últimos decenios, lo que ha dejado un vacío para el aumento de la influencia de China y Rusia; insta al conjunto de los países de América Latina a que adopten una actitud más firme de condena de la agresión de Rusia contra Ucrania; pide a los Estados miembros y al SEAE que prosigan una diplomacia proactiva en la región, haciendo especial hincapié en la defensa del orden mundial multilateral, el Derecho internacional y el respeto de la democracia y los derechos humanos; insta a que se adopten iniciativas multilaterales para abordar la inestabilidad política en los países más volátiles de la región, por ejemplo en Haití;</w:t>
      </w:r>
    </w:p>
    <w:p w14:paraId="44DAFB32" w14:textId="643AA196" w:rsidR="002F2AE4" w:rsidRPr="00F30C46" w:rsidRDefault="002A086C" w:rsidP="002F2AE4">
      <w:pPr>
        <w:pStyle w:val="NormalHanging12a"/>
        <w:widowControl/>
      </w:pPr>
      <w:r w:rsidRPr="00F30C46">
        <w:t>83</w:t>
      </w:r>
      <w:r w:rsidR="002F2AE4" w:rsidRPr="00F30C46">
        <w:t>.</w:t>
      </w:r>
      <w:r w:rsidR="002F2AE4" w:rsidRPr="00F30C46">
        <w:tab/>
      </w:r>
      <w:r w:rsidR="00317795" w:rsidRPr="00F30C46">
        <w:t>Celebra la firma del Acuerdo Marco Avanzado UE-Chile y pide la rápida ratificación completa del Acuerdo; acoge con satisfacción, asimismo, la celebración de las negociaciones sobre el Acuerdo Global UE-México modernizado, anunciado por la Comisión el 17 de enero de 2025 y para el que el Parlamento aún tiene que dar su aprobación; destaca que el Acuerdo reforzaría la asociación estratégica de la Unión con México, ya que reconocería el papel fundamental del país en América Latina y su ambición de diversificar el comercio y las asociaciones políticas con el fin de reducir la dependencia económica de los Estados Unidos;</w:t>
      </w:r>
      <w:r w:rsidR="002F2AE4" w:rsidRPr="00F30C46">
        <w:t>;</w:t>
      </w:r>
    </w:p>
    <w:p w14:paraId="1FE38043" w14:textId="727708E0" w:rsidR="002F2AE4" w:rsidRPr="00F30C46" w:rsidRDefault="002A086C" w:rsidP="002F2AE4">
      <w:pPr>
        <w:pStyle w:val="NormalHanging12a"/>
        <w:widowControl/>
      </w:pPr>
      <w:r w:rsidRPr="00F30C46">
        <w:t>84</w:t>
      </w:r>
      <w:r w:rsidR="002F2AE4" w:rsidRPr="00F30C46">
        <w:t>.</w:t>
      </w:r>
      <w:r w:rsidR="002F2AE4" w:rsidRPr="00F30C46">
        <w:tab/>
      </w:r>
      <w:r w:rsidR="00317795" w:rsidRPr="00F30C46">
        <w:t>Toma nota de la celebración del acuerdo con Mercosur; expresa su preocupación por que el acuerdo tenga consecuencias potencialmente negativas para las normas de sostenibilidad y seguridad de la Unión y para la competitividad del sector agroalimentario de la Unión, y subraya que el Parlamento debe examinar si el acuerdo cumple las normas de sostenibilidad de la Unión y respeta el principio de reciprocidad, antes de que pueda considerarse su ratificación</w:t>
      </w:r>
      <w:r w:rsidR="002F2AE4" w:rsidRPr="00F30C46">
        <w:t>;</w:t>
      </w:r>
    </w:p>
    <w:p w14:paraId="75BC4EAC" w14:textId="5B9C70CF" w:rsidR="002F2AE4" w:rsidRPr="00F30C46" w:rsidRDefault="002A086C" w:rsidP="002F2AE4">
      <w:pPr>
        <w:pStyle w:val="NormalHanging12a"/>
        <w:widowControl/>
      </w:pPr>
      <w:r w:rsidRPr="00F30C46">
        <w:t>85</w:t>
      </w:r>
      <w:r w:rsidR="002F2AE4" w:rsidRPr="00F30C46">
        <w:t>.</w:t>
      </w:r>
      <w:r w:rsidR="002F2AE4" w:rsidRPr="00F30C46">
        <w:tab/>
        <w:t xml:space="preserve">Acoge con satisfacción la reunión informal entre la Unión Europea y la Comunidad de Estados Latinoamericanos y </w:t>
      </w:r>
      <w:proofErr w:type="gramStart"/>
      <w:r w:rsidR="002F2AE4" w:rsidRPr="00F30C46">
        <w:t>Caribeños</w:t>
      </w:r>
      <w:proofErr w:type="gramEnd"/>
      <w:r w:rsidR="002F2AE4" w:rsidRPr="00F30C46">
        <w:t xml:space="preserve"> (</w:t>
      </w:r>
      <w:proofErr w:type="spellStart"/>
      <w:r w:rsidR="002F2AE4" w:rsidRPr="00F30C46">
        <w:t>CELAC</w:t>
      </w:r>
      <w:proofErr w:type="spellEnd"/>
      <w:r w:rsidR="002F2AE4" w:rsidRPr="00F30C46">
        <w:t>) y la puesta en marcha de iniciativas en el marco de la hoja de ruta UE</w:t>
      </w:r>
      <w:r w:rsidR="002F2AE4" w:rsidRPr="00F30C46">
        <w:noBreakHyphen/>
      </w:r>
      <w:proofErr w:type="spellStart"/>
      <w:r w:rsidR="002F2AE4" w:rsidRPr="00F30C46">
        <w:t>CELAC</w:t>
      </w:r>
      <w:proofErr w:type="spellEnd"/>
      <w:r w:rsidR="002F2AE4" w:rsidRPr="00F30C46">
        <w:t> 2023</w:t>
      </w:r>
      <w:r w:rsidR="002F2AE4" w:rsidRPr="00F30C46">
        <w:noBreakHyphen/>
        <w:t>2025, y destaca, a este respecto, la necesidad de adoptar una nueva hoja de ruta ambiciosa en la cumbre de 2025, que siga reforzando esta asociación y tenga en cuenta las mejores prácticas adoptadas hasta el momento;</w:t>
      </w:r>
    </w:p>
    <w:p w14:paraId="54230F80" w14:textId="1BA0A3B9" w:rsidR="002F2AE4" w:rsidRPr="00F30C46" w:rsidRDefault="002A086C" w:rsidP="002F2AE4">
      <w:pPr>
        <w:pStyle w:val="NormalHanging12a"/>
        <w:widowControl/>
      </w:pPr>
      <w:r w:rsidRPr="00F30C46">
        <w:t>86</w:t>
      </w:r>
      <w:r w:rsidR="002F2AE4" w:rsidRPr="00F30C46">
        <w:t>.</w:t>
      </w:r>
      <w:r w:rsidR="002F2AE4" w:rsidRPr="00F30C46">
        <w:tab/>
        <w:t>Pone de relieve la necesidad de un enfoque más firme para hacer frente a la violencia contra los defensores del medio ambiente y de intensificar los esfuerzos de la Unión para ayudar a preservar la biodiversidad y contribuir a la adaptación a la emergencia climática; propone que se siga reforzando la cooperación contra la delincuencia organizada y el narcotráfico en América Latina, lo que también repercute en la Unión; pide que se incremente sustancialmente la cooperación birregional en la lucha contra este fenómeno;</w:t>
      </w:r>
    </w:p>
    <w:p w14:paraId="60167472" w14:textId="7CB5A09B" w:rsidR="002F2AE4" w:rsidRPr="00F30C46" w:rsidRDefault="002A086C" w:rsidP="002F2AE4">
      <w:pPr>
        <w:pStyle w:val="NormalHanging12a"/>
        <w:widowControl/>
      </w:pPr>
      <w:r w:rsidRPr="00F30C46">
        <w:t>87</w:t>
      </w:r>
      <w:r w:rsidR="002F2AE4" w:rsidRPr="00F30C46">
        <w:t>.</w:t>
      </w:r>
      <w:r w:rsidR="002F2AE4" w:rsidRPr="00F30C46">
        <w:tab/>
        <w:t xml:space="preserve">Pide a la </w:t>
      </w:r>
      <w:proofErr w:type="spellStart"/>
      <w:r w:rsidR="002F2AE4" w:rsidRPr="00F30C46">
        <w:t>VP</w:t>
      </w:r>
      <w:proofErr w:type="spellEnd"/>
      <w:r w:rsidR="002F2AE4" w:rsidRPr="00F30C46">
        <w:t xml:space="preserve">/AR que haga del trabajo con democracias afines una prioridad de su mandato y que sistematice la cooperación y la consulta con socios democráticos afines con el fin de promover la democracia y mejorar la preparación común y el acceso a los recursos de respuesta a las crisis; reitera, en este contexto, la recomendación de </w:t>
      </w:r>
      <w:r w:rsidR="002F2AE4" w:rsidRPr="00F30C46">
        <w:lastRenderedPageBreak/>
        <w:t>estrechar los lazos con organizaciones regionales como la ASEAN y la Unión Africana para mejorar los marcos de cooperación en materia de seguridad;</w:t>
      </w:r>
    </w:p>
    <w:p w14:paraId="587E162D" w14:textId="5EDF678C" w:rsidR="002F2AE4" w:rsidRPr="00F30C46" w:rsidRDefault="002A086C" w:rsidP="002F2AE4">
      <w:pPr>
        <w:pStyle w:val="NormalHanging12a"/>
        <w:widowControl/>
      </w:pPr>
      <w:r w:rsidRPr="00F30C46">
        <w:t>88</w:t>
      </w:r>
      <w:r w:rsidR="002F2AE4" w:rsidRPr="00F30C46">
        <w:t>.</w:t>
      </w:r>
      <w:r w:rsidR="002F2AE4" w:rsidRPr="00F30C46">
        <w:tab/>
        <w:t>Reitera su apoyo a la Comunidad Política Europea como una plataforma de debate, diálogo y cooperación con socios europeos sobre los desafíos en materia de política exterior y seguridad a los que nos enfrentamos, con el objetivo de fortalecer la seguridad y la estabilidad en Europa y buscar la cooperación política y de seguridad basada en intereses compartidos; pide que el Parlamento participe directamente en la aclaración del ámbito de actuación y los futuros trabajos de esta Comunidad; subraya que, para el éxito y la coherencia futuros de este formato, es esencial un cierto nivel de aproximación en relación con los valores y principios democráticos; reitera que la Comunidad Política Europea no puede en ningún caso convertirse en un pretexto para retrasar la adhesión a la Unión de los países candidatos;</w:t>
      </w:r>
    </w:p>
    <w:p w14:paraId="7825913D" w14:textId="3B944ED6" w:rsidR="002F2AE4" w:rsidRPr="00F30C46" w:rsidRDefault="002A086C" w:rsidP="002F2AE4">
      <w:pPr>
        <w:pStyle w:val="NormalHanging12a"/>
        <w:widowControl/>
      </w:pPr>
      <w:r w:rsidRPr="00F30C46">
        <w:t>89</w:t>
      </w:r>
      <w:r w:rsidR="002F2AE4" w:rsidRPr="00F30C46">
        <w:t>.</w:t>
      </w:r>
      <w:r w:rsidR="002F2AE4" w:rsidRPr="00F30C46">
        <w:tab/>
        <w:t>Cree asimismo en la importancia de construir nuevas alianzas, entre otros con los países de nuestra vecindad y del Sur Global, teniendo en cuenta las necesidades e intereses mutuos con el fin de fomentar asociaciones reales, equilibradas e igualitarias; destaca la importancia de celebrar estos acuerdos políticos con terceros países, sobre la base de los derechos fundamentales y los valores europeos comunes; pide a la Unión que responda a las expectativas de los países socios y que alcance rápidamente acuerdos políticos con ellos para demostrar que la Unión es un socio fiable y estratégico y que el sistema internacional basado en normas puede hacer frente a los retos contemporáneos; pide</w:t>
      </w:r>
      <w:r w:rsidR="00317795" w:rsidRPr="00F30C46">
        <w:t xml:space="preserve"> a la Comisión que garantice la participación activa del Parlamento en el establecimiento, la aplicación y el seguimiento de las futuras asociaciones de comercio e inversión limpios; pide</w:t>
      </w:r>
      <w:r w:rsidR="002F2AE4" w:rsidRPr="00F30C46">
        <w:t xml:space="preserve">, en este contexto, iniciativas de colaboración entre la Unión y los países del Sur Global para evaluar y afrontar la crisis de la deuda; observa que los acuerdos con el Sur Global, en especial sobre materias primas, deben contribuir al desarrollo económico local y no aumentar la dependencia y la explotación excesiva de los recursos; </w:t>
      </w:r>
    </w:p>
    <w:p w14:paraId="5441C9A5" w14:textId="77777777" w:rsidR="002F2AE4" w:rsidRPr="00F30C46" w:rsidRDefault="002F2AE4" w:rsidP="002F2AE4">
      <w:pPr>
        <w:pStyle w:val="NormalHanging12a"/>
        <w:widowControl/>
        <w:rPr>
          <w:i/>
          <w:u w:val="single"/>
        </w:rPr>
      </w:pPr>
      <w:r w:rsidRPr="00F30C46">
        <w:rPr>
          <w:i/>
          <w:u w:val="single"/>
        </w:rPr>
        <w:t xml:space="preserve">Promoción de la acción de la Unión en el extranjero </w:t>
      </w:r>
    </w:p>
    <w:p w14:paraId="7AE19BC6" w14:textId="43A12D93" w:rsidR="002F2AE4" w:rsidRPr="00F30C46" w:rsidRDefault="002A086C" w:rsidP="002F2AE4">
      <w:pPr>
        <w:pStyle w:val="NormalHanging12a"/>
        <w:widowControl/>
      </w:pPr>
      <w:r w:rsidRPr="00F30C46">
        <w:t>90</w:t>
      </w:r>
      <w:r w:rsidR="002F2AE4" w:rsidRPr="00F30C46">
        <w:t>.</w:t>
      </w:r>
      <w:r w:rsidR="002F2AE4" w:rsidRPr="00F30C46">
        <w:tab/>
        <w:t xml:space="preserve">Destaca el papel de la </w:t>
      </w:r>
      <w:proofErr w:type="spellStart"/>
      <w:r w:rsidR="002F2AE4" w:rsidRPr="00F30C46">
        <w:t>VP</w:t>
      </w:r>
      <w:proofErr w:type="spellEnd"/>
      <w:r w:rsidR="002F2AE4" w:rsidRPr="00F30C46">
        <w:t xml:space="preserve">/AR como responsable de tender puentes entre la </w:t>
      </w:r>
      <w:proofErr w:type="spellStart"/>
      <w:r w:rsidR="002F2AE4" w:rsidRPr="00F30C46">
        <w:t>PESC</w:t>
      </w:r>
      <w:proofErr w:type="spellEnd"/>
      <w:r w:rsidR="002F2AE4" w:rsidRPr="00F30C46">
        <w:t xml:space="preserve"> y las relaciones exteriores de la Unión a fin de garantizar el máximo nivel de coordinación y coherencia en la acción exterior de la Unión; hace hincapié en la necesidad de que la Unión fomente la visibilidad y la eficacia de su acción exterior y la labor de cooperación al desarrollo; lamenta, no obstante, que en algunas ocasiones falte claridad en la representación exterior de la Unión, lo que dificulta la comunicación estratégica de la Unión en terceros países; subraya la necesidad de definir claramente las competencias de la </w:t>
      </w:r>
      <w:proofErr w:type="spellStart"/>
      <w:r w:rsidR="002F2AE4" w:rsidRPr="00F30C46">
        <w:t>VP</w:t>
      </w:r>
      <w:proofErr w:type="spellEnd"/>
      <w:r w:rsidR="002F2AE4" w:rsidRPr="00F30C46">
        <w:t>/AR, la presidenta de la Comisión y el presidente del Consejo Europeo en relación con la representación y acción exterior de la Unión, de forma que la voz de la Unión sea coherente y sus socios la perciban como tal; pide a la Comisión que mejore la coordinación con el SEAE en el ámbito de la acción exterior, entre otras cosas garantizando el pleno cumplimiento del artículo 3, apartado 2, y del artículo 9 de la Decisión sobre el SEAE</w:t>
      </w:r>
      <w:r w:rsidR="002F2AE4" w:rsidRPr="00F30C46">
        <w:rPr>
          <w:rStyle w:val="FootnoteReference"/>
        </w:rPr>
        <w:footnoteReference w:id="17"/>
      </w:r>
      <w:r w:rsidR="002F2AE4" w:rsidRPr="00F30C46">
        <w:t xml:space="preserve">, que posiblemente requiera una actualización; </w:t>
      </w:r>
    </w:p>
    <w:p w14:paraId="3C21FD28" w14:textId="195E4555" w:rsidR="002F2AE4" w:rsidRPr="00F30C46" w:rsidRDefault="002A086C" w:rsidP="002F2AE4">
      <w:pPr>
        <w:pStyle w:val="NormalHanging12a"/>
        <w:widowControl/>
      </w:pPr>
      <w:r w:rsidRPr="00F30C46">
        <w:t>91</w:t>
      </w:r>
      <w:r w:rsidR="002F2AE4" w:rsidRPr="00F30C46">
        <w:t>.</w:t>
      </w:r>
      <w:r w:rsidR="002F2AE4" w:rsidRPr="00F30C46">
        <w:tab/>
        <w:t xml:space="preserve">Pide que se refuerce el SEAE —tanto su sede central como las delegaciones de la Unión— proporcionando recursos financieros y humanos adecuados para que la Unión pueda estar mejor preparada ante los retos mundiales actuales y emergentes; pide que el </w:t>
      </w:r>
      <w:r w:rsidR="002F2AE4" w:rsidRPr="00F30C46">
        <w:lastRenderedPageBreak/>
        <w:t xml:space="preserve">SEAE pueda seleccionar y contratar al personal diplomático permanente de la Unión y garantice un equilibrio de género y geográfico justo entre Estados miembros a todos los niveles del servicio; pide a la </w:t>
      </w:r>
      <w:proofErr w:type="spellStart"/>
      <w:r w:rsidR="002F2AE4" w:rsidRPr="00F30C46">
        <w:t>VP</w:t>
      </w:r>
      <w:proofErr w:type="spellEnd"/>
      <w:r w:rsidR="002F2AE4" w:rsidRPr="00F30C46">
        <w:t>/AR que presente lo antes posible sus propuestas sobre la futura estructura operativa de la acción exterior de la Unión y que, a tal fin, tenga plenamente en cuenta la Recomendación del Parlamento, de 15 de marzo de 2023, sobre el balance del funcionamiento del SEAE y en favor de una Unión Europea más fuerte en el mundo</w:t>
      </w:r>
      <w:r w:rsidR="002F2AE4" w:rsidRPr="00F30C46">
        <w:rPr>
          <w:rStyle w:val="FootnoteReference"/>
        </w:rPr>
        <w:footnoteReference w:id="18"/>
      </w:r>
      <w:r w:rsidR="002F2AE4" w:rsidRPr="00F30C46">
        <w:t>; destaca la necesidad de reforzar la comunicación estratégica y el trabajo de la Unión de lucha contra la desinformación a través de recursos y oficinas específicos en regiones y países importantes desde el punto de vista estratégico;</w:t>
      </w:r>
    </w:p>
    <w:p w14:paraId="7EF9B5AE" w14:textId="50969B0E" w:rsidR="002F2AE4" w:rsidRPr="00F30C46" w:rsidRDefault="002A086C" w:rsidP="002F2AE4">
      <w:pPr>
        <w:pStyle w:val="NormalHanging12a"/>
        <w:widowControl/>
      </w:pPr>
      <w:r w:rsidRPr="00F30C46">
        <w:t>92</w:t>
      </w:r>
      <w:r w:rsidR="002F2AE4" w:rsidRPr="00F30C46">
        <w:t>.</w:t>
      </w:r>
      <w:r w:rsidR="002F2AE4" w:rsidRPr="00F30C46">
        <w:tab/>
        <w:t>Recuerda que reviste un interés estratégico para la Unión promover el desarrollo sostenible, la reducción de la pobreza y la igualdad en todo el mundo, ya que esos esfuerzos contribuyen a la paz y la seguridad mundiales a largo plazo; pide a la Comisión que utilice con eficacia y rapidez la iniciativa Global Gateway como alternativa sostenible a la iniciativa china de la Franja y la Ruta y como instrumento para aumentar la presencia y la visibilidad de la Unión en todo el mundo; recuerda que la iniciativa Global Gateway debe entenderse como un concepto estratégico en el que se integran las políticas exterior, económica y de desarrollo, incluidas las transiciones climática y digital, así como las inversiones en infraestructuras para fomentar una asociación estrecha basada en el beneficio mutuo, el desarrollo económico y las cadenas de suministro resilientes; subraya, en este contexto, que la coordinación con las instituciones financieras internacionales, una participación bien definida del sector privado y unas comunicaciones estratégicas específicamente diseñadas, también en los países beneficiarios, son esenciales para que el instrumento alcance la escala deseada; manifiesta su preocupación por los informes según los cuales una serie de proyectos de Global Gateway estarían siendo ejecutados por empresas chinas infringiendo claramente los fines y objetivos de la iniciativa, que engloban el refuerzo de la seguridad económica de la Unión y el impulso del desarrollo económico y de asociaciones mutuamente beneficiosas con terceros países; pide, por tanto, una investigación inmediata y la retirada de todas las empresas chinas participantes en Global Gateway; destaca que el apoyo de la Unión debe complementar otras iniciativas, como la Asociación para la Infraestructura e Inversión Mundiales, el Corredor Económico India</w:t>
      </w:r>
      <w:r w:rsidR="002F2AE4" w:rsidRPr="00F30C46">
        <w:noBreakHyphen/>
        <w:t>Oriente Medio</w:t>
      </w:r>
      <w:r w:rsidR="002F2AE4" w:rsidRPr="00F30C46">
        <w:noBreakHyphen/>
        <w:t xml:space="preserve">Europa o el Corredor de Lobito, y, en particular, debe dirigirse al cumplimiento de los Objetivos de Desarrollo Sostenible; </w:t>
      </w:r>
    </w:p>
    <w:p w14:paraId="4CBBBF5C" w14:textId="3CC7455F" w:rsidR="002F2AE4" w:rsidRPr="00F30C46" w:rsidRDefault="002A086C" w:rsidP="002F2AE4">
      <w:pPr>
        <w:pStyle w:val="NormalHanging12a"/>
        <w:widowControl/>
      </w:pPr>
      <w:r w:rsidRPr="00F30C46">
        <w:t>93</w:t>
      </w:r>
      <w:r w:rsidR="002F2AE4" w:rsidRPr="00F30C46">
        <w:t>.</w:t>
      </w:r>
      <w:r w:rsidR="002F2AE4" w:rsidRPr="00F30C46">
        <w:tab/>
        <w:t xml:space="preserve">Reitera que el Parlamento desempeña un papel integral en la </w:t>
      </w:r>
      <w:proofErr w:type="spellStart"/>
      <w:r w:rsidR="002F2AE4" w:rsidRPr="00F30C46">
        <w:t>PESC</w:t>
      </w:r>
      <w:proofErr w:type="spellEnd"/>
      <w:r w:rsidR="002F2AE4" w:rsidRPr="00F30C46">
        <w:t xml:space="preserve"> y aporta una contribución específica a esta política en virtud de su diplomacia parlamentaria y de sus distintos instrumentos, canales y contactos, en particular sus programas de apoyo a la democracia, la Comisión de Asuntos Exteriores, los diálogos parlamentarios periódicos y las delegaciones oficiales; hace hincapié en que la diplomacia parlamentaria tiene un gran potencial para involucrar a actores políticos clave y facilitar la gobernanza democrática; subraya, en particular, el valor añadido de la diplomacia parlamentaria durante la guerra de agresión de Rusia contra Ucrania y pone de relieve, en este contexto, la valiosa cooperación a nivel político y técnico entre la Rada Suprema de Ucrania y el Parlamento Europeo; </w:t>
      </w:r>
    </w:p>
    <w:p w14:paraId="59A8FCAB" w14:textId="43BD2CD2" w:rsidR="002F2AE4" w:rsidRPr="00F30C46" w:rsidRDefault="002A086C" w:rsidP="002F2AE4">
      <w:pPr>
        <w:pStyle w:val="NormalHanging12a"/>
        <w:widowControl/>
      </w:pPr>
      <w:r w:rsidRPr="00F30C46">
        <w:lastRenderedPageBreak/>
        <w:t>94</w:t>
      </w:r>
      <w:r w:rsidR="002F2AE4" w:rsidRPr="00F30C46">
        <w:t>.</w:t>
      </w:r>
      <w:r w:rsidR="002F2AE4" w:rsidRPr="00F30C46">
        <w:tab/>
        <w:t xml:space="preserve">Cree firmemente que la diplomacia es una parte importante de la acción de la Unión; pide, en este sentido, que se siga desarrollando la diplomacia preventiva de la Unión como instrumento proactivo de política exterior para evitar, mediar y resolver pacíficamente conflictos entre las partes; pide al SEAE que integre los instrumentos de diplomacia preventiva de la Unión dentro de los mecanismos y acciones de prevención estructural, como los acuerdos políticos entre distintos agentes implicados en conflictos y los diálogos nacionales para la reconciliación, la consolidación de la paz y la justicia transicional, así como las comisiones de la verdad y de la reconciliación; insta al SEAE a que lleve a cabo ejercicios para extraer lecciones, a fin de evaluar los esfuerzos diplomáticos, detectar ámbitos de mejora e integrar las mejores prácticas en las iniciativas futuras; pide que se aumenten las capacidades del SEAE en este ámbito, especialmente en las divisiones pertinentes de preparación y respuesta ante las crisis; hace hincapié en la urgente necesidad de duplicar el presupuesto pertinente de la Unión en el marco del Instrumento de Vecindad, Cooperación al Desarrollo y Cooperación Internacional y de aumentar considerablemente la acción de la Unión en materia de mediación, diálogo y reconciliación; </w:t>
      </w:r>
    </w:p>
    <w:p w14:paraId="42F21A91" w14:textId="4B6D4FED" w:rsidR="002F2AE4" w:rsidRPr="00F30C46" w:rsidRDefault="002A086C" w:rsidP="002F2AE4">
      <w:pPr>
        <w:pStyle w:val="NormalHanging12a"/>
        <w:widowControl/>
      </w:pPr>
      <w:r w:rsidRPr="00F30C46">
        <w:t>95</w:t>
      </w:r>
      <w:r w:rsidR="002F2AE4" w:rsidRPr="00F30C46">
        <w:t>.</w:t>
      </w:r>
      <w:r w:rsidR="002F2AE4" w:rsidRPr="00F30C46">
        <w:tab/>
        <w:t xml:space="preserve">Reafirma el papel de los representantes especiales de la Unión Europea, que promueven las políticas y los intereses de la Unión en determinados países y regiones y desempeñan un papel importante en el desarrollo de una </w:t>
      </w:r>
      <w:proofErr w:type="spellStart"/>
      <w:r w:rsidR="002F2AE4" w:rsidRPr="00F30C46">
        <w:t>PESC</w:t>
      </w:r>
      <w:proofErr w:type="spellEnd"/>
      <w:r w:rsidR="002F2AE4" w:rsidRPr="00F30C46">
        <w:t xml:space="preserve"> más sólida y eficaz, proporcionando a la Unión una presencia política activa en países y regiones muy importantes, ya que actúan como la «voz» y el «rostro» de la Unión y sus políticas; hace hincapié en la importancia de dotar a los representantes especiales de la Unión Europea de recursos suficientes que les permitan llevar a cabo eficazmente estas tareas; destaca la importancia de que los representantes especiales de la Unión Europea tengan un mandato amplio y flexible, capaz de adaptarse a circunstancias geopolíticas cambiantes con el fin de promover las políticas e intereses de la Unión en regiones y países concretos y de desempeñar un papel activo en los esfuerzos de diplomacia preventiva; insiste en que el nombramiento de nuevos representantes especiales de la Unión Europea solo puede tener lugar tras una audiencia en el Parlamento;</w:t>
      </w:r>
    </w:p>
    <w:p w14:paraId="12C8E7C3" w14:textId="27106DA2" w:rsidR="00317795" w:rsidRPr="00F30C46" w:rsidRDefault="002A086C" w:rsidP="002F2AE4">
      <w:pPr>
        <w:pStyle w:val="NormalHanging12a"/>
        <w:widowControl/>
        <w:rPr>
          <w:bCs/>
        </w:rPr>
      </w:pPr>
      <w:r w:rsidRPr="00F30C46">
        <w:t>96</w:t>
      </w:r>
      <w:r w:rsidR="00317795" w:rsidRPr="00F30C46">
        <w:t>.</w:t>
      </w:r>
      <w:r w:rsidR="00317795" w:rsidRPr="00F30C46">
        <w:tab/>
        <w:t xml:space="preserve">Subraya que la corrupción permite y agrava las violaciones de los derechos humanos, los abusos y la erosión de los principios democráticos y del Estado de Derecho; pide a la Unión y a sus Estados miembros que aborden los riesgos que la corrupción plantea para la estabilidad, la gobernanza y la paz, y que prevengan y contrarresten estas amenazas que afectan a los intereses de la Unión y a la prosperidad y seguridad mundiales, en particular en las vecindades oriental y meridional de la Unión; alienta una coordinación más estrecha entre la Unión, sus Estados miembros y aliados y socios siempre que sea posible, con el fin de hacer frente a la corrupción sistémica que empodera a los regímenes autocráticos, facilita la propagación de la influencia malintencionada, priva a las sociedades de recursos esenciales y socava los valores democráticos, los derechos humanos y el Estado de Derecho; destaca la importancia fundamental de la sociedad civil y de los periodistas independientes en países no pertenecientes a la Unión a la hora de controlar y sacar a la luz la corrupción; pide, por tanto, a la Unión que adopte un marco integral y de rápida aplicación para combatir la corrupción englobado en su política exterior, que abarque el régimen de sanciones de la Unión, la propuesta de Directiva sobre la lucha contra la corrupción y la estrategia más amplia de la Unión en materia de lucha contra la corrupción; insta a la </w:t>
      </w:r>
      <w:proofErr w:type="spellStart"/>
      <w:r w:rsidR="00317795" w:rsidRPr="00F30C46">
        <w:t>VP</w:t>
      </w:r>
      <w:proofErr w:type="spellEnd"/>
      <w:r w:rsidR="00317795" w:rsidRPr="00F30C46">
        <w:t>/AR a que proponga medidas concretas y de gran alcance a este respecto, y apoya la inclusión de disposiciones de lucha contra la corrupción en los acuerdos comerciales de la Unión con terceros países;</w:t>
      </w:r>
    </w:p>
    <w:p w14:paraId="5CF1FC79" w14:textId="3BA0168F" w:rsidR="002F2AE4" w:rsidRPr="00F30C46" w:rsidRDefault="002A086C" w:rsidP="002F2AE4">
      <w:pPr>
        <w:pStyle w:val="NormalHanging12a"/>
        <w:widowControl/>
      </w:pPr>
      <w:r w:rsidRPr="00F30C46">
        <w:lastRenderedPageBreak/>
        <w:t>97</w:t>
      </w:r>
      <w:r w:rsidR="002F2AE4" w:rsidRPr="00F30C46">
        <w:t>.</w:t>
      </w:r>
      <w:r w:rsidR="002F2AE4" w:rsidRPr="00F30C46">
        <w:tab/>
        <w:t xml:space="preserve">Pone de relieve las misiones y operaciones de la Unión en el extranjero para promover la paz, la seguridad y el progreso en Europa y en el mundo; pide a la </w:t>
      </w:r>
      <w:proofErr w:type="spellStart"/>
      <w:r w:rsidR="002F2AE4" w:rsidRPr="00F30C46">
        <w:t>VP</w:t>
      </w:r>
      <w:proofErr w:type="spellEnd"/>
      <w:r w:rsidR="002F2AE4" w:rsidRPr="00F30C46">
        <w:t>/AR:</w:t>
      </w:r>
    </w:p>
    <w:p w14:paraId="4A6F98F4" w14:textId="77777777" w:rsidR="002F2AE4" w:rsidRPr="00F30C46" w:rsidRDefault="003969EB" w:rsidP="00991D71">
      <w:pPr>
        <w:pStyle w:val="NormalHanging12a"/>
        <w:widowControl/>
        <w:ind w:left="1134"/>
      </w:pPr>
      <w:r w:rsidRPr="00F30C46">
        <w:rPr>
          <w:szCs w:val="24"/>
        </w:rPr>
        <w:t>–</w:t>
      </w:r>
      <w:r w:rsidR="002F2AE4" w:rsidRPr="00F30C46">
        <w:tab/>
        <w:t xml:space="preserve">que prepare las propuestas para la puesta en marcha en 2025 de las misiones de la </w:t>
      </w:r>
      <w:proofErr w:type="spellStart"/>
      <w:r w:rsidR="002F2AE4" w:rsidRPr="00F30C46">
        <w:t>PESC</w:t>
      </w:r>
      <w:proofErr w:type="spellEnd"/>
      <w:r w:rsidR="002F2AE4" w:rsidRPr="00F30C46">
        <w:t xml:space="preserve"> que sean necesarias haciendo uso de la Capacidad de Despliegue Rápido de la UE como refuerzo militar preventivo; recuerda que los gastos administrativos derivados de estas medidas, incluido el coste de mantener en reserva la Capacidad de Despliegue Rápido, deben correr a cargo del presupuesto de la Unión;</w:t>
      </w:r>
    </w:p>
    <w:p w14:paraId="364BB12B" w14:textId="77777777" w:rsidR="002F2AE4" w:rsidRPr="00F30C46" w:rsidRDefault="003969EB" w:rsidP="00991D71">
      <w:pPr>
        <w:pStyle w:val="NormalHanging12a"/>
        <w:widowControl/>
        <w:ind w:left="1134"/>
      </w:pPr>
      <w:r w:rsidRPr="00F30C46">
        <w:rPr>
          <w:szCs w:val="24"/>
        </w:rPr>
        <w:t>–</w:t>
      </w:r>
      <w:r w:rsidR="002F2AE4" w:rsidRPr="00F30C46">
        <w:tab/>
        <w:t>que colabore con Chipre, Turquía, el Reino Unido y las Naciones Unidas para aplicar medidas específicas destinadas a la desmilitarización de la zona de seguridad en Chipre y mejorar la seguridad en la isla, tanto de la comunidad grecochipriota como de la comunidad turcochipriota;</w:t>
      </w:r>
    </w:p>
    <w:p w14:paraId="10D88103" w14:textId="77777777" w:rsidR="002F2AE4" w:rsidRPr="00F30C46" w:rsidRDefault="003969EB" w:rsidP="00991D71">
      <w:pPr>
        <w:pStyle w:val="NormalHanging12a"/>
        <w:widowControl/>
        <w:ind w:left="1134"/>
      </w:pPr>
      <w:r w:rsidRPr="00F30C46">
        <w:rPr>
          <w:szCs w:val="24"/>
        </w:rPr>
        <w:t>–</w:t>
      </w:r>
      <w:r w:rsidR="002F2AE4" w:rsidRPr="00F30C46">
        <w:tab/>
        <w:t xml:space="preserve">que apoye un refuerzo del papel que desempeñan las dos misiones civiles de la </w:t>
      </w:r>
      <w:proofErr w:type="spellStart"/>
      <w:r w:rsidR="002F2AE4" w:rsidRPr="00F30C46">
        <w:t>PCSD</w:t>
      </w:r>
      <w:proofErr w:type="spellEnd"/>
      <w:r w:rsidR="002F2AE4" w:rsidRPr="00F30C46">
        <w:t xml:space="preserve"> de la Unión —</w:t>
      </w:r>
      <w:proofErr w:type="spellStart"/>
      <w:r w:rsidR="002F2AE4" w:rsidRPr="00F30C46">
        <w:t>EUPOL</w:t>
      </w:r>
      <w:proofErr w:type="spellEnd"/>
      <w:r w:rsidR="002F2AE4" w:rsidRPr="00F30C46">
        <w:t> </w:t>
      </w:r>
      <w:proofErr w:type="spellStart"/>
      <w:r w:rsidR="002F2AE4" w:rsidRPr="00F30C46">
        <w:t>COPPS</w:t>
      </w:r>
      <w:proofErr w:type="spellEnd"/>
      <w:r w:rsidR="002F2AE4" w:rsidRPr="00F30C46">
        <w:t xml:space="preserve"> y EU BAM </w:t>
      </w:r>
      <w:proofErr w:type="spellStart"/>
      <w:r w:rsidR="002F2AE4" w:rsidRPr="00F30C46">
        <w:t>Rafah</w:t>
      </w:r>
      <w:proofErr w:type="spellEnd"/>
      <w:r w:rsidR="002F2AE4" w:rsidRPr="00F30C46">
        <w:t>—, en consonancia con las Conclusiones del Consejo Europeo de los días 21 y 22 de marzo de 2024, que recuerdan que estas misiones pueden desempeñar un papel importante sobre la base de la solución de dos Estados y la viabilidad de un futuro Estado palestino, y que contribuya a facilitar la entrega de ayuda humanitaria en la Franja de Gaza, mejorar la eficiencia de la Autoridad Palestina en Cisjordania y preparar su regreso a la Franja de Gaza;</w:t>
      </w:r>
    </w:p>
    <w:p w14:paraId="5CDA0104" w14:textId="77777777" w:rsidR="002F2AE4" w:rsidRPr="00F30C46" w:rsidRDefault="003969EB" w:rsidP="00991D71">
      <w:pPr>
        <w:pStyle w:val="NormalHanging12a"/>
        <w:widowControl/>
        <w:ind w:left="1134"/>
      </w:pPr>
      <w:r w:rsidRPr="00F30C46">
        <w:rPr>
          <w:szCs w:val="24"/>
        </w:rPr>
        <w:t>–</w:t>
      </w:r>
      <w:r w:rsidR="002F2AE4" w:rsidRPr="00F30C46">
        <w:tab/>
        <w:t xml:space="preserve">que facilite las condiciones necesarias para la plena reactivación de la EU BAM </w:t>
      </w:r>
      <w:proofErr w:type="spellStart"/>
      <w:r w:rsidR="002F2AE4" w:rsidRPr="00F30C46">
        <w:t>Rafah</w:t>
      </w:r>
      <w:proofErr w:type="spellEnd"/>
      <w:r w:rsidR="002F2AE4" w:rsidRPr="00F30C46">
        <w:t xml:space="preserve">, de forma que pueda actuar como tercero neutral en el paso fronterizo de </w:t>
      </w:r>
      <w:proofErr w:type="spellStart"/>
      <w:r w:rsidR="002F2AE4" w:rsidRPr="00F30C46">
        <w:t>Rafah</w:t>
      </w:r>
      <w:proofErr w:type="spellEnd"/>
      <w:r w:rsidR="002F2AE4" w:rsidRPr="00F30C46">
        <w:t xml:space="preserve">, en coordinación con la Autoridad Palestina y con las autoridades israelíes y egipcias; espera que el refuerzo del alcance y los mandatos de la </w:t>
      </w:r>
      <w:proofErr w:type="spellStart"/>
      <w:r w:rsidR="002F2AE4" w:rsidRPr="00F30C46">
        <w:t>EUPOL</w:t>
      </w:r>
      <w:proofErr w:type="spellEnd"/>
      <w:r w:rsidR="002F2AE4" w:rsidRPr="00F30C46">
        <w:t> </w:t>
      </w:r>
      <w:proofErr w:type="spellStart"/>
      <w:r w:rsidR="002F2AE4" w:rsidRPr="00F30C46">
        <w:t>COPPS</w:t>
      </w:r>
      <w:proofErr w:type="spellEnd"/>
      <w:r w:rsidR="002F2AE4" w:rsidRPr="00F30C46">
        <w:t xml:space="preserve"> y la EU BAM </w:t>
      </w:r>
      <w:proofErr w:type="spellStart"/>
      <w:r w:rsidR="002F2AE4" w:rsidRPr="00F30C46">
        <w:t>Rafah</w:t>
      </w:r>
      <w:proofErr w:type="spellEnd"/>
      <w:r w:rsidR="002F2AE4" w:rsidRPr="00F30C46">
        <w:t xml:space="preserve"> sobre el terreno se incluya como prioridad clave de la próxima Estrategia de la Unión en Oriente Próximo;</w:t>
      </w:r>
    </w:p>
    <w:p w14:paraId="3265E7BF" w14:textId="77777777" w:rsidR="002F2AE4" w:rsidRPr="00F30C46" w:rsidRDefault="003969EB" w:rsidP="00991D71">
      <w:pPr>
        <w:pStyle w:val="NormalHanging12a"/>
        <w:widowControl/>
        <w:ind w:left="1134"/>
      </w:pPr>
      <w:r w:rsidRPr="00F30C46">
        <w:rPr>
          <w:szCs w:val="24"/>
        </w:rPr>
        <w:t>–</w:t>
      </w:r>
      <w:r w:rsidR="002F2AE4" w:rsidRPr="00F30C46">
        <w:tab/>
        <w:t>que aumente aún más el número de observadores desplegados del lado armenio de la frontera internacional con Azerbaiyán en el marco de la misión civil de la Unión en Armenia, y que reitere su llamamiento a Azerbaiyán para que coopere con la misión y ponga fin a su campaña de desprestigio contra ella;</w:t>
      </w:r>
    </w:p>
    <w:p w14:paraId="0A785671" w14:textId="77777777" w:rsidR="002F2AE4" w:rsidRPr="00F30C46" w:rsidRDefault="003969EB" w:rsidP="00991D71">
      <w:pPr>
        <w:pStyle w:val="NormalHanging12a"/>
        <w:widowControl/>
        <w:ind w:left="1134"/>
      </w:pPr>
      <w:r w:rsidRPr="00F30C46">
        <w:rPr>
          <w:szCs w:val="24"/>
        </w:rPr>
        <w:t>–</w:t>
      </w:r>
      <w:r w:rsidR="002F2AE4" w:rsidRPr="00F30C46">
        <w:tab/>
        <w:t xml:space="preserve">que trabaje con Australia, Nueva Zelanda, la República de Corea, Japón, Taiwán y los Estados miembros de la ASEAN para facilitar la paz y la seguridad en la región </w:t>
      </w:r>
      <w:proofErr w:type="spellStart"/>
      <w:r w:rsidR="002F2AE4" w:rsidRPr="00F30C46">
        <w:t>indopacífica</w:t>
      </w:r>
      <w:proofErr w:type="spellEnd"/>
      <w:r w:rsidR="002F2AE4" w:rsidRPr="00F30C46">
        <w:t xml:space="preserve"> y el Sudeste Asiático;</w:t>
      </w:r>
    </w:p>
    <w:p w14:paraId="4598EE8A" w14:textId="74B40F1C" w:rsidR="002F2AE4" w:rsidRPr="00F30C46" w:rsidRDefault="003969EB" w:rsidP="00991D71">
      <w:pPr>
        <w:pStyle w:val="NormalHanging12a"/>
        <w:widowControl/>
        <w:ind w:left="1134"/>
      </w:pPr>
      <w:r w:rsidRPr="00F30C46">
        <w:rPr>
          <w:szCs w:val="24"/>
        </w:rPr>
        <w:t>–</w:t>
      </w:r>
      <w:r w:rsidR="002F2AE4" w:rsidRPr="00F30C46">
        <w:tab/>
      </w:r>
      <w:r w:rsidR="00317795" w:rsidRPr="00F30C46">
        <w:t xml:space="preserve">que desarrolle estrategias para combatir ataques híbridos en la frontera oriental de la Unión y en las regiones </w:t>
      </w:r>
      <w:proofErr w:type="spellStart"/>
      <w:r w:rsidR="00317795" w:rsidRPr="00F30C46">
        <w:t>ultraperiféricas</w:t>
      </w:r>
      <w:proofErr w:type="spellEnd"/>
      <w:r w:rsidR="00317795" w:rsidRPr="00F30C46">
        <w:t xml:space="preserve"> de la Unión, en especial la instrumentalización de la migración como táctica para desestabilizar a los Estados miembros y ejercer presión política, que fomente la solidaridad entre los Estados miembros con los países que se enfrentan a tales ataques, como Polonia y Lituania, y que proponga medidas de represalia contra las Comoras por su explotación de las oleadas de migración en Mayotte</w:t>
      </w:r>
      <w:r w:rsidR="002F2AE4" w:rsidRPr="00F30C46">
        <w:t>;</w:t>
      </w:r>
    </w:p>
    <w:p w14:paraId="1703F489" w14:textId="3AB48F7F" w:rsidR="002F2AE4" w:rsidRPr="00F30C46" w:rsidRDefault="002A086C" w:rsidP="002F2AE4">
      <w:pPr>
        <w:pStyle w:val="NormalHanging12a"/>
        <w:widowControl/>
      </w:pPr>
      <w:r w:rsidRPr="00F30C46">
        <w:t>98</w:t>
      </w:r>
      <w:r w:rsidR="002F2AE4" w:rsidRPr="00F30C46">
        <w:t>.</w:t>
      </w:r>
      <w:r w:rsidR="002F2AE4" w:rsidRPr="00F30C46">
        <w:tab/>
        <w:t xml:space="preserve">Pide a la </w:t>
      </w:r>
      <w:proofErr w:type="spellStart"/>
      <w:r w:rsidR="002F2AE4" w:rsidRPr="00F30C46">
        <w:t>VP</w:t>
      </w:r>
      <w:proofErr w:type="spellEnd"/>
      <w:r w:rsidR="002F2AE4" w:rsidRPr="00F30C46">
        <w:t xml:space="preserve">/AR que haga un seguimiento de los ejemplos del éxito de las acciones de evacuación en Sudán y del refuerzo de la protección consular, y que trabaje en aras de un sistema global de protección de los ciudadanos de la Unión en terceros países; destaca que la repercusión de las continuas crisis y conflictos en todo el mundo puede conllevar el riesgo de sobrecargar las capacidades de protección o ayuda consular de los </w:t>
      </w:r>
      <w:r w:rsidR="002F2AE4" w:rsidRPr="00F30C46">
        <w:lastRenderedPageBreak/>
        <w:t xml:space="preserve">Estados miembros, y pide, en este sentido, que se refuercen las capacidades y recursos del Centro de Respuesta a las Crisis del SEAE y del Mecanismo de Protección Civil de la Unión; reitera la posición que defiende desde hace tiempo de aplicar un nivel de protección similar al personal local en las delegaciones de la Unión y en las misiones y operaciones de la </w:t>
      </w:r>
      <w:proofErr w:type="spellStart"/>
      <w:r w:rsidR="002F2AE4" w:rsidRPr="00F30C46">
        <w:t>PESC</w:t>
      </w:r>
      <w:proofErr w:type="spellEnd"/>
      <w:r w:rsidR="002F2AE4" w:rsidRPr="00F30C46">
        <w:t>;</w:t>
      </w:r>
    </w:p>
    <w:p w14:paraId="0DC8DB6D" w14:textId="77777777" w:rsidR="002F2AE4" w:rsidRPr="00F30C46" w:rsidRDefault="002F2AE4" w:rsidP="002F2AE4">
      <w:pPr>
        <w:pStyle w:val="NormalHanging12a"/>
        <w:widowControl/>
        <w:rPr>
          <w:b/>
          <w:i/>
        </w:rPr>
      </w:pPr>
      <w:r w:rsidRPr="00F30C46">
        <w:rPr>
          <w:b/>
          <w:i/>
        </w:rPr>
        <w:t xml:space="preserve">III. El próximo </w:t>
      </w:r>
      <w:proofErr w:type="spellStart"/>
      <w:r w:rsidRPr="00F30C46">
        <w:rPr>
          <w:b/>
          <w:i/>
        </w:rPr>
        <w:t>MFP</w:t>
      </w:r>
      <w:proofErr w:type="spellEnd"/>
      <w:r w:rsidRPr="00F30C46">
        <w:rPr>
          <w:b/>
          <w:i/>
        </w:rPr>
        <w:t xml:space="preserve"> y el control parlamentario del mismo</w:t>
      </w:r>
    </w:p>
    <w:p w14:paraId="6D96AC27" w14:textId="3BF1CB63" w:rsidR="002F2AE4" w:rsidRPr="00F30C46" w:rsidRDefault="002A086C" w:rsidP="002F2AE4">
      <w:pPr>
        <w:pStyle w:val="NormalHanging12a"/>
        <w:widowControl/>
      </w:pPr>
      <w:r w:rsidRPr="00F30C46">
        <w:t>99</w:t>
      </w:r>
      <w:r w:rsidR="002F2AE4" w:rsidRPr="00F30C46">
        <w:t>.</w:t>
      </w:r>
      <w:r w:rsidR="002F2AE4" w:rsidRPr="00F30C46">
        <w:tab/>
        <w:t xml:space="preserve">Considera necesario reforzar el control parlamentario institucionalizado de la acción exterior de la Unión, incluido un acceso regular y oportuno, aunque seguro, a la información confidencial y reuniones informativas en el Parlamento Europeo de conformidad con lo dispuesto en el artículo 36 del </w:t>
      </w:r>
      <w:proofErr w:type="spellStart"/>
      <w:r w:rsidR="002F2AE4" w:rsidRPr="00F30C46">
        <w:t>TUE</w:t>
      </w:r>
      <w:proofErr w:type="spellEnd"/>
      <w:r w:rsidR="002F2AE4" w:rsidRPr="00F30C46">
        <w:t xml:space="preserve">; hace hincapié en la necesidad de que la </w:t>
      </w:r>
      <w:proofErr w:type="spellStart"/>
      <w:r w:rsidR="002F2AE4" w:rsidRPr="00F30C46">
        <w:t>VP</w:t>
      </w:r>
      <w:proofErr w:type="spellEnd"/>
      <w:r w:rsidR="002F2AE4" w:rsidRPr="00F30C46">
        <w:t xml:space="preserve">/AR y el </w:t>
      </w:r>
      <w:proofErr w:type="spellStart"/>
      <w:r w:rsidR="002F2AE4" w:rsidRPr="00F30C46">
        <w:t>SEAE</w:t>
      </w:r>
      <w:proofErr w:type="spellEnd"/>
      <w:r w:rsidR="002F2AE4" w:rsidRPr="00F30C46">
        <w:t xml:space="preserve"> aporten más información sobre las medidas adoptadas y sus efectos, con el fin de cumplir las recomendaciones del Parlamento contempladas en sus Resoluciones sobre asuntos exteriores;</w:t>
      </w:r>
    </w:p>
    <w:p w14:paraId="48573FEA" w14:textId="46145D0C" w:rsidR="002F2AE4" w:rsidRPr="00F30C46" w:rsidRDefault="002A086C" w:rsidP="002F2AE4">
      <w:pPr>
        <w:pStyle w:val="NormalHanging12a"/>
        <w:widowControl/>
      </w:pPr>
      <w:r w:rsidRPr="00F30C46">
        <w:t>100</w:t>
      </w:r>
      <w:r w:rsidR="002F2AE4" w:rsidRPr="00F30C46">
        <w:t>.</w:t>
      </w:r>
      <w:r w:rsidR="002F2AE4" w:rsidRPr="00F30C46">
        <w:tab/>
        <w:t xml:space="preserve">Subraya que, en el marco de la </w:t>
      </w:r>
      <w:proofErr w:type="spellStart"/>
      <w:r w:rsidR="002F2AE4" w:rsidRPr="00F30C46">
        <w:t>PESC</w:t>
      </w:r>
      <w:proofErr w:type="spellEnd"/>
      <w:r w:rsidR="002F2AE4" w:rsidRPr="00F30C46">
        <w:t xml:space="preserve">, que abarca la </w:t>
      </w:r>
      <w:proofErr w:type="spellStart"/>
      <w:r w:rsidR="002F2AE4" w:rsidRPr="00F30C46">
        <w:t>PCSD</w:t>
      </w:r>
      <w:proofErr w:type="spellEnd"/>
      <w:r w:rsidR="002F2AE4" w:rsidRPr="00F30C46">
        <w:t xml:space="preserve">, el Parlamento Europeo ejerce su función presupuestaria conjuntamente con el Consejo; recuerda que el Parlamento Europeo también ejerce sobre dichas políticas la función de control político y consulta a que se refiere el artículo 36 del </w:t>
      </w:r>
      <w:proofErr w:type="spellStart"/>
      <w:r w:rsidR="002F2AE4" w:rsidRPr="00F30C46">
        <w:t>TUE</w:t>
      </w:r>
      <w:proofErr w:type="spellEnd"/>
      <w:r w:rsidR="002F2AE4" w:rsidRPr="00F30C46">
        <w:t xml:space="preserve">;  </w:t>
      </w:r>
    </w:p>
    <w:p w14:paraId="563BD5A3" w14:textId="16426529" w:rsidR="002F2AE4" w:rsidRPr="00F30C46" w:rsidRDefault="002A086C" w:rsidP="002F2AE4">
      <w:pPr>
        <w:pStyle w:val="NormalHanging12a"/>
        <w:widowControl/>
      </w:pPr>
      <w:r w:rsidRPr="00F30C46">
        <w:t>101</w:t>
      </w:r>
      <w:r w:rsidR="002F2AE4" w:rsidRPr="00F30C46">
        <w:t>.</w:t>
      </w:r>
      <w:r w:rsidR="002F2AE4" w:rsidRPr="00F30C46">
        <w:tab/>
        <w:t xml:space="preserve">Recuerda que, de conformidad con el artículo 41 del </w:t>
      </w:r>
      <w:proofErr w:type="spellStart"/>
      <w:r w:rsidR="002F2AE4" w:rsidRPr="00F30C46">
        <w:t>TUE</w:t>
      </w:r>
      <w:proofErr w:type="spellEnd"/>
      <w:r w:rsidR="002F2AE4" w:rsidRPr="00F30C46">
        <w:t xml:space="preserve">, todos los gastos administrativos y operativos derivados de la </w:t>
      </w:r>
      <w:proofErr w:type="spellStart"/>
      <w:r w:rsidR="002F2AE4" w:rsidRPr="00F30C46">
        <w:t>PESC</w:t>
      </w:r>
      <w:proofErr w:type="spellEnd"/>
      <w:r w:rsidR="002F2AE4" w:rsidRPr="00F30C46">
        <w:t xml:space="preserve"> y de la </w:t>
      </w:r>
      <w:proofErr w:type="spellStart"/>
      <w:r w:rsidR="002F2AE4" w:rsidRPr="00F30C46">
        <w:t>PCSD</w:t>
      </w:r>
      <w:proofErr w:type="spellEnd"/>
      <w:r w:rsidR="002F2AE4" w:rsidRPr="00F30C46">
        <w:t xml:space="preserve"> deben correr a cargo del presupuesto de la Unión, excepto los relativos a las operaciones que tengan repercusiones en el ámbito militar o de la defensa;</w:t>
      </w:r>
    </w:p>
    <w:p w14:paraId="507FC20E" w14:textId="0C2F9A88" w:rsidR="002F2AE4" w:rsidRPr="00F30C46" w:rsidRDefault="002A086C" w:rsidP="002F2AE4">
      <w:pPr>
        <w:pStyle w:val="NormalHanging12a"/>
        <w:widowControl/>
      </w:pPr>
      <w:r w:rsidRPr="00F30C46">
        <w:t>102</w:t>
      </w:r>
      <w:r w:rsidR="002F2AE4" w:rsidRPr="00F30C46">
        <w:t>.</w:t>
      </w:r>
      <w:r w:rsidR="002F2AE4" w:rsidRPr="00F30C46">
        <w:tab/>
        <w:t xml:space="preserve">Destaca que las decisiones de la </w:t>
      </w:r>
      <w:proofErr w:type="spellStart"/>
      <w:r w:rsidR="002F2AE4" w:rsidRPr="00F30C46">
        <w:t>PESC</w:t>
      </w:r>
      <w:proofErr w:type="spellEnd"/>
      <w:r w:rsidR="002F2AE4" w:rsidRPr="00F30C46">
        <w:t xml:space="preserve"> o de la </w:t>
      </w:r>
      <w:proofErr w:type="spellStart"/>
      <w:r w:rsidR="002F2AE4" w:rsidRPr="00F30C46">
        <w:t>PCSD</w:t>
      </w:r>
      <w:proofErr w:type="spellEnd"/>
      <w:r w:rsidR="002F2AE4" w:rsidRPr="00F30C46">
        <w:t xml:space="preserve"> que implican gastos siempre son opciones fundamentales para estas políticas y deben ser objeto de control parlamentario; pide a la </w:t>
      </w:r>
      <w:proofErr w:type="spellStart"/>
      <w:r w:rsidR="002F2AE4" w:rsidRPr="00F30C46">
        <w:t>VP</w:t>
      </w:r>
      <w:proofErr w:type="spellEnd"/>
      <w:r w:rsidR="002F2AE4" w:rsidRPr="00F30C46">
        <w:t xml:space="preserve">/AR que consulte al Parlamento antes de proponer decisiones de la </w:t>
      </w:r>
      <w:proofErr w:type="spellStart"/>
      <w:r w:rsidR="002F2AE4" w:rsidRPr="00F30C46">
        <w:t>PESC</w:t>
      </w:r>
      <w:proofErr w:type="spellEnd"/>
      <w:r w:rsidR="002F2AE4" w:rsidRPr="00F30C46">
        <w:t xml:space="preserve"> o la </w:t>
      </w:r>
      <w:proofErr w:type="spellStart"/>
      <w:r w:rsidR="002F2AE4" w:rsidRPr="00F30C46">
        <w:t>PCSD</w:t>
      </w:r>
      <w:proofErr w:type="spellEnd"/>
      <w:r w:rsidR="002F2AE4" w:rsidRPr="00F30C46">
        <w:t xml:space="preserve">, garantizando así la transparencia y la rendición de cuentas en consonancia con el artículo 36 del </w:t>
      </w:r>
      <w:proofErr w:type="spellStart"/>
      <w:r w:rsidR="002F2AE4" w:rsidRPr="00F30C46">
        <w:t>TUE</w:t>
      </w:r>
      <w:proofErr w:type="spellEnd"/>
      <w:r w:rsidR="002F2AE4" w:rsidRPr="00F30C46">
        <w:t xml:space="preserve">; </w:t>
      </w:r>
    </w:p>
    <w:p w14:paraId="504465E2" w14:textId="19481592" w:rsidR="002F2AE4" w:rsidRPr="00F30C46" w:rsidRDefault="002A086C" w:rsidP="002F2AE4">
      <w:pPr>
        <w:pStyle w:val="NormalHanging12a"/>
        <w:widowControl/>
      </w:pPr>
      <w:r w:rsidRPr="00F30C46">
        <w:t>103</w:t>
      </w:r>
      <w:r w:rsidR="002F2AE4" w:rsidRPr="00F30C46">
        <w:t>.</w:t>
      </w:r>
      <w:r w:rsidR="002F2AE4" w:rsidRPr="00F30C46">
        <w:tab/>
        <w:t xml:space="preserve">Recuerda que el ejercicio de la función presupuestaria del Parlamento está inextricablemente ligado a su función de control político y consulta; recuerda que el artículo 36 del </w:t>
      </w:r>
      <w:proofErr w:type="spellStart"/>
      <w:r w:rsidR="002F2AE4" w:rsidRPr="00F30C46">
        <w:t>TUE</w:t>
      </w:r>
      <w:proofErr w:type="spellEnd"/>
      <w:r w:rsidR="002F2AE4" w:rsidRPr="00F30C46">
        <w:t xml:space="preserve"> establece una relación específica entre la </w:t>
      </w:r>
      <w:proofErr w:type="spellStart"/>
      <w:r w:rsidR="002F2AE4" w:rsidRPr="00F30C46">
        <w:t>VP</w:t>
      </w:r>
      <w:proofErr w:type="spellEnd"/>
      <w:r w:rsidR="002F2AE4" w:rsidRPr="00F30C46">
        <w:t xml:space="preserve">/AR y el Parlamento Europeo, que es un requisito previo para que el Parlamento ejerza estas funciones, y que la </w:t>
      </w:r>
      <w:proofErr w:type="spellStart"/>
      <w:r w:rsidR="002F2AE4" w:rsidRPr="00F30C46">
        <w:t>VP</w:t>
      </w:r>
      <w:proofErr w:type="spellEnd"/>
      <w:r w:rsidR="002F2AE4" w:rsidRPr="00F30C46">
        <w:t>/AR debe apoyar al Parlamento a este respecto;</w:t>
      </w:r>
    </w:p>
    <w:p w14:paraId="6B055DEC" w14:textId="7D70446C" w:rsidR="002F2AE4" w:rsidRPr="00F30C46" w:rsidRDefault="002A086C" w:rsidP="002F2AE4">
      <w:pPr>
        <w:pStyle w:val="NormalHanging12a"/>
        <w:widowControl/>
      </w:pPr>
      <w:r w:rsidRPr="00F30C46">
        <w:t>104</w:t>
      </w:r>
      <w:r w:rsidR="002F2AE4" w:rsidRPr="00F30C46">
        <w:t>.</w:t>
      </w:r>
      <w:r w:rsidR="002F2AE4" w:rsidRPr="00F30C46">
        <w:tab/>
        <w:t xml:space="preserve">Lamenta que el presupuesto para las misiones civiles de la </w:t>
      </w:r>
      <w:proofErr w:type="spellStart"/>
      <w:r w:rsidR="002F2AE4" w:rsidRPr="00F30C46">
        <w:t>PCSD</w:t>
      </w:r>
      <w:proofErr w:type="spellEnd"/>
      <w:r w:rsidR="002F2AE4" w:rsidRPr="00F30C46">
        <w:t xml:space="preserve"> sea insuficiente; recuerda que ha aumentado el número de estas misiones, que se han ampliado las tareas que estas misiones desempeñan, que ha crecido la exigencia del panorama de la seguridad y que se ha incrementado el coste de las operaciones; insta al Consejo Europeo a que prevea un aumento sustancial de la financiación de la </w:t>
      </w:r>
      <w:proofErr w:type="spellStart"/>
      <w:r w:rsidR="002F2AE4" w:rsidRPr="00F30C46">
        <w:t>PESC</w:t>
      </w:r>
      <w:proofErr w:type="spellEnd"/>
      <w:r w:rsidR="002F2AE4" w:rsidRPr="00F30C46">
        <w:t xml:space="preserve"> incluida en una rúbrica independiente dedicada a la vertiente civil de la </w:t>
      </w:r>
      <w:proofErr w:type="spellStart"/>
      <w:r w:rsidR="002F2AE4" w:rsidRPr="00F30C46">
        <w:t>PESC</w:t>
      </w:r>
      <w:proofErr w:type="spellEnd"/>
      <w:r w:rsidR="002F2AE4" w:rsidRPr="00F30C46">
        <w:t xml:space="preserve"> y la gestión de crisis; pide que se garantice el uso eficiente de los fondos asignados a las misiones civiles de la </w:t>
      </w:r>
      <w:proofErr w:type="spellStart"/>
      <w:r w:rsidR="002F2AE4" w:rsidRPr="00F30C46">
        <w:t>PCSD</w:t>
      </w:r>
      <w:proofErr w:type="spellEnd"/>
      <w:r w:rsidR="002F2AE4" w:rsidRPr="00F30C46">
        <w:t xml:space="preserve">, a fin de garantizar que estas misiones sean capaces de responder eficazmente a situaciones de crisis y acontecimientos imprevistos; pide a la </w:t>
      </w:r>
      <w:proofErr w:type="spellStart"/>
      <w:r w:rsidR="002F2AE4" w:rsidRPr="00F30C46">
        <w:t>VP</w:t>
      </w:r>
      <w:proofErr w:type="spellEnd"/>
      <w:r w:rsidR="002F2AE4" w:rsidRPr="00F30C46">
        <w:t>/AR y a la Comisión que presenten propuestas conjuntas a tal fin;</w:t>
      </w:r>
    </w:p>
    <w:p w14:paraId="47F12A3C" w14:textId="56FDE0E3" w:rsidR="002F2AE4" w:rsidRPr="00F30C46" w:rsidRDefault="002A086C" w:rsidP="002F2AE4">
      <w:pPr>
        <w:pStyle w:val="NormalHanging12a"/>
        <w:widowControl/>
      </w:pPr>
      <w:r w:rsidRPr="00F30C46">
        <w:t>105</w:t>
      </w:r>
      <w:r w:rsidR="002F2AE4" w:rsidRPr="00F30C46">
        <w:t>.</w:t>
      </w:r>
      <w:r w:rsidR="002F2AE4" w:rsidRPr="00F30C46">
        <w:tab/>
        <w:t xml:space="preserve">Expresa su profunda preocupación por la infrafinanciación estructural del SEAE y por las graves, negativas y trascendentales consecuencias que ello ya conlleva para la acción exterior de la Unión y el funcionamiento de las instituciones europeas en este ámbito; </w:t>
      </w:r>
      <w:r w:rsidR="002F2AE4" w:rsidRPr="00F30C46">
        <w:lastRenderedPageBreak/>
        <w:t>subraya que el presupuesto administrativo del SEAE requiere un enfoque específico y recuerda que la ausencia de medidas correctoras puede repercutir gravemente en las relaciones de la Unión con terceros países;</w:t>
      </w:r>
    </w:p>
    <w:p w14:paraId="09EE113F" w14:textId="64A955D4" w:rsidR="002F2AE4" w:rsidRPr="00F30C46" w:rsidRDefault="002A086C" w:rsidP="002F2AE4">
      <w:pPr>
        <w:pStyle w:val="NormalHanging12a"/>
        <w:widowControl/>
      </w:pPr>
      <w:r w:rsidRPr="00F30C46">
        <w:t>106</w:t>
      </w:r>
      <w:r w:rsidR="002F2AE4" w:rsidRPr="00F30C46">
        <w:t>.</w:t>
      </w:r>
      <w:r w:rsidR="002F2AE4" w:rsidRPr="00F30C46">
        <w:tab/>
        <w:t xml:space="preserve">Pide a la Comisión que, en su propuesta sobre el próximo </w:t>
      </w:r>
      <w:proofErr w:type="spellStart"/>
      <w:r w:rsidR="002F2AE4" w:rsidRPr="00F30C46">
        <w:t>MFP</w:t>
      </w:r>
      <w:proofErr w:type="spellEnd"/>
      <w:r w:rsidR="002F2AE4" w:rsidRPr="00F30C46">
        <w:t>, considere lo siguiente en el marco de la rúbrica dedicada a la acción exterior de la Unión:</w:t>
      </w:r>
    </w:p>
    <w:p w14:paraId="0D186260" w14:textId="77777777" w:rsidR="002F2AE4" w:rsidRPr="00F30C46" w:rsidRDefault="003969EB" w:rsidP="00991D71">
      <w:pPr>
        <w:pStyle w:val="NormalHanging12a"/>
        <w:widowControl/>
        <w:ind w:left="1134"/>
      </w:pPr>
      <w:r w:rsidRPr="00F30C46">
        <w:rPr>
          <w:szCs w:val="24"/>
        </w:rPr>
        <w:t>–</w:t>
      </w:r>
      <w:r w:rsidR="002F2AE4" w:rsidRPr="00F30C46">
        <w:tab/>
        <w:t>capacidades y recursos sólidos para la acción exterior de la Unión que tengan en cuenta la exigencia cada vez mayor del panorama internacional, recordando a este respecto la gran importancia de seguir reforzando el apoyo de la Unión a los derechos humanos, la democracia y el desarrollo en terceros países;</w:t>
      </w:r>
    </w:p>
    <w:p w14:paraId="7B82B119" w14:textId="77777777" w:rsidR="002F2AE4" w:rsidRPr="00F30C46" w:rsidRDefault="003969EB" w:rsidP="00991D71">
      <w:pPr>
        <w:pStyle w:val="NormalHanging12a"/>
        <w:widowControl/>
        <w:ind w:left="1134"/>
      </w:pPr>
      <w:r w:rsidRPr="00F30C46">
        <w:rPr>
          <w:szCs w:val="24"/>
        </w:rPr>
        <w:t>–</w:t>
      </w:r>
      <w:r w:rsidR="002F2AE4" w:rsidRPr="00F30C46">
        <w:tab/>
        <w:t>recursos para la diplomacia digital de la Unión, dado el contexto actual de rápidos avances tecnológicos y competencia geopolítica;</w:t>
      </w:r>
    </w:p>
    <w:p w14:paraId="5FD0FD13" w14:textId="77777777" w:rsidR="002F2AE4" w:rsidRPr="00F30C46" w:rsidRDefault="003969EB" w:rsidP="00991D71">
      <w:pPr>
        <w:pStyle w:val="NormalHanging12a"/>
        <w:widowControl/>
        <w:ind w:left="1134"/>
      </w:pPr>
      <w:r w:rsidRPr="00F30C46">
        <w:rPr>
          <w:szCs w:val="24"/>
        </w:rPr>
        <w:t>–</w:t>
      </w:r>
      <w:r w:rsidR="002F2AE4" w:rsidRPr="00F30C46">
        <w:t xml:space="preserve"> </w:t>
      </w:r>
      <w:r w:rsidR="002F2AE4" w:rsidRPr="00F30C46">
        <w:tab/>
        <w:t xml:space="preserve">recursos para la diplomacia verde; </w:t>
      </w:r>
    </w:p>
    <w:p w14:paraId="6F899871" w14:textId="77777777" w:rsidR="002F2AE4" w:rsidRPr="00F30C46" w:rsidRDefault="003969EB" w:rsidP="00991D71">
      <w:pPr>
        <w:pStyle w:val="NormalHanging12a"/>
        <w:widowControl/>
        <w:ind w:left="1134"/>
      </w:pPr>
      <w:r w:rsidRPr="00F30C46">
        <w:rPr>
          <w:szCs w:val="24"/>
        </w:rPr>
        <w:t>–</w:t>
      </w:r>
      <w:r w:rsidR="002F2AE4" w:rsidRPr="00F30C46">
        <w:tab/>
        <w:t>un presupuesto dedicado a las acciones específicas de política exterior de la Unión en el ámbito de la igualdad de género y de la agenda sobre las mujeres, la paz y la seguridad, con el fin de integrar las perspectivas de género en la labor diplomática y de seguridad humana de la Unión;</w:t>
      </w:r>
    </w:p>
    <w:p w14:paraId="0CAA1F64" w14:textId="77777777" w:rsidR="002F2AE4" w:rsidRPr="00F30C46" w:rsidRDefault="003969EB" w:rsidP="00991D71">
      <w:pPr>
        <w:pStyle w:val="NormalHanging12a"/>
        <w:widowControl/>
        <w:ind w:left="1134"/>
      </w:pPr>
      <w:r w:rsidRPr="00F30C46">
        <w:rPr>
          <w:szCs w:val="24"/>
        </w:rPr>
        <w:t>–</w:t>
      </w:r>
      <w:r w:rsidR="002F2AE4" w:rsidRPr="00F30C46">
        <w:tab/>
        <w:t xml:space="preserve">recursos para el control preventivo de los beneficiarios potenciales a fin de garantizar que en ningún caso los fondos de la Unión apoyen directa o indirectamente actividades, proyectos o literatura que inciten a la violencia y el odio, incluido el antisemitismo, y garantizar que todos los beneficiarios de la financiación de la Unión sean objeto de seguimiento como corresponda;  </w:t>
      </w:r>
    </w:p>
    <w:p w14:paraId="7582E803" w14:textId="4F4E9F66" w:rsidR="002F2AE4" w:rsidRPr="00F30C46" w:rsidRDefault="002A086C" w:rsidP="002F2AE4">
      <w:pPr>
        <w:pStyle w:val="NormalHanging12a"/>
        <w:widowControl/>
      </w:pPr>
      <w:r w:rsidRPr="00F30C46">
        <w:t>107</w:t>
      </w:r>
      <w:r w:rsidR="002F2AE4" w:rsidRPr="00F30C46">
        <w:t>.</w:t>
      </w:r>
      <w:r w:rsidR="002F2AE4" w:rsidRPr="00F30C46">
        <w:tab/>
        <w:t xml:space="preserve">Pide a la Comisión que presente sus propuestas para el próximo </w:t>
      </w:r>
      <w:proofErr w:type="spellStart"/>
      <w:r w:rsidR="002F2AE4" w:rsidRPr="00F30C46">
        <w:t>MFP</w:t>
      </w:r>
      <w:proofErr w:type="spellEnd"/>
      <w:r w:rsidR="002F2AE4" w:rsidRPr="00F30C46">
        <w:t xml:space="preserve"> en el primer semestre de 2025, a fin de disponer de suficiente tiempo para negociar los programas; subraya la necesidad de una nomenclatura presupuestaria más detallada en el Instrumento de Vecindad, Cooperación al Desarrollo y Cooperación Internacional, en el Instrumento de Ayuda Preadhesión y en el presupuesto de la </w:t>
      </w:r>
      <w:proofErr w:type="spellStart"/>
      <w:r w:rsidR="002F2AE4" w:rsidRPr="00F30C46">
        <w:t>PESC</w:t>
      </w:r>
      <w:proofErr w:type="spellEnd"/>
      <w:r w:rsidR="002F2AE4" w:rsidRPr="00F30C46">
        <w:t>, que permita a la autoridad presupuestaria establecer prioridades estratégicas y geográficas en el marco del procedimiento presupuestario anual;</w:t>
      </w:r>
    </w:p>
    <w:p w14:paraId="3A0BAD22" w14:textId="1645EFCA" w:rsidR="002F2AE4" w:rsidRPr="00F30C46" w:rsidRDefault="002A086C" w:rsidP="002F2AE4">
      <w:pPr>
        <w:pStyle w:val="NormalHanging12a"/>
        <w:widowControl/>
      </w:pPr>
      <w:r w:rsidRPr="00F30C46">
        <w:t>108</w:t>
      </w:r>
      <w:r w:rsidR="002F2AE4" w:rsidRPr="00F30C46">
        <w:t>.</w:t>
      </w:r>
      <w:r w:rsidR="002F2AE4" w:rsidRPr="00F30C46">
        <w:tab/>
        <w:t xml:space="preserve">Subraya que cada cuestión planteada anteriormente requiere una respuesta adecuada por parte del ejecutivo; pide a la </w:t>
      </w:r>
      <w:proofErr w:type="spellStart"/>
      <w:r w:rsidR="002F2AE4" w:rsidRPr="00F30C46">
        <w:t>VP</w:t>
      </w:r>
      <w:proofErr w:type="spellEnd"/>
      <w:r w:rsidR="002F2AE4" w:rsidRPr="00F30C46">
        <w:t xml:space="preserve">/AR que responda con rapidez y por escrito a las peticiones, solicitudes e inquietudes del Parlamento; considera que las declaraciones orales en comisión o en el Pleno solo pueden constituir una respuesta suficiente en casos excepcionales o urgentes; insiste en que, en el difícil contexto geopolítico actual, reviste una importancia estratégica que el Parlamento Europeo y la </w:t>
      </w:r>
      <w:proofErr w:type="spellStart"/>
      <w:r w:rsidR="002F2AE4" w:rsidRPr="00F30C46">
        <w:t>VP</w:t>
      </w:r>
      <w:proofErr w:type="spellEnd"/>
      <w:r w:rsidR="002F2AE4" w:rsidRPr="00F30C46">
        <w:t xml:space="preserve">/AR mantengan una estrecha cooperación y asociación; espera intercambios más sistemáticos antes de la adopción de los mandatos y estrategias de la </w:t>
      </w:r>
      <w:proofErr w:type="spellStart"/>
      <w:r w:rsidR="002F2AE4" w:rsidRPr="00F30C46">
        <w:t>PESC</w:t>
      </w:r>
      <w:proofErr w:type="spellEnd"/>
      <w:r w:rsidR="002F2AE4" w:rsidRPr="00F30C46">
        <w:t xml:space="preserve"> y una mejora del flujo de información sobre las negociaciones y la aplicación de acuerdos internacionales y memorandos de entendimiento; espera asimismo una incorporación efectiva del Parlamento en todas las estrategias y acciones exteriores de la Unión, movilizando así la diplomacia parlamentaria en apoyo de la labor de la </w:t>
      </w:r>
      <w:proofErr w:type="spellStart"/>
      <w:r w:rsidR="002F2AE4" w:rsidRPr="00F30C46">
        <w:t>VP</w:t>
      </w:r>
      <w:proofErr w:type="spellEnd"/>
      <w:r w:rsidR="002F2AE4" w:rsidRPr="00F30C46">
        <w:t>/AR;</w:t>
      </w:r>
    </w:p>
    <w:p w14:paraId="6CFDB682" w14:textId="77777777" w:rsidR="002F2AE4" w:rsidRPr="00F30C46" w:rsidRDefault="002F2AE4" w:rsidP="002F2AE4">
      <w:pPr>
        <w:pStyle w:val="NormalHanging12a"/>
        <w:widowControl/>
        <w:jc w:val="center"/>
      </w:pPr>
      <w:r w:rsidRPr="00F30C46">
        <w:t>°</w:t>
      </w:r>
    </w:p>
    <w:p w14:paraId="5C4F8C2A" w14:textId="77777777" w:rsidR="002F2AE4" w:rsidRPr="00F30C46" w:rsidRDefault="002F2AE4" w:rsidP="002F2AE4">
      <w:pPr>
        <w:pStyle w:val="NormalHanging12a"/>
        <w:widowControl/>
        <w:jc w:val="center"/>
      </w:pPr>
      <w:r w:rsidRPr="00F30C46">
        <w:t>°</w:t>
      </w:r>
      <w:r w:rsidRPr="00F30C46">
        <w:tab/>
        <w:t>°</w:t>
      </w:r>
    </w:p>
    <w:p w14:paraId="72C119AC" w14:textId="140CC2CC" w:rsidR="00CB0C2A" w:rsidRPr="00F30C46" w:rsidRDefault="002A086C" w:rsidP="00CB0C2A">
      <w:pPr>
        <w:pStyle w:val="NormalHanging12a"/>
        <w:widowControl/>
      </w:pPr>
      <w:r w:rsidRPr="00F30C46">
        <w:lastRenderedPageBreak/>
        <w:t>109</w:t>
      </w:r>
      <w:r w:rsidR="002F2AE4" w:rsidRPr="00F30C46">
        <w:t>.</w:t>
      </w:r>
      <w:r w:rsidR="002F2AE4" w:rsidRPr="00F30C46">
        <w:tab/>
        <w:t>Encarga a su presidenta que transmita la presente Resolución al Consejo Europeo, al Consejo, a la Comisión, a la vicepresidenta de la Comisión / alta representante de la Unión para Asuntos Exteriores y Política de Seguridad y a los Gobiernos y Parlamentos de los Estados miembros.</w:t>
      </w:r>
    </w:p>
    <w:p w14:paraId="7502C355" w14:textId="77777777" w:rsidR="00E365E1" w:rsidRPr="00F30C46" w:rsidRDefault="00E365E1" w:rsidP="002B3A46">
      <w:bookmarkStart w:id="9" w:name="_GoBack"/>
      <w:bookmarkEnd w:id="9"/>
    </w:p>
    <w:sectPr w:rsidR="00E365E1" w:rsidRPr="00F30C46" w:rsidSect="00CB0C2A">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38626A" w14:textId="77777777" w:rsidR="00173A84" w:rsidRPr="00CB0C2A" w:rsidRDefault="00173A84">
      <w:r w:rsidRPr="00CB0C2A">
        <w:separator/>
      </w:r>
    </w:p>
  </w:endnote>
  <w:endnote w:type="continuationSeparator" w:id="0">
    <w:p w14:paraId="639399BB" w14:textId="77777777" w:rsidR="00173A84" w:rsidRPr="00CB0C2A" w:rsidRDefault="00173A84">
      <w:r w:rsidRPr="00CB0C2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1CC86E" w14:textId="77777777" w:rsidR="00173A84" w:rsidRPr="00CB0C2A" w:rsidRDefault="00173A84">
      <w:r w:rsidRPr="00CB0C2A">
        <w:separator/>
      </w:r>
    </w:p>
  </w:footnote>
  <w:footnote w:type="continuationSeparator" w:id="0">
    <w:p w14:paraId="65C8C411" w14:textId="77777777" w:rsidR="00173A84" w:rsidRPr="00CB0C2A" w:rsidRDefault="00173A84">
      <w:r w:rsidRPr="00CB0C2A">
        <w:continuationSeparator/>
      </w:r>
    </w:p>
  </w:footnote>
  <w:footnote w:id="1">
    <w:p w14:paraId="0EEEBB6D" w14:textId="4FA15CB7" w:rsidR="00173A84" w:rsidRPr="00991D71" w:rsidRDefault="00173A84" w:rsidP="00CB0C2A">
      <w:pPr>
        <w:pStyle w:val="FootnoteText"/>
        <w:ind w:left="567" w:hanging="567"/>
        <w:rPr>
          <w:sz w:val="24"/>
          <w:lang w:val="pt-PT"/>
        </w:rPr>
      </w:pPr>
      <w:r w:rsidRPr="00CB0C2A">
        <w:rPr>
          <w:rStyle w:val="FootnoteReference"/>
          <w:sz w:val="24"/>
          <w:lang w:val="es-ES_tradnl"/>
        </w:rPr>
        <w:footnoteRef/>
      </w:r>
      <w:r w:rsidRPr="00991D71">
        <w:rPr>
          <w:sz w:val="24"/>
          <w:shd w:val="clear" w:color="auto" w:fill="FFFFFF"/>
          <w:lang w:val="pt-PT"/>
        </w:rPr>
        <w:t xml:space="preserve"> </w:t>
      </w:r>
      <w:r w:rsidRPr="00991D71">
        <w:rPr>
          <w:sz w:val="24"/>
          <w:shd w:val="clear" w:color="auto" w:fill="FFFFFF"/>
          <w:lang w:val="pt-PT"/>
        </w:rPr>
        <w:tab/>
        <w:t>DO L 433</w:t>
      </w:r>
      <w:r w:rsidR="003D07E1">
        <w:rPr>
          <w:sz w:val="24"/>
          <w:shd w:val="clear" w:color="auto" w:fill="FFFFFF"/>
          <w:lang w:val="pt-PT"/>
        </w:rPr>
        <w:t xml:space="preserve"> </w:t>
      </w:r>
      <w:r w:rsidRPr="00991D71">
        <w:rPr>
          <w:sz w:val="24"/>
          <w:shd w:val="clear" w:color="auto" w:fill="FFFFFF"/>
          <w:lang w:val="pt-PT"/>
        </w:rPr>
        <w:t>I de 22.12.2020, p. 28, ELI: </w:t>
      </w:r>
      <w:hyperlink r:id="rId1" w:tooltip="Da acceso a este documento a través de su URI ELI." w:history="1">
        <w:r w:rsidRPr="00991D71">
          <w:rPr>
            <w:rStyle w:val="Hyperlink"/>
            <w:sz w:val="24"/>
            <w:shd w:val="clear" w:color="auto" w:fill="FFFFFF"/>
            <w:lang w:val="pt-PT"/>
          </w:rPr>
          <w:t>http://data.europa.eu/eli/agree_interinstit/2020/1222/oj</w:t>
        </w:r>
      </w:hyperlink>
      <w:r w:rsidRPr="00991D71">
        <w:rPr>
          <w:sz w:val="24"/>
          <w:lang w:val="pt-PT"/>
        </w:rPr>
        <w:t>.</w:t>
      </w:r>
    </w:p>
  </w:footnote>
  <w:footnote w:id="2">
    <w:p w14:paraId="77990316" w14:textId="77777777" w:rsidR="00173A84" w:rsidRPr="00991D71" w:rsidRDefault="00173A84" w:rsidP="00CB0C2A">
      <w:pPr>
        <w:pStyle w:val="FootnoteText"/>
        <w:ind w:left="567" w:hanging="567"/>
        <w:rPr>
          <w:sz w:val="24"/>
          <w:lang w:val="pt-PT"/>
        </w:rPr>
      </w:pPr>
      <w:r w:rsidRPr="00CB0C2A">
        <w:rPr>
          <w:rStyle w:val="FootnoteReference"/>
          <w:sz w:val="24"/>
          <w:lang w:val="es-ES_tradnl"/>
        </w:rPr>
        <w:footnoteRef/>
      </w:r>
      <w:r w:rsidRPr="00991D71">
        <w:rPr>
          <w:rStyle w:val="Emphasis"/>
          <w:sz w:val="24"/>
          <w:shd w:val="clear" w:color="auto" w:fill="FFFFFF"/>
          <w:lang w:val="pt-PT"/>
        </w:rPr>
        <w:t xml:space="preserve"> </w:t>
      </w:r>
      <w:r w:rsidRPr="00991D71">
        <w:rPr>
          <w:rStyle w:val="Emphasis"/>
          <w:sz w:val="24"/>
          <w:shd w:val="clear" w:color="auto" w:fill="FFFFFF"/>
          <w:lang w:val="pt-PT"/>
        </w:rPr>
        <w:tab/>
      </w:r>
      <w:r w:rsidRPr="00991D71">
        <w:rPr>
          <w:rStyle w:val="Emphasis"/>
          <w:i w:val="0"/>
          <w:sz w:val="24"/>
          <w:shd w:val="clear" w:color="auto" w:fill="FFFFFF"/>
          <w:lang w:val="pt-PT"/>
        </w:rPr>
        <w:t xml:space="preserve">DO L 102 de 24.3.2021, p. 14, </w:t>
      </w:r>
      <w:r w:rsidRPr="00991D71">
        <w:rPr>
          <w:sz w:val="24"/>
          <w:shd w:val="clear" w:color="auto" w:fill="FFFFFF"/>
          <w:lang w:val="pt-PT"/>
        </w:rPr>
        <w:t>ELI: </w:t>
      </w:r>
      <w:hyperlink r:id="rId2" w:tooltip="Da acceso a este documento a través de su URI ELI." w:history="1">
        <w:r w:rsidRPr="00991D71">
          <w:rPr>
            <w:rStyle w:val="Hyperlink"/>
            <w:sz w:val="24"/>
            <w:shd w:val="clear" w:color="auto" w:fill="FFFFFF"/>
            <w:lang w:val="pt-PT"/>
          </w:rPr>
          <w:t>http://data.europa.eu/eli/dec/2021/509/2024-03-18</w:t>
        </w:r>
      </w:hyperlink>
      <w:r w:rsidRPr="00991D71">
        <w:rPr>
          <w:sz w:val="24"/>
          <w:lang w:val="pt-PT"/>
        </w:rPr>
        <w:t>.</w:t>
      </w:r>
    </w:p>
  </w:footnote>
  <w:footnote w:id="3">
    <w:p w14:paraId="44184F90" w14:textId="77777777" w:rsidR="00173A84" w:rsidRPr="00991D71" w:rsidRDefault="00173A84" w:rsidP="00CB0C2A">
      <w:pPr>
        <w:pStyle w:val="FootnoteText"/>
        <w:ind w:left="567" w:hanging="567"/>
        <w:rPr>
          <w:sz w:val="24"/>
          <w:lang w:val="pt-PT"/>
        </w:rPr>
      </w:pPr>
      <w:r w:rsidRPr="00CB0C2A">
        <w:rPr>
          <w:rStyle w:val="FootnoteReference"/>
          <w:sz w:val="24"/>
          <w:lang w:val="es-ES_tradnl"/>
        </w:rPr>
        <w:footnoteRef/>
      </w:r>
      <w:r w:rsidRPr="00991D71">
        <w:rPr>
          <w:sz w:val="24"/>
          <w:shd w:val="clear" w:color="auto" w:fill="FFFFFF"/>
          <w:lang w:val="pt-PT"/>
        </w:rPr>
        <w:t xml:space="preserve"> </w:t>
      </w:r>
      <w:r w:rsidRPr="00991D71">
        <w:rPr>
          <w:sz w:val="24"/>
          <w:shd w:val="clear" w:color="auto" w:fill="FFFFFF"/>
          <w:lang w:val="pt-PT"/>
        </w:rPr>
        <w:tab/>
        <w:t>DO L, 2024/1449, 24.5.2024, ELI: </w:t>
      </w:r>
      <w:hyperlink r:id="rId3" w:tgtFrame="_blank" w:tooltip="Da acceso a este documento a través de su URI ELI." w:history="1">
        <w:r w:rsidRPr="00991D71">
          <w:rPr>
            <w:sz w:val="24"/>
            <w:lang w:val="pt-PT"/>
          </w:rPr>
          <w:t>http://data.europa.eu/eli/reg/2024/1449/oj</w:t>
        </w:r>
      </w:hyperlink>
      <w:r w:rsidRPr="00991D71">
        <w:rPr>
          <w:sz w:val="24"/>
          <w:shd w:val="clear" w:color="auto" w:fill="FFFFFF"/>
          <w:lang w:val="pt-PT"/>
        </w:rPr>
        <w:t>.</w:t>
      </w:r>
    </w:p>
  </w:footnote>
  <w:footnote w:id="4">
    <w:p w14:paraId="7D42139A" w14:textId="21410E78" w:rsidR="00173A84" w:rsidRPr="002E0969" w:rsidRDefault="00173A84" w:rsidP="002E0969">
      <w:pPr>
        <w:pStyle w:val="FootnoteText"/>
        <w:ind w:left="567" w:hanging="567"/>
        <w:rPr>
          <w:sz w:val="24"/>
          <w:szCs w:val="24"/>
          <w:lang w:val="pt-PT"/>
        </w:rPr>
      </w:pPr>
      <w:r w:rsidRPr="002E0969">
        <w:rPr>
          <w:rStyle w:val="FootnoteReference"/>
          <w:sz w:val="24"/>
          <w:szCs w:val="24"/>
        </w:rPr>
        <w:footnoteRef/>
      </w:r>
      <w:r w:rsidRPr="002E0969">
        <w:rPr>
          <w:sz w:val="24"/>
          <w:szCs w:val="24"/>
          <w:lang w:val="pt-PT"/>
        </w:rPr>
        <w:t xml:space="preserve"> </w:t>
      </w:r>
      <w:r w:rsidRPr="002E0969">
        <w:rPr>
          <w:sz w:val="24"/>
          <w:szCs w:val="24"/>
          <w:lang w:val="pt-PT"/>
        </w:rPr>
        <w:tab/>
        <w:t xml:space="preserve">DO L, 2025/535, 21.3.2025, ELI: </w:t>
      </w:r>
      <w:hyperlink r:id="rId4" w:history="1">
        <w:r w:rsidRPr="002E0969">
          <w:rPr>
            <w:rStyle w:val="Hyperlink"/>
            <w:sz w:val="24"/>
            <w:szCs w:val="24"/>
            <w:lang w:val="pt-PT"/>
          </w:rPr>
          <w:t>http://data.europa.eu/eli/reg/2025/535/oj</w:t>
        </w:r>
      </w:hyperlink>
      <w:r w:rsidRPr="002E0969">
        <w:rPr>
          <w:sz w:val="24"/>
          <w:szCs w:val="24"/>
          <w:lang w:val="pt-PT"/>
        </w:rPr>
        <w:t>.</w:t>
      </w:r>
    </w:p>
  </w:footnote>
  <w:footnote w:id="5">
    <w:p w14:paraId="73B128CB" w14:textId="7C6EC81F" w:rsidR="00173A84" w:rsidRPr="00991D71" w:rsidRDefault="00173A84" w:rsidP="00CB0C2A">
      <w:pPr>
        <w:pStyle w:val="FootnoteText"/>
        <w:ind w:left="567" w:hanging="567"/>
        <w:rPr>
          <w:b/>
          <w:sz w:val="24"/>
          <w:lang w:val="pt-PT"/>
        </w:rPr>
      </w:pPr>
      <w:r w:rsidRPr="00CB0C2A">
        <w:rPr>
          <w:rStyle w:val="FootnoteReference"/>
          <w:sz w:val="24"/>
          <w:lang w:val="es-ES_tradnl"/>
        </w:rPr>
        <w:footnoteRef/>
      </w:r>
      <w:r w:rsidRPr="00991D71">
        <w:rPr>
          <w:rStyle w:val="Emphasis"/>
          <w:sz w:val="24"/>
          <w:shd w:val="clear" w:color="auto" w:fill="FFFFFF"/>
          <w:lang w:val="pt-PT"/>
        </w:rPr>
        <w:t xml:space="preserve"> </w:t>
      </w:r>
      <w:r w:rsidRPr="00991D71">
        <w:rPr>
          <w:rStyle w:val="Emphasis"/>
          <w:sz w:val="24"/>
          <w:shd w:val="clear" w:color="auto" w:fill="FFFFFF"/>
          <w:lang w:val="pt-PT"/>
        </w:rPr>
        <w:tab/>
      </w:r>
      <w:r w:rsidRPr="00991D71">
        <w:rPr>
          <w:rStyle w:val="Emphasis"/>
          <w:i w:val="0"/>
          <w:sz w:val="24"/>
          <w:shd w:val="clear" w:color="auto" w:fill="FFFFFF"/>
          <w:lang w:val="pt-PT"/>
        </w:rPr>
        <w:t>DO L 129</w:t>
      </w:r>
      <w:r w:rsidR="003D07E1">
        <w:rPr>
          <w:rStyle w:val="Emphasis"/>
          <w:i w:val="0"/>
          <w:sz w:val="24"/>
          <w:shd w:val="clear" w:color="auto" w:fill="FFFFFF"/>
          <w:lang w:val="pt-PT"/>
        </w:rPr>
        <w:t xml:space="preserve"> </w:t>
      </w:r>
      <w:r w:rsidRPr="00991D71">
        <w:rPr>
          <w:rStyle w:val="Emphasis"/>
          <w:i w:val="0"/>
          <w:sz w:val="24"/>
          <w:shd w:val="clear" w:color="auto" w:fill="FFFFFF"/>
          <w:lang w:val="pt-PT"/>
        </w:rPr>
        <w:t>I de 17.5.2019, p. 13,</w:t>
      </w:r>
      <w:r w:rsidRPr="00991D71">
        <w:rPr>
          <w:i/>
          <w:sz w:val="24"/>
          <w:shd w:val="clear" w:color="auto" w:fill="FFFFFF"/>
          <w:lang w:val="pt-PT"/>
        </w:rPr>
        <w:t xml:space="preserve"> </w:t>
      </w:r>
      <w:r w:rsidRPr="00991D71">
        <w:rPr>
          <w:sz w:val="24"/>
          <w:shd w:val="clear" w:color="auto" w:fill="FFFFFF"/>
          <w:lang w:val="pt-PT"/>
        </w:rPr>
        <w:t>ELI: </w:t>
      </w:r>
      <w:hyperlink r:id="rId5" w:tooltip="Da acceso a este documento a través de su URI ELI." w:history="1">
        <w:r w:rsidRPr="00991D71">
          <w:rPr>
            <w:sz w:val="24"/>
            <w:shd w:val="clear" w:color="auto" w:fill="FFFFFF"/>
            <w:lang w:val="pt-PT"/>
          </w:rPr>
          <w:t>http://data.europa.eu/eli/dec/2019/797/oj</w:t>
        </w:r>
      </w:hyperlink>
      <w:r w:rsidRPr="00991D71">
        <w:rPr>
          <w:sz w:val="24"/>
          <w:lang w:val="pt-PT"/>
        </w:rPr>
        <w:t>.</w:t>
      </w:r>
    </w:p>
  </w:footnote>
  <w:footnote w:id="6">
    <w:p w14:paraId="6E76D9A5" w14:textId="77777777" w:rsidR="00173A84" w:rsidRPr="00991D71" w:rsidRDefault="00173A84" w:rsidP="00CB0C2A">
      <w:pPr>
        <w:pStyle w:val="FootnoteText"/>
        <w:ind w:left="567" w:hanging="567"/>
        <w:rPr>
          <w:sz w:val="24"/>
          <w:lang w:val="pt-PT"/>
        </w:rPr>
      </w:pPr>
      <w:r w:rsidRPr="00CB0C2A">
        <w:rPr>
          <w:rStyle w:val="FootnoteReference"/>
          <w:sz w:val="24"/>
          <w:lang w:val="es-ES_tradnl"/>
        </w:rPr>
        <w:footnoteRef/>
      </w:r>
      <w:r w:rsidRPr="00991D71">
        <w:rPr>
          <w:sz w:val="24"/>
          <w:shd w:val="clear" w:color="auto" w:fill="FFFFFF"/>
          <w:lang w:val="pt-PT"/>
        </w:rPr>
        <w:t xml:space="preserve"> </w:t>
      </w:r>
      <w:r w:rsidRPr="00991D71">
        <w:rPr>
          <w:sz w:val="24"/>
          <w:shd w:val="clear" w:color="auto" w:fill="FFFFFF"/>
          <w:lang w:val="pt-PT"/>
        </w:rPr>
        <w:tab/>
        <w:t>DO C, C/2023/1226, 21.12.2023, ELI: </w:t>
      </w:r>
      <w:hyperlink r:id="rId6" w:tgtFrame="_blank" w:tooltip="Da acceso a este documento a través de su URI ELI." w:history="1">
        <w:r w:rsidRPr="00991D71">
          <w:rPr>
            <w:sz w:val="24"/>
            <w:lang w:val="pt-PT"/>
          </w:rPr>
          <w:t>http://data.europa.eu/eli/C/2023/1226/oj</w:t>
        </w:r>
      </w:hyperlink>
      <w:r w:rsidRPr="00991D71">
        <w:rPr>
          <w:sz w:val="24"/>
          <w:shd w:val="clear" w:color="auto" w:fill="FFFFFF"/>
          <w:lang w:val="pt-PT"/>
        </w:rPr>
        <w:t>.</w:t>
      </w:r>
    </w:p>
  </w:footnote>
  <w:footnote w:id="7">
    <w:p w14:paraId="60889057" w14:textId="77777777" w:rsidR="00173A84" w:rsidRPr="00991D71" w:rsidRDefault="00173A84" w:rsidP="00CB0C2A">
      <w:pPr>
        <w:pStyle w:val="FootnoteText"/>
        <w:ind w:left="567" w:hanging="567"/>
        <w:rPr>
          <w:sz w:val="24"/>
          <w:lang w:val="pt-PT"/>
        </w:rPr>
      </w:pPr>
      <w:r w:rsidRPr="00CB0C2A">
        <w:rPr>
          <w:rStyle w:val="FootnoteReference"/>
          <w:sz w:val="24"/>
          <w:lang w:val="es-ES_tradnl"/>
        </w:rPr>
        <w:footnoteRef/>
      </w:r>
      <w:r w:rsidRPr="00991D71">
        <w:rPr>
          <w:sz w:val="24"/>
          <w:shd w:val="clear" w:color="auto" w:fill="FFFFFF"/>
          <w:lang w:val="pt-PT"/>
        </w:rPr>
        <w:t xml:space="preserve"> </w:t>
      </w:r>
      <w:r w:rsidRPr="00991D71">
        <w:rPr>
          <w:sz w:val="24"/>
          <w:shd w:val="clear" w:color="auto" w:fill="FFFFFF"/>
          <w:lang w:val="pt-PT"/>
        </w:rPr>
        <w:tab/>
        <w:t>DO C, C/2025/204, 14.1.2025, ELI: </w:t>
      </w:r>
      <w:hyperlink r:id="rId7" w:tgtFrame="_blank" w:tooltip="Da acceso a este documento a través de su URI ELI." w:history="1">
        <w:r w:rsidRPr="00991D71">
          <w:rPr>
            <w:sz w:val="24"/>
            <w:lang w:val="pt-PT"/>
          </w:rPr>
          <w:t>http://data.europa.eu/eli/C/2025/204/oj</w:t>
        </w:r>
      </w:hyperlink>
      <w:r w:rsidRPr="00991D71">
        <w:rPr>
          <w:sz w:val="24"/>
          <w:shd w:val="clear" w:color="auto" w:fill="FFFFFF"/>
          <w:lang w:val="pt-PT"/>
        </w:rPr>
        <w:t>.</w:t>
      </w:r>
    </w:p>
  </w:footnote>
  <w:footnote w:id="8">
    <w:p w14:paraId="72164E1E" w14:textId="77777777" w:rsidR="00173A84" w:rsidRPr="00991D71" w:rsidRDefault="00173A84" w:rsidP="00CB0C2A">
      <w:pPr>
        <w:pStyle w:val="FootnoteText"/>
        <w:ind w:left="567" w:hanging="567"/>
        <w:rPr>
          <w:sz w:val="24"/>
          <w:lang w:val="pt-PT"/>
        </w:rPr>
      </w:pPr>
      <w:r w:rsidRPr="00CB0C2A">
        <w:rPr>
          <w:rStyle w:val="FootnoteReference"/>
          <w:sz w:val="24"/>
          <w:lang w:val="es-ES_tradnl"/>
        </w:rPr>
        <w:footnoteRef/>
      </w:r>
      <w:r w:rsidRPr="00991D71">
        <w:rPr>
          <w:sz w:val="24"/>
          <w:shd w:val="clear" w:color="auto" w:fill="FFFFFF"/>
          <w:lang w:val="pt-PT"/>
        </w:rPr>
        <w:t xml:space="preserve"> </w:t>
      </w:r>
      <w:r w:rsidRPr="00991D71">
        <w:rPr>
          <w:sz w:val="24"/>
          <w:shd w:val="clear" w:color="auto" w:fill="FFFFFF"/>
          <w:lang w:val="pt-PT"/>
        </w:rPr>
        <w:tab/>
        <w:t>DO C, C/2025/487, 29.1.2025, ELI: </w:t>
      </w:r>
      <w:hyperlink r:id="rId8" w:tgtFrame="_blank" w:tooltip="Da acceso a este documento a través de su URI ELI." w:history="1">
        <w:r w:rsidRPr="00991D71">
          <w:rPr>
            <w:sz w:val="24"/>
            <w:lang w:val="pt-PT"/>
          </w:rPr>
          <w:t>http://data.europa.eu/eli/C/2025/487/oj</w:t>
        </w:r>
      </w:hyperlink>
      <w:r w:rsidRPr="00991D71">
        <w:rPr>
          <w:sz w:val="24"/>
          <w:shd w:val="clear" w:color="auto" w:fill="FFFFFF"/>
          <w:lang w:val="pt-PT"/>
        </w:rPr>
        <w:t>.</w:t>
      </w:r>
    </w:p>
  </w:footnote>
  <w:footnote w:id="9">
    <w:p w14:paraId="5CBFC00B" w14:textId="77777777" w:rsidR="00173A84" w:rsidRPr="00991D71" w:rsidRDefault="00173A84" w:rsidP="00CB0C2A">
      <w:pPr>
        <w:pStyle w:val="FootnoteText"/>
        <w:ind w:left="567" w:hanging="567"/>
        <w:rPr>
          <w:sz w:val="24"/>
          <w:lang w:val="pt-PT"/>
        </w:rPr>
      </w:pPr>
      <w:r w:rsidRPr="00CB0C2A">
        <w:rPr>
          <w:rStyle w:val="FootnoteReference"/>
          <w:sz w:val="24"/>
          <w:lang w:val="es-ES_tradnl"/>
        </w:rPr>
        <w:footnoteRef/>
      </w:r>
      <w:r w:rsidRPr="00991D71">
        <w:rPr>
          <w:sz w:val="24"/>
          <w:shd w:val="clear" w:color="auto" w:fill="FFFFFF"/>
          <w:lang w:val="pt-PT"/>
        </w:rPr>
        <w:t xml:space="preserve"> </w:t>
      </w:r>
      <w:r w:rsidRPr="00991D71">
        <w:rPr>
          <w:sz w:val="24"/>
          <w:shd w:val="clear" w:color="auto" w:fill="FFFFFF"/>
          <w:lang w:val="pt-PT"/>
        </w:rPr>
        <w:tab/>
        <w:t>DO C, C/2024/5719, 17.10.2024, ELI: </w:t>
      </w:r>
      <w:hyperlink r:id="rId9" w:tgtFrame="_blank" w:tooltip="Da acceso a este documento a través de su URI ELI." w:history="1">
        <w:r w:rsidRPr="00991D71">
          <w:rPr>
            <w:sz w:val="24"/>
            <w:lang w:val="pt-PT"/>
          </w:rPr>
          <w:t>http://data.europa.eu/eli/C/2024/5719/oj</w:t>
        </w:r>
      </w:hyperlink>
      <w:r w:rsidRPr="00991D71">
        <w:rPr>
          <w:sz w:val="24"/>
          <w:shd w:val="clear" w:color="auto" w:fill="FFFFFF"/>
          <w:lang w:val="pt-PT"/>
        </w:rPr>
        <w:t>.</w:t>
      </w:r>
    </w:p>
  </w:footnote>
  <w:footnote w:id="10">
    <w:p w14:paraId="43375C9C" w14:textId="77777777" w:rsidR="00173A84" w:rsidRPr="00991D71" w:rsidRDefault="00173A84" w:rsidP="00CB0C2A">
      <w:pPr>
        <w:pStyle w:val="FootnoteText"/>
        <w:ind w:left="567" w:hanging="567"/>
        <w:rPr>
          <w:sz w:val="24"/>
          <w:lang w:val="pt-PT"/>
        </w:rPr>
      </w:pPr>
      <w:r w:rsidRPr="00CB0C2A">
        <w:rPr>
          <w:rStyle w:val="FootnoteReference"/>
          <w:sz w:val="24"/>
          <w:lang w:val="es-ES_tradnl"/>
        </w:rPr>
        <w:footnoteRef/>
      </w:r>
      <w:r w:rsidRPr="00991D71">
        <w:rPr>
          <w:sz w:val="24"/>
          <w:shd w:val="clear" w:color="auto" w:fill="FFFFFF"/>
          <w:lang w:val="pt-PT"/>
        </w:rPr>
        <w:t xml:space="preserve"> </w:t>
      </w:r>
      <w:r w:rsidRPr="00991D71">
        <w:rPr>
          <w:sz w:val="24"/>
          <w:shd w:val="clear" w:color="auto" w:fill="FFFFFF"/>
          <w:lang w:val="pt-PT"/>
        </w:rPr>
        <w:tab/>
        <w:t>DO C, C/2025/486, 29.1.2025, ELI: </w:t>
      </w:r>
      <w:hyperlink r:id="rId10" w:tgtFrame="_blank" w:tooltip="Da acceso a este documento a través de su URI ELI." w:history="1">
        <w:r w:rsidRPr="00991D71">
          <w:rPr>
            <w:sz w:val="24"/>
            <w:lang w:val="pt-PT"/>
          </w:rPr>
          <w:t>http://data.europa.eu/eli/C/2025/486/oj</w:t>
        </w:r>
      </w:hyperlink>
      <w:r w:rsidRPr="00991D71">
        <w:rPr>
          <w:sz w:val="24"/>
          <w:shd w:val="clear" w:color="auto" w:fill="FFFFFF"/>
          <w:lang w:val="pt-PT"/>
        </w:rPr>
        <w:t>.</w:t>
      </w:r>
    </w:p>
  </w:footnote>
  <w:footnote w:id="11">
    <w:p w14:paraId="3DE894C1" w14:textId="77777777" w:rsidR="00173A84" w:rsidRPr="00991D71" w:rsidRDefault="00173A84" w:rsidP="00CB0C2A">
      <w:pPr>
        <w:pStyle w:val="FootnoteText"/>
        <w:ind w:left="567" w:hanging="567"/>
        <w:rPr>
          <w:sz w:val="24"/>
          <w:lang w:val="pt-PT"/>
        </w:rPr>
      </w:pPr>
      <w:r w:rsidRPr="00CB0C2A">
        <w:rPr>
          <w:rStyle w:val="FootnoteReference"/>
          <w:sz w:val="24"/>
          <w:lang w:val="es-ES_tradnl"/>
        </w:rPr>
        <w:footnoteRef/>
      </w:r>
      <w:r w:rsidRPr="00991D71">
        <w:rPr>
          <w:sz w:val="24"/>
          <w:shd w:val="clear" w:color="auto" w:fill="FFFFFF"/>
          <w:lang w:val="pt-PT"/>
        </w:rPr>
        <w:t xml:space="preserve"> </w:t>
      </w:r>
      <w:r w:rsidRPr="00991D71">
        <w:rPr>
          <w:sz w:val="24"/>
          <w:shd w:val="clear" w:color="auto" w:fill="FFFFFF"/>
          <w:lang w:val="pt-PT"/>
        </w:rPr>
        <w:tab/>
        <w:t>DO C, C/2024/1188, 23.2.2024, ELI: </w:t>
      </w:r>
      <w:hyperlink r:id="rId11" w:tgtFrame="_blank" w:tooltip="Da acceso a este documento a través de su URI ELI." w:history="1">
        <w:r w:rsidRPr="00991D71">
          <w:rPr>
            <w:sz w:val="24"/>
            <w:lang w:val="pt-PT"/>
          </w:rPr>
          <w:t>http://data.europa.eu/eli/C/2024/1188/oj</w:t>
        </w:r>
      </w:hyperlink>
      <w:r w:rsidRPr="00991D71">
        <w:rPr>
          <w:sz w:val="24"/>
          <w:shd w:val="clear" w:color="auto" w:fill="FFFFFF"/>
          <w:lang w:val="pt-PT"/>
        </w:rPr>
        <w:t>.</w:t>
      </w:r>
    </w:p>
  </w:footnote>
  <w:footnote w:id="12">
    <w:p w14:paraId="1E9F7FEA" w14:textId="41003FD4" w:rsidR="00173A84" w:rsidRPr="00991D71" w:rsidRDefault="00173A84" w:rsidP="00CB0C2A">
      <w:pPr>
        <w:pStyle w:val="FootnoteText"/>
        <w:ind w:left="567" w:hanging="567"/>
        <w:rPr>
          <w:sz w:val="24"/>
          <w:lang w:val="pt-PT"/>
        </w:rPr>
      </w:pPr>
      <w:r w:rsidRPr="00CB0C2A">
        <w:rPr>
          <w:rStyle w:val="FootnoteReference"/>
          <w:sz w:val="24"/>
          <w:lang w:val="es-ES_tradnl"/>
        </w:rPr>
        <w:footnoteRef/>
      </w:r>
      <w:r w:rsidRPr="00991D71">
        <w:rPr>
          <w:rStyle w:val="Emphasis"/>
          <w:sz w:val="24"/>
          <w:shd w:val="clear" w:color="auto" w:fill="FFFFFF"/>
          <w:lang w:val="pt-PT"/>
        </w:rPr>
        <w:t xml:space="preserve"> </w:t>
      </w:r>
      <w:r w:rsidRPr="00991D71">
        <w:rPr>
          <w:rStyle w:val="Emphasis"/>
          <w:sz w:val="24"/>
          <w:shd w:val="clear" w:color="auto" w:fill="FFFFFF"/>
          <w:lang w:val="pt-PT"/>
        </w:rPr>
        <w:tab/>
      </w:r>
      <w:r w:rsidRPr="00991D71">
        <w:rPr>
          <w:rStyle w:val="Emphasis"/>
          <w:i w:val="0"/>
          <w:sz w:val="24"/>
          <w:shd w:val="clear" w:color="auto" w:fill="FFFFFF"/>
          <w:lang w:val="pt-PT"/>
        </w:rPr>
        <w:t>DO C 137</w:t>
      </w:r>
      <w:r w:rsidR="003D07E1">
        <w:rPr>
          <w:rStyle w:val="Emphasis"/>
          <w:i w:val="0"/>
          <w:sz w:val="24"/>
          <w:shd w:val="clear" w:color="auto" w:fill="FFFFFF"/>
          <w:lang w:val="pt-PT"/>
        </w:rPr>
        <w:t xml:space="preserve"> </w:t>
      </w:r>
      <w:r w:rsidRPr="00991D71">
        <w:rPr>
          <w:rStyle w:val="Emphasis"/>
          <w:i w:val="0"/>
          <w:sz w:val="24"/>
          <w:shd w:val="clear" w:color="auto" w:fill="FFFFFF"/>
          <w:lang w:val="pt-PT"/>
        </w:rPr>
        <w:t>E de 27.5.2010, p. 25.</w:t>
      </w:r>
    </w:p>
  </w:footnote>
  <w:footnote w:id="13">
    <w:p w14:paraId="67FAF8A4" w14:textId="77777777" w:rsidR="00173A84" w:rsidRPr="00991D71" w:rsidRDefault="00173A84" w:rsidP="00CB0C2A">
      <w:pPr>
        <w:pStyle w:val="FootnoteText"/>
        <w:ind w:left="567" w:hanging="567"/>
        <w:rPr>
          <w:sz w:val="24"/>
          <w:lang w:val="pt-PT"/>
        </w:rPr>
      </w:pPr>
      <w:r w:rsidRPr="006951C3">
        <w:rPr>
          <w:rStyle w:val="FootnoteReference"/>
          <w:sz w:val="24"/>
          <w:lang w:val="es-ES_tradnl"/>
        </w:rPr>
        <w:footnoteRef/>
      </w:r>
      <w:r w:rsidRPr="00991D71">
        <w:rPr>
          <w:rStyle w:val="Emphasis"/>
          <w:i w:val="0"/>
          <w:sz w:val="24"/>
          <w:shd w:val="clear" w:color="auto" w:fill="FFFFFF"/>
          <w:lang w:val="pt-PT"/>
        </w:rPr>
        <w:t xml:space="preserve"> </w:t>
      </w:r>
      <w:r w:rsidRPr="00991D71">
        <w:rPr>
          <w:rStyle w:val="Emphasis"/>
          <w:i w:val="0"/>
          <w:sz w:val="24"/>
          <w:shd w:val="clear" w:color="auto" w:fill="FFFFFF"/>
          <w:lang w:val="pt-PT"/>
        </w:rPr>
        <w:tab/>
        <w:t>DO C 171 de 6.5.2021, p. 25.</w:t>
      </w:r>
    </w:p>
  </w:footnote>
  <w:footnote w:id="14">
    <w:p w14:paraId="2221941B" w14:textId="6548F14E" w:rsidR="00173A84" w:rsidRPr="00991D71" w:rsidRDefault="00173A84" w:rsidP="00CB0C2A">
      <w:pPr>
        <w:pStyle w:val="FootnoteText"/>
        <w:ind w:left="567" w:hanging="567"/>
        <w:rPr>
          <w:sz w:val="24"/>
          <w:lang w:val="pt-PT"/>
        </w:rPr>
      </w:pPr>
      <w:r w:rsidRPr="00CB0C2A">
        <w:rPr>
          <w:rStyle w:val="FootnoteReference"/>
          <w:sz w:val="24"/>
          <w:lang w:val="es-ES_tradnl"/>
        </w:rPr>
        <w:footnoteRef/>
      </w:r>
      <w:r w:rsidRPr="00991D71">
        <w:rPr>
          <w:rStyle w:val="Emphasis"/>
          <w:sz w:val="24"/>
          <w:shd w:val="clear" w:color="auto" w:fill="FFFFFF"/>
          <w:lang w:val="pt-PT"/>
        </w:rPr>
        <w:t xml:space="preserve"> </w:t>
      </w:r>
      <w:r w:rsidRPr="00991D71">
        <w:rPr>
          <w:rStyle w:val="Emphasis"/>
          <w:i w:val="0"/>
          <w:sz w:val="24"/>
          <w:shd w:val="clear" w:color="auto" w:fill="FFFFFF"/>
          <w:lang w:val="pt-PT"/>
        </w:rPr>
        <w:tab/>
        <w:t>DO C</w:t>
      </w:r>
      <w:r w:rsidR="005116C1">
        <w:rPr>
          <w:rStyle w:val="Emphasis"/>
          <w:i w:val="0"/>
          <w:sz w:val="24"/>
          <w:shd w:val="clear" w:color="auto" w:fill="FFFFFF"/>
          <w:lang w:val="pt-PT"/>
        </w:rPr>
        <w:t> </w:t>
      </w:r>
      <w:r w:rsidRPr="00991D71">
        <w:rPr>
          <w:rStyle w:val="Emphasis"/>
          <w:i w:val="0"/>
          <w:sz w:val="24"/>
          <w:shd w:val="clear" w:color="auto" w:fill="FFFFFF"/>
          <w:lang w:val="pt-PT"/>
        </w:rPr>
        <w:t>177 de 17.5.2023, p. 112.</w:t>
      </w:r>
    </w:p>
  </w:footnote>
  <w:footnote w:id="15">
    <w:p w14:paraId="7D3B9231" w14:textId="77777777" w:rsidR="00173A84" w:rsidRPr="00991D71" w:rsidRDefault="00173A84" w:rsidP="00CB0C2A">
      <w:pPr>
        <w:pStyle w:val="FootnoteText"/>
        <w:ind w:left="567" w:hanging="567"/>
        <w:rPr>
          <w:sz w:val="24"/>
          <w:lang w:val="pt-PT"/>
        </w:rPr>
      </w:pPr>
      <w:r w:rsidRPr="006951C3">
        <w:rPr>
          <w:rStyle w:val="FootnoteReference"/>
          <w:sz w:val="24"/>
          <w:lang w:val="es-ES_tradnl"/>
        </w:rPr>
        <w:footnoteRef/>
      </w:r>
      <w:r w:rsidRPr="00991D71">
        <w:rPr>
          <w:sz w:val="24"/>
          <w:shd w:val="clear" w:color="auto" w:fill="FFFFFF"/>
          <w:lang w:val="pt-PT"/>
        </w:rPr>
        <w:t xml:space="preserve"> </w:t>
      </w:r>
      <w:r w:rsidRPr="00991D71">
        <w:rPr>
          <w:sz w:val="24"/>
          <w:shd w:val="clear" w:color="auto" w:fill="FFFFFF"/>
          <w:lang w:val="pt-PT"/>
        </w:rPr>
        <w:tab/>
        <w:t>DO C, C/2024/5721, 17.10.2024, ELI: </w:t>
      </w:r>
      <w:hyperlink r:id="rId12" w:tgtFrame="_blank" w:tooltip="Da acceso a este documento a través de su URI ELI." w:history="1">
        <w:r w:rsidRPr="00991D71">
          <w:rPr>
            <w:sz w:val="24"/>
            <w:lang w:val="pt-PT"/>
          </w:rPr>
          <w:t>http://data.europa.eu/eli/C/2024/5721/oj</w:t>
        </w:r>
      </w:hyperlink>
      <w:r w:rsidRPr="00991D71">
        <w:rPr>
          <w:sz w:val="24"/>
          <w:shd w:val="clear" w:color="auto" w:fill="FFFFFF"/>
          <w:lang w:val="pt-PT"/>
        </w:rPr>
        <w:t>.</w:t>
      </w:r>
    </w:p>
  </w:footnote>
  <w:footnote w:id="16">
    <w:p w14:paraId="71645F74" w14:textId="77777777" w:rsidR="00173A84" w:rsidRPr="00991D71" w:rsidRDefault="00173A84" w:rsidP="00CB0C2A">
      <w:pPr>
        <w:pStyle w:val="FootnoteText"/>
        <w:ind w:left="567" w:hanging="567"/>
        <w:rPr>
          <w:sz w:val="24"/>
          <w:lang w:val="pt-PT"/>
        </w:rPr>
      </w:pPr>
      <w:r w:rsidRPr="00CB0C2A">
        <w:rPr>
          <w:rStyle w:val="FootnoteReference"/>
          <w:sz w:val="24"/>
          <w:lang w:val="es-ES_tradnl"/>
        </w:rPr>
        <w:footnoteRef/>
      </w:r>
      <w:r w:rsidRPr="00991D71">
        <w:rPr>
          <w:rStyle w:val="Emphasis"/>
          <w:sz w:val="24"/>
          <w:shd w:val="clear" w:color="auto" w:fill="FFFFFF"/>
          <w:lang w:val="pt-PT"/>
        </w:rPr>
        <w:t xml:space="preserve"> </w:t>
      </w:r>
      <w:r w:rsidRPr="00991D71">
        <w:rPr>
          <w:rStyle w:val="Emphasis"/>
          <w:sz w:val="24"/>
          <w:shd w:val="clear" w:color="auto" w:fill="FFFFFF"/>
          <w:lang w:val="pt-PT"/>
        </w:rPr>
        <w:tab/>
      </w:r>
      <w:r w:rsidRPr="00991D71">
        <w:rPr>
          <w:rStyle w:val="Emphasis"/>
          <w:i w:val="0"/>
          <w:sz w:val="24"/>
          <w:shd w:val="clear" w:color="auto" w:fill="FFFFFF"/>
          <w:lang w:val="pt-PT"/>
        </w:rPr>
        <w:t>DO L 115 de 28.4.2006, p. 50,</w:t>
      </w:r>
      <w:r w:rsidRPr="00991D71">
        <w:rPr>
          <w:i/>
          <w:sz w:val="24"/>
          <w:shd w:val="clear" w:color="auto" w:fill="FFFFFF"/>
          <w:lang w:val="pt-PT"/>
        </w:rPr>
        <w:t xml:space="preserve"> </w:t>
      </w:r>
      <w:r w:rsidRPr="00991D71">
        <w:rPr>
          <w:sz w:val="24"/>
          <w:shd w:val="clear" w:color="auto" w:fill="FFFFFF"/>
          <w:lang w:val="pt-PT"/>
        </w:rPr>
        <w:t>ELI: </w:t>
      </w:r>
      <w:hyperlink r:id="rId13" w:tooltip="Da acceso a este documento a través de su URI ELI." w:history="1">
        <w:r w:rsidRPr="00991D71">
          <w:rPr>
            <w:sz w:val="24"/>
            <w:shd w:val="clear" w:color="auto" w:fill="FFFFFF"/>
            <w:lang w:val="pt-PT"/>
          </w:rPr>
          <w:t>http://data.europa.eu/eli/agree_internation/2006/313/oj</w:t>
        </w:r>
      </w:hyperlink>
      <w:r w:rsidRPr="00991D71">
        <w:rPr>
          <w:sz w:val="24"/>
          <w:lang w:val="pt-PT"/>
        </w:rPr>
        <w:t>.</w:t>
      </w:r>
    </w:p>
  </w:footnote>
  <w:footnote w:id="17">
    <w:p w14:paraId="32AED682" w14:textId="3F359CD9" w:rsidR="00173A84" w:rsidRPr="00CB0C2A" w:rsidRDefault="00173A84" w:rsidP="00CB0C2A">
      <w:pPr>
        <w:ind w:left="567" w:hanging="567"/>
      </w:pPr>
      <w:r w:rsidRPr="00CB0C2A">
        <w:rPr>
          <w:rStyle w:val="FootnoteReference"/>
        </w:rPr>
        <w:footnoteRef/>
      </w:r>
      <w:r w:rsidRPr="00CB0C2A">
        <w:t xml:space="preserve"> </w:t>
      </w:r>
      <w:r w:rsidRPr="00CB0C2A">
        <w:tab/>
        <w:t>Decisión del Consejo 2010/427/UE, de 26 de julio de 2010, por la que se establece la organización y el funcionamiento del Servicio Europeo de Acción Exterior</w:t>
      </w:r>
      <w:r>
        <w:t xml:space="preserve"> </w:t>
      </w:r>
      <w:r w:rsidRPr="000D3F1D">
        <w:rPr>
          <w:szCs w:val="24"/>
        </w:rPr>
        <w:t>(</w:t>
      </w:r>
      <w:r>
        <w:rPr>
          <w:szCs w:val="24"/>
        </w:rPr>
        <w:t>D</w:t>
      </w:r>
      <w:r w:rsidRPr="000D3F1D">
        <w:rPr>
          <w:szCs w:val="24"/>
        </w:rPr>
        <w:t>O</w:t>
      </w:r>
      <w:r w:rsidR="003D07E1">
        <w:rPr>
          <w:szCs w:val="24"/>
        </w:rPr>
        <w:t> </w:t>
      </w:r>
      <w:r w:rsidRPr="000D3F1D">
        <w:rPr>
          <w:szCs w:val="24"/>
        </w:rPr>
        <w:t>L</w:t>
      </w:r>
      <w:r w:rsidR="003D07E1">
        <w:rPr>
          <w:szCs w:val="24"/>
        </w:rPr>
        <w:t> </w:t>
      </w:r>
      <w:r w:rsidRPr="000D3F1D">
        <w:rPr>
          <w:szCs w:val="24"/>
        </w:rPr>
        <w:t>201</w:t>
      </w:r>
      <w:r w:rsidR="003D07E1">
        <w:rPr>
          <w:szCs w:val="24"/>
        </w:rPr>
        <w:t xml:space="preserve"> de </w:t>
      </w:r>
      <w:r w:rsidRPr="000D3F1D">
        <w:rPr>
          <w:szCs w:val="24"/>
        </w:rPr>
        <w:t>3.8.2010, p. 30,</w:t>
      </w:r>
      <w:r w:rsidRPr="00CB0C2A">
        <w:t xml:space="preserve"> ELI: </w:t>
      </w:r>
      <w:hyperlink r:id="rId14" w:history="1">
        <w:r w:rsidRPr="00CB0C2A">
          <w:rPr>
            <w:rStyle w:val="Hyperlink"/>
          </w:rPr>
          <w:t>http://data.europa.eu/eli/dec/2010/427/oj</w:t>
        </w:r>
      </w:hyperlink>
      <w:r>
        <w:rPr>
          <w:rStyle w:val="Hyperlink"/>
        </w:rPr>
        <w:t>)</w:t>
      </w:r>
      <w:r w:rsidRPr="00CB0C2A">
        <w:t>.</w:t>
      </w:r>
    </w:p>
  </w:footnote>
  <w:footnote w:id="18">
    <w:p w14:paraId="78680C52" w14:textId="77777777" w:rsidR="00173A84" w:rsidRPr="00CB0C2A" w:rsidRDefault="00173A84" w:rsidP="00CB0C2A">
      <w:pPr>
        <w:pStyle w:val="FootnoteText"/>
        <w:ind w:left="567" w:hanging="567"/>
        <w:rPr>
          <w:sz w:val="24"/>
          <w:lang w:val="es-ES_tradnl"/>
        </w:rPr>
      </w:pPr>
      <w:r w:rsidRPr="00CB0C2A">
        <w:rPr>
          <w:rStyle w:val="FootnoteReference"/>
          <w:sz w:val="24"/>
          <w:lang w:val="es-ES_tradnl"/>
        </w:rPr>
        <w:footnoteRef/>
      </w:r>
      <w:r w:rsidRPr="00CB0C2A">
        <w:rPr>
          <w:sz w:val="24"/>
          <w:lang w:val="es-ES_tradnl"/>
        </w:rPr>
        <w:t xml:space="preserve"> </w:t>
      </w:r>
      <w:r w:rsidRPr="00CB0C2A">
        <w:rPr>
          <w:sz w:val="24"/>
          <w:lang w:val="es-ES_tradnl"/>
        </w:rPr>
        <w:tab/>
        <w:t xml:space="preserve">Recomendación del Parlamento Europeo, de 15 de marzo de 2023, al Consejo y al vicepresidente de la Comisión / alto representante de la Unión para Asuntos Exteriores y Política de Seguridad sobre el balance del funcionamiento del SEAE y en favor de una Unión Europea más fuerte en el mundo </w:t>
      </w:r>
      <w:r>
        <w:rPr>
          <w:sz w:val="24"/>
          <w:lang w:val="es-ES_tradnl"/>
        </w:rPr>
        <w:t>(</w:t>
      </w:r>
      <w:r w:rsidRPr="00CB0C2A">
        <w:rPr>
          <w:sz w:val="24"/>
          <w:lang w:val="es-ES_tradnl"/>
        </w:rPr>
        <w:t xml:space="preserve">DO C, C/2023/410, 23.11.2023, ELI: </w:t>
      </w:r>
      <w:hyperlink r:id="rId15" w:history="1">
        <w:r w:rsidRPr="00CB0C2A">
          <w:rPr>
            <w:rStyle w:val="Hyperlink"/>
            <w:sz w:val="24"/>
            <w:lang w:val="es-ES_tradnl"/>
          </w:rPr>
          <w:t>http://data.europa.eu/eli/C/2023/410/oj</w:t>
        </w:r>
      </w:hyperlink>
      <w:r>
        <w:rPr>
          <w:rStyle w:val="Hyperlink"/>
          <w:sz w:val="24"/>
          <w:lang w:val="es-ES_tradnl"/>
        </w:rPr>
        <w:t>)</w:t>
      </w:r>
      <w:r w:rsidRPr="00CB0C2A">
        <w:rPr>
          <w:sz w:val="24"/>
          <w:lang w:val="es-ES_tradnl"/>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1"/>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10/2025"/>
    <w:docVar w:name="dvlangue" w:val="ES"/>
    <w:docVar w:name="dvnumam" w:val="0"/>
    <w:docVar w:name="dvpe" w:val="765.084"/>
    <w:docVar w:name="dvrapporteur" w:val="Ponente: "/>
    <w:docVar w:name="dvtitre" w:val="Resolución del Parlamento Europeo, de x de abril de 2025, sobre la aplicación de la política exterior y de seguridad común: informe anual 2024(2024/2080(INI))"/>
  </w:docVars>
  <w:rsids>
    <w:rsidRoot w:val="002B3A46"/>
    <w:rsid w:val="00002272"/>
    <w:rsid w:val="00064002"/>
    <w:rsid w:val="000677B9"/>
    <w:rsid w:val="000713BD"/>
    <w:rsid w:val="000831BA"/>
    <w:rsid w:val="000A42CC"/>
    <w:rsid w:val="000E7DD9"/>
    <w:rsid w:val="0010095E"/>
    <w:rsid w:val="00125B37"/>
    <w:rsid w:val="00173A84"/>
    <w:rsid w:val="00187494"/>
    <w:rsid w:val="001F32AE"/>
    <w:rsid w:val="002767FF"/>
    <w:rsid w:val="002A086C"/>
    <w:rsid w:val="002B18FE"/>
    <w:rsid w:val="002B3A46"/>
    <w:rsid w:val="002B5493"/>
    <w:rsid w:val="002E0969"/>
    <w:rsid w:val="002F2AE4"/>
    <w:rsid w:val="00317795"/>
    <w:rsid w:val="00343214"/>
    <w:rsid w:val="00361C00"/>
    <w:rsid w:val="00395FA1"/>
    <w:rsid w:val="003969EB"/>
    <w:rsid w:val="003D07E1"/>
    <w:rsid w:val="003E15D4"/>
    <w:rsid w:val="00411CCE"/>
    <w:rsid w:val="0041666E"/>
    <w:rsid w:val="00421060"/>
    <w:rsid w:val="00471C19"/>
    <w:rsid w:val="00472492"/>
    <w:rsid w:val="004867E3"/>
    <w:rsid w:val="00494A28"/>
    <w:rsid w:val="004C0004"/>
    <w:rsid w:val="004C5D52"/>
    <w:rsid w:val="0050519A"/>
    <w:rsid w:val="005072A1"/>
    <w:rsid w:val="005116C1"/>
    <w:rsid w:val="00514517"/>
    <w:rsid w:val="00545827"/>
    <w:rsid w:val="00560270"/>
    <w:rsid w:val="005C2568"/>
    <w:rsid w:val="005F1B17"/>
    <w:rsid w:val="006037C0"/>
    <w:rsid w:val="006631B6"/>
    <w:rsid w:val="00680577"/>
    <w:rsid w:val="006951C3"/>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91D71"/>
    <w:rsid w:val="009E241B"/>
    <w:rsid w:val="00A01BBC"/>
    <w:rsid w:val="00A1687D"/>
    <w:rsid w:val="00A43E52"/>
    <w:rsid w:val="00A4678D"/>
    <w:rsid w:val="00A534EF"/>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75849"/>
    <w:rsid w:val="00C941CB"/>
    <w:rsid w:val="00CB0C2A"/>
    <w:rsid w:val="00CC2357"/>
    <w:rsid w:val="00CF071A"/>
    <w:rsid w:val="00D058B8"/>
    <w:rsid w:val="00D56C11"/>
    <w:rsid w:val="00D74129"/>
    <w:rsid w:val="00D834A0"/>
    <w:rsid w:val="00D872DF"/>
    <w:rsid w:val="00D91E21"/>
    <w:rsid w:val="00DA7FCD"/>
    <w:rsid w:val="00E13E3B"/>
    <w:rsid w:val="00E365E1"/>
    <w:rsid w:val="00E820A4"/>
    <w:rsid w:val="00E95B51"/>
    <w:rsid w:val="00EB006A"/>
    <w:rsid w:val="00EB4772"/>
    <w:rsid w:val="00ED169E"/>
    <w:rsid w:val="00ED4235"/>
    <w:rsid w:val="00F04346"/>
    <w:rsid w:val="00F075DC"/>
    <w:rsid w:val="00F149E9"/>
    <w:rsid w:val="00F30C46"/>
    <w:rsid w:val="00F5134D"/>
    <w:rsid w:val="00F74202"/>
    <w:rsid w:val="00F87713"/>
    <w:rsid w:val="00FA3868"/>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178AFC"/>
  <w15:chartTrackingRefBased/>
  <w15:docId w15:val="{63C02166-FCE9-45DE-8832-F977D0880C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2F2AE4"/>
    <w:pPr>
      <w:spacing w:after="240"/>
      <w:ind w:left="567" w:hanging="567"/>
    </w:pPr>
  </w:style>
  <w:style w:type="paragraph" w:customStyle="1" w:styleId="EPComma">
    <w:name w:val="EPComma"/>
    <w:basedOn w:val="Normal"/>
    <w:rsid w:val="002F2AE4"/>
    <w:pPr>
      <w:spacing w:before="480" w:after="240"/>
    </w:pPr>
  </w:style>
  <w:style w:type="character" w:styleId="Emphasis">
    <w:name w:val="Emphasis"/>
    <w:basedOn w:val="DefaultParagraphFont"/>
    <w:uiPriority w:val="20"/>
    <w:qFormat/>
    <w:rsid w:val="002F2AE4"/>
    <w:rPr>
      <w:i/>
      <w:iCs/>
    </w:rPr>
  </w:style>
  <w:style w:type="character" w:styleId="Hyperlink">
    <w:name w:val="Hyperlink"/>
    <w:basedOn w:val="DefaultParagraphFont"/>
    <w:unhideWhenUsed/>
    <w:rsid w:val="002F2AE4"/>
    <w:rPr>
      <w:color w:val="0000FF"/>
      <w:u w:val="single"/>
    </w:rPr>
  </w:style>
  <w:style w:type="character" w:customStyle="1" w:styleId="NormalHanging12aChar">
    <w:name w:val="NormalHanging12a Char"/>
    <w:basedOn w:val="DefaultParagraphFont"/>
    <w:link w:val="NormalHanging12a"/>
    <w:rsid w:val="002F2AE4"/>
    <w:rPr>
      <w:sz w:val="24"/>
      <w:lang w:val="es-ES_tradnl"/>
    </w:rPr>
  </w:style>
  <w:style w:type="paragraph" w:styleId="BalloonText">
    <w:name w:val="Balloon Text"/>
    <w:basedOn w:val="Normal"/>
    <w:link w:val="BalloonTextChar"/>
    <w:rsid w:val="006951C3"/>
    <w:rPr>
      <w:rFonts w:ascii="Segoe UI" w:hAnsi="Segoe UI" w:cs="Segoe UI"/>
      <w:sz w:val="18"/>
      <w:szCs w:val="18"/>
    </w:rPr>
  </w:style>
  <w:style w:type="character" w:customStyle="1" w:styleId="BalloonTextChar">
    <w:name w:val="Balloon Text Char"/>
    <w:basedOn w:val="DefaultParagraphFont"/>
    <w:link w:val="BalloonText"/>
    <w:rsid w:val="006951C3"/>
    <w:rPr>
      <w:rFonts w:ascii="Segoe UI" w:hAnsi="Segoe UI" w:cs="Segoe UI"/>
      <w:sz w:val="18"/>
      <w:szCs w:val="18"/>
      <w:lang w:val="es-ES_tradnl"/>
    </w:rPr>
  </w:style>
  <w:style w:type="character" w:styleId="CommentReference">
    <w:name w:val="annotation reference"/>
    <w:basedOn w:val="DefaultParagraphFont"/>
    <w:rsid w:val="00991D71"/>
    <w:rPr>
      <w:sz w:val="16"/>
      <w:szCs w:val="16"/>
    </w:rPr>
  </w:style>
  <w:style w:type="paragraph" w:styleId="CommentText">
    <w:name w:val="annotation text"/>
    <w:basedOn w:val="Normal"/>
    <w:link w:val="CommentTextChar"/>
    <w:rsid w:val="00991D71"/>
    <w:rPr>
      <w:sz w:val="20"/>
    </w:rPr>
  </w:style>
  <w:style w:type="character" w:customStyle="1" w:styleId="CommentTextChar">
    <w:name w:val="Comment Text Char"/>
    <w:basedOn w:val="DefaultParagraphFont"/>
    <w:link w:val="CommentText"/>
    <w:rsid w:val="00991D71"/>
    <w:rPr>
      <w:lang w:val="es-ES_tradnl"/>
    </w:rPr>
  </w:style>
  <w:style w:type="paragraph" w:styleId="CommentSubject">
    <w:name w:val="annotation subject"/>
    <w:basedOn w:val="CommentText"/>
    <w:next w:val="CommentText"/>
    <w:link w:val="CommentSubjectChar"/>
    <w:rsid w:val="00991D71"/>
    <w:rPr>
      <w:b/>
      <w:bCs/>
    </w:rPr>
  </w:style>
  <w:style w:type="character" w:customStyle="1" w:styleId="CommentSubjectChar">
    <w:name w:val="Comment Subject Char"/>
    <w:basedOn w:val="CommentTextChar"/>
    <w:link w:val="CommentSubject"/>
    <w:rsid w:val="00991D71"/>
    <w:rPr>
      <w:b/>
      <w:bCs/>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487/oj" TargetMode="External"/><Relationship Id="rId13" Type="http://schemas.openxmlformats.org/officeDocument/2006/relationships/hyperlink" Target="http://data.europa.eu/eli/agree_internation/2006/313/oj" TargetMode="External"/><Relationship Id="rId3" Type="http://schemas.openxmlformats.org/officeDocument/2006/relationships/hyperlink" Target="http://data.europa.eu/eli/reg/2024/1449/oj" TargetMode="External"/><Relationship Id="rId7" Type="http://schemas.openxmlformats.org/officeDocument/2006/relationships/hyperlink" Target="http://data.europa.eu/eli/C/2025/204/oj" TargetMode="External"/><Relationship Id="rId12" Type="http://schemas.openxmlformats.org/officeDocument/2006/relationships/hyperlink" Target="http://data.europa.eu/eli/C/2024/5721/oj" TargetMode="External"/><Relationship Id="rId2" Type="http://schemas.openxmlformats.org/officeDocument/2006/relationships/hyperlink" Target="http://data.europa.eu/eli/dec/2021/509/2024-03-18" TargetMode="External"/><Relationship Id="rId1" Type="http://schemas.openxmlformats.org/officeDocument/2006/relationships/hyperlink" Target="http://data.europa.eu/eli/agree_interinstit/2020/1222/oj" TargetMode="External"/><Relationship Id="rId6" Type="http://schemas.openxmlformats.org/officeDocument/2006/relationships/hyperlink" Target="http://data.europa.eu/eli/C/2023/1226/oj" TargetMode="External"/><Relationship Id="rId11" Type="http://schemas.openxmlformats.org/officeDocument/2006/relationships/hyperlink" Target="http://data.europa.eu/eli/C/2024/1188/oj" TargetMode="External"/><Relationship Id="rId5" Type="http://schemas.openxmlformats.org/officeDocument/2006/relationships/hyperlink" Target="http://data.europa.eu/eli/dec/2019/797/oj" TargetMode="External"/><Relationship Id="rId15" Type="http://schemas.openxmlformats.org/officeDocument/2006/relationships/hyperlink" Target="http://data.europa.eu/eli/C/2023/410/oj" TargetMode="External"/><Relationship Id="rId10" Type="http://schemas.openxmlformats.org/officeDocument/2006/relationships/hyperlink" Target="http://data.europa.eu/eli/C/2025/486/oj" TargetMode="External"/><Relationship Id="rId4" Type="http://schemas.openxmlformats.org/officeDocument/2006/relationships/hyperlink" Target="http://data.europa.eu/eli/reg/2025/535/oj" TargetMode="External"/><Relationship Id="rId9" Type="http://schemas.openxmlformats.org/officeDocument/2006/relationships/hyperlink" Target="http://data.europa.eu/eli/C/2024/5719/oj" TargetMode="External"/><Relationship Id="rId14" Type="http://schemas.openxmlformats.org/officeDocument/2006/relationships/hyperlink" Target="http://data.europa.eu/eli/dec/2010/42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81284A-7E2D-44D4-9761-1EB8A4CD46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50</Pages>
  <Words>28433</Words>
  <Characters>147889</Characters>
  <Application>Microsoft Office Word</Application>
  <DocSecurity>0</DocSecurity>
  <Lines>1232</Lines>
  <Paragraphs>351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175971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Rodríguez Fernán</dc:creator>
  <cp:keywords/>
  <cp:lastModifiedBy>CUBRIA ROMERO Maria Elisabeth</cp:lastModifiedBy>
  <cp:revision>3</cp:revision>
  <cp:lastPrinted>2004-11-19T15:42:00Z</cp:lastPrinted>
  <dcterms:created xsi:type="dcterms:W3CDTF">2025-05-06T13:53:00Z</dcterms:created>
  <dcterms:modified xsi:type="dcterms:W3CDTF">2025-05-08T13:48:00Z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A10-0010/2025</vt:lpwstr>
  </property>
  <property fmtid="{D5CDD505-2E9C-101B-9397-08002B2CF9AE}" pid="4" name="&lt;Type&gt;">
    <vt:lpwstr>RR</vt:lpwstr>
  </property>
</Properties>
</file>