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010F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010F8" w:rsidRDefault="002B71AE">
            <w:pPr>
              <w:pStyle w:val="EPName"/>
            </w:pPr>
            <w:r>
              <w:t>Európsky parlament</w:t>
            </w:r>
          </w:p>
          <w:p w:rsidR="000010F8" w:rsidRDefault="002B71A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0010F8" w:rsidRDefault="002B71AE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10F8" w:rsidRDefault="000010F8">
      <w:pPr>
        <w:pStyle w:val="LineTop"/>
      </w:pPr>
    </w:p>
    <w:p w:rsidR="000010F8" w:rsidRDefault="002B71AE">
      <w:pPr>
        <w:pStyle w:val="EPBodyTA1"/>
      </w:pPr>
      <w:r>
        <w:t>PRIJATÉ TEXTY</w:t>
      </w:r>
    </w:p>
    <w:p w:rsidR="000010F8" w:rsidRDefault="000010F8">
      <w:pPr>
        <w:pStyle w:val="LineBottom"/>
      </w:pPr>
    </w:p>
    <w:p w:rsidR="000010F8" w:rsidRDefault="002B71AE">
      <w:pPr>
        <w:pStyle w:val="ATHeading1"/>
      </w:pPr>
      <w:bookmarkStart w:id="0" w:name="TANumber"/>
      <w:r>
        <w:t>P10_TA(2025)0057</w:t>
      </w:r>
      <w:bookmarkEnd w:id="0"/>
    </w:p>
    <w:p w:rsidR="000010F8" w:rsidRDefault="002B71AE">
      <w:pPr>
        <w:pStyle w:val="ATHeading2"/>
      </w:pPr>
      <w:bookmarkStart w:id="1" w:name="title"/>
      <w:r>
        <w:t>Vykonávanie spoločnej zahraničnej a bezpečnostnej politiky – výročná správa za rok 2024</w:t>
      </w:r>
      <w:bookmarkEnd w:id="1"/>
    </w:p>
    <w:p w:rsidR="000010F8" w:rsidRDefault="002B71AE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A10-0010/2025</w:instrText>
      </w:r>
      <w:bookmarkEnd w:id="2"/>
      <w:r>
        <w:rPr>
          <w:i/>
        </w:rPr>
        <w:instrText xml:space="preserve"> - Spravodajca: David </w:instrText>
      </w:r>
      <w:proofErr w:type="spellStart"/>
      <w:r>
        <w:rPr>
          <w:i/>
        </w:rPr>
        <w:instrText>McAllister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0010F8" w:rsidRDefault="002B71AE">
      <w:pPr>
        <w:rPr>
          <w:vanish/>
        </w:rPr>
      </w:pPr>
      <w:bookmarkStart w:id="3" w:name="Commission"/>
      <w:r>
        <w:rPr>
          <w:vanish/>
        </w:rPr>
        <w:t xml:space="preserve">Výbor pre zahraničné </w:t>
      </w:r>
      <w:r>
        <w:rPr>
          <w:vanish/>
        </w:rPr>
        <w:t>veci</w:t>
      </w:r>
      <w:bookmarkEnd w:id="3"/>
    </w:p>
    <w:p w:rsidR="000010F8" w:rsidRDefault="002B71AE">
      <w:pPr>
        <w:rPr>
          <w:vanish/>
        </w:rPr>
      </w:pPr>
      <w:bookmarkStart w:id="4" w:name="PE"/>
      <w:r>
        <w:rPr>
          <w:vanish/>
        </w:rPr>
        <w:t>PE765.084</w:t>
      </w:r>
      <w:bookmarkEnd w:id="4"/>
    </w:p>
    <w:p w:rsidR="000010F8" w:rsidRDefault="002B71AE">
      <w:pPr>
        <w:pStyle w:val="ATHeading3"/>
      </w:pPr>
      <w:bookmarkStart w:id="5" w:name="Sujet"/>
      <w:r>
        <w:t>Uznesenie Európskeho parlamentu z 2. apríla 2025 o vykonávaní spoločnej zahraničnej a bezpečnostnej politiky – výročná správa za rok 2024</w:t>
      </w:r>
      <w:bookmarkEnd w:id="5"/>
      <w:r>
        <w:t xml:space="preserve"> </w:t>
      </w:r>
      <w:bookmarkStart w:id="6" w:name="References"/>
      <w:r>
        <w:t>(2024/2080(INI))</w:t>
      </w:r>
      <w:bookmarkEnd w:id="6"/>
    </w:p>
    <w:p w:rsidR="000010F8" w:rsidRDefault="002B71AE">
      <w:pPr>
        <w:pStyle w:val="EPComma"/>
      </w:pPr>
      <w:r>
        <w:rPr>
          <w:i/>
          <w:iCs/>
        </w:rPr>
        <w:t>Európsky parlament</w:t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>so zreteľom na Zmluvu o Európskej únii (ďalej len „Zmluva o EÚ“)</w:t>
      </w:r>
      <w:r>
        <w:t>, najmä na jej články 14, 16, 21, 24, 36 a 41,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</w:t>
      </w:r>
      <w:proofErr w:type="spellStart"/>
      <w:r>
        <w:t>Medziinštitucionálnu</w:t>
      </w:r>
      <w:proofErr w:type="spellEnd"/>
      <w:r>
        <w:t xml:space="preserve"> dohodu zo 16. decembra 2020 medzi Európskym parlamentom, Radou Európskej únie a Európskou komisiou o rozpočtovej disciplíne, spolupráci v rozpočtových záležitostiach a spr</w:t>
      </w:r>
      <w:r>
        <w:t>ávnom finančnom riadení, ako aj o nových vlastných zdrojoch vrátane plánu na zavedenie nových vlastných zdrojov</w:t>
      </w:r>
      <w:r>
        <w:rPr>
          <w:rStyle w:val="FootnoteReference"/>
        </w:rPr>
        <w:footnoteReference w:id="1"/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>so zreteľom na správu podpredsedu Komisie/vysokého predstaviteľa Únie pre zahraničné veci a bezpečnostnú politiku (ďalej len „PK/VP“) s názv</w:t>
      </w:r>
      <w:r>
        <w:t>om Správa o spoločnej zahraničnej a bezpečnostnej politike – Naše priority v roku 2024 z 20. júna 2024,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Strategický kompas pre bezpečnosť a obranu – za Európsku úniu, ktorá chráni svojich občanov, hodnoty a záujmy a prispieva k </w:t>
      </w:r>
      <w:r>
        <w:t>medzinárodnému mieru a bezpečnosti, ktorý Európska rada schválila 21. marca 2022,</w:t>
      </w:r>
    </w:p>
    <w:p w:rsidR="000010F8" w:rsidRDefault="002B71AE">
      <w:pPr>
        <w:pStyle w:val="NormalHanging12a"/>
      </w:pPr>
      <w:r>
        <w:t>–</w:t>
      </w:r>
      <w:r>
        <w:tab/>
        <w:t>so zreteľom na strategickú koncepciu NATO 2022 prijatú 29. júna 2022,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závery Európskej rady z 22. marca 2024, 18. apríla 2024, 27. júna 2024, 19. decembra </w:t>
      </w:r>
      <w:r>
        <w:t>2024, 6. marca 2025 a 20. marca 2025,</w:t>
      </w:r>
    </w:p>
    <w:p w:rsidR="000010F8" w:rsidRDefault="002B71AE">
      <w:pPr>
        <w:pStyle w:val="NormalHanging12a"/>
      </w:pPr>
      <w:r>
        <w:t>–</w:t>
      </w:r>
      <w:r>
        <w:tab/>
        <w:t>so zreteľom na závery Rady pre zahraničné veci z 18. marca 2024, 22. apríla 2024, 24. mája 2024, 24. júna 2024, 22. júla 2024, 14. októbra 2024, 18. novembra 2024, 16. decembra 2024, 27. januára 2025, 24. februára 20</w:t>
      </w:r>
      <w:r>
        <w:t>25 a 17. marca 2025,</w:t>
      </w:r>
    </w:p>
    <w:p w:rsidR="000010F8" w:rsidRDefault="002B71AE">
      <w:pPr>
        <w:pStyle w:val="NormalHanging12a"/>
      </w:pPr>
      <w:r>
        <w:lastRenderedPageBreak/>
        <w:t>–</w:t>
      </w:r>
      <w:r>
        <w:tab/>
        <w:t>so zreteľom na vyhlásenie zo samitu medzi EÚ a Spoločenstvom štátov Latinskej Ameriky a Karibiku (ďalej len „CELAC“) prijaté 18. júla 2023,</w:t>
      </w:r>
    </w:p>
    <w:p w:rsidR="000010F8" w:rsidRDefault="002B71AE">
      <w:pPr>
        <w:pStyle w:val="NormalHanging12a"/>
      </w:pPr>
      <w:r>
        <w:t>–</w:t>
      </w:r>
      <w:r>
        <w:tab/>
        <w:t>so zreteľom na rozhodnutie Rady (SZBP) 2021/509 z 22. marca 2021, ktorým sa zriaďuje Európs</w:t>
      </w:r>
      <w:r>
        <w:t>ky mierový nástroj a zrušuje rozhodnutie (SZBP) 2015/528</w:t>
      </w:r>
      <w:r>
        <w:rPr>
          <w:rStyle w:val="FootnoteReference"/>
        </w:rPr>
        <w:footnoteReference w:id="2"/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politické usmernenia predsedníčky Komisie na roky 2024 – 2029, 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správy o rozšírení za rok 2024, ktoré Komisia predložila 30. októbra 2024, </w:t>
      </w:r>
    </w:p>
    <w:p w:rsidR="000010F8" w:rsidRDefault="002B71AE">
      <w:pPr>
        <w:pStyle w:val="NormalHanging12a"/>
      </w:pPr>
      <w:r>
        <w:t>–</w:t>
      </w:r>
      <w:r>
        <w:tab/>
        <w:t>so zreteľom na oznáme</w:t>
      </w:r>
      <w:r>
        <w:t xml:space="preserve">nie Komisie z 30. októbra 2024 s názvom Oznámenie o politike rozširovania EÚ za rok 2024 (COM(2024)0690), 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nariadenie Európskeho parlamentu a Rady (EÚ) 2024/1449 zo 14. mája 2024 o zriadení Nástroja na podporu reforiem a rastu pre západný </w:t>
      </w:r>
      <w:r>
        <w:t>Balkán</w:t>
      </w:r>
      <w:r>
        <w:rPr>
          <w:rStyle w:val="FootnoteReference"/>
        </w:rPr>
        <w:footnoteReference w:id="3"/>
      </w:r>
      <w:r>
        <w:t xml:space="preserve">, </w:t>
      </w:r>
    </w:p>
    <w:p w:rsidR="000010F8" w:rsidRDefault="002B71AE">
      <w:pPr>
        <w:pStyle w:val="NormalHanging12a"/>
      </w:pPr>
      <w:r>
        <w:t>–</w:t>
      </w:r>
      <w:r>
        <w:tab/>
        <w:t>so zreteľom na nariadenie Európskeho parlamentu a Rady (EÚ) 2025/535 z 18. marca 2025 o zriadení Nástroja na podporu reforiem a rastu pre Moldavskú republiku</w:t>
      </w:r>
      <w:r>
        <w:rPr>
          <w:rStyle w:val="FootnoteReference"/>
        </w:rPr>
        <w:footnoteReference w:id="4"/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správu </w:t>
      </w:r>
      <w:proofErr w:type="spellStart"/>
      <w:r>
        <w:t>Sauliho</w:t>
      </w:r>
      <w:proofErr w:type="spellEnd"/>
      <w:r>
        <w:t xml:space="preserve"> </w:t>
      </w:r>
      <w:proofErr w:type="spellStart"/>
      <w:r>
        <w:t>Niinistöa</w:t>
      </w:r>
      <w:proofErr w:type="spellEnd"/>
      <w:r>
        <w:t xml:space="preserve"> z 30. októbra 2024 s názvom Posilnenie civ</w:t>
      </w:r>
      <w:r>
        <w:t>ilnej a vojenskej pripravenosti a pohotovosti Európy,</w:t>
      </w:r>
    </w:p>
    <w:p w:rsidR="000010F8" w:rsidRDefault="002B71AE">
      <w:pPr>
        <w:pStyle w:val="NormalHanging12a"/>
      </w:pPr>
      <w:r>
        <w:t>–</w:t>
      </w:r>
      <w:r>
        <w:tab/>
        <w:t>so zreteľom na usmernenia EÚ o ochrancoch ľudských práv prijaté v roku 2004, aktualizované v roku 2008 a ďalej doplnené v roku 2020 usmernením o vykonávaní usmernení,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svoje uznesenia </w:t>
      </w:r>
      <w:r>
        <w:t>o porušovaní ľudských práv, demokracie a zásad právneho štátu prijaté v súlade s článkom 150 rokovacieho poriadku,</w:t>
      </w:r>
    </w:p>
    <w:p w:rsidR="000010F8" w:rsidRDefault="002B71AE">
      <w:pPr>
        <w:pStyle w:val="NormalHanging12a"/>
      </w:pPr>
      <w:r>
        <w:t>–</w:t>
      </w:r>
      <w:r>
        <w:tab/>
        <w:t>so zreteľom na spoločné oznámenie Komisie a vysokého predstaviteľa Únie pre zahraničné veci a bezpečnostnú politiku z 20. júna 2023 o európ</w:t>
      </w:r>
      <w:r>
        <w:t>skej stratégii hospodárskej bezpečnosti (JOIN(2023)0020),</w:t>
      </w:r>
    </w:p>
    <w:p w:rsidR="000010F8" w:rsidRDefault="002B71AE">
      <w:pPr>
        <w:pStyle w:val="NormalHanging12a"/>
      </w:pPr>
      <w:r>
        <w:t>–</w:t>
      </w:r>
      <w:r>
        <w:tab/>
        <w:t>so zreteľom na spoločné oznámenie Komisie a vysokého predstaviteľa Únie pre zahraničné veci a bezpečnostnú politiku zo 16. decembra 2020 s názvom Stratégia kybernetickej bezpečnosti EÚ v digitálne</w:t>
      </w:r>
      <w:r>
        <w:t xml:space="preserve">j dekáde (JOIN(2020)0018), 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odporúčanie Komisie z 3. októbra 2023 o kritických technologických oblastiach pre hospodársku bezpečnosť EÚ na účely ďalšieho hodnotenia rizík s členskými štátmi (C(2023)6689), </w:t>
      </w:r>
    </w:p>
    <w:p w:rsidR="000010F8" w:rsidRDefault="002B71AE">
      <w:pPr>
        <w:pStyle w:val="NormalHanging12a"/>
      </w:pPr>
      <w:r>
        <w:t>–</w:t>
      </w:r>
      <w:r>
        <w:tab/>
        <w:t>so zreteľom na rozhodnutie Rady</w:t>
      </w:r>
      <w:r>
        <w:t xml:space="preserve"> (SZBP) 2019/797 zo 17. mája 2019 o reštriktívnych opatreniach proti kybernetickým útokom ohrozujúcim Úniu alebo jej členské štáty</w:t>
      </w:r>
      <w:r>
        <w:rPr>
          <w:rStyle w:val="FootnoteReference"/>
        </w:rPr>
        <w:footnoteReference w:id="5"/>
      </w:r>
      <w:r>
        <w:t xml:space="preserve">, 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svoje uznesenie z 1. júna 2023 o zahraničnom zasahovaní do všetkých </w:t>
      </w:r>
      <w:r>
        <w:lastRenderedPageBreak/>
        <w:t xml:space="preserve">demokratických procesov v Európskej </w:t>
      </w:r>
      <w:r>
        <w:t>únii vrátane dezinformácií</w:t>
      </w:r>
      <w:r>
        <w:rPr>
          <w:rStyle w:val="FootnoteReference"/>
        </w:rPr>
        <w:footnoteReference w:id="6"/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>so zreteľom na svoje uznesenie z 9. októbra 2024 o posilnení odolnosti Moldavska voči zasahovaniu Ruska pred nadchádzajúcimi prezidentskými voľbami a ústavným referendom o integrácii do EÚ</w:t>
      </w:r>
      <w:r>
        <w:rPr>
          <w:rStyle w:val="FootnoteReference"/>
        </w:rPr>
        <w:footnoteReference w:id="7"/>
      </w:r>
      <w:r>
        <w:t xml:space="preserve">, 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svoje uznesenie </w:t>
      </w:r>
      <w:r>
        <w:t>z 24. októbra 2024 o nesprávnom výklade rezolúcie OSN č. 2758 Čínskou ľudovou republikou a jej pokračujúcich vojenských provokáciách v okolí Taiwanu</w:t>
      </w:r>
      <w:r>
        <w:rPr>
          <w:rStyle w:val="FootnoteReference"/>
        </w:rPr>
        <w:footnoteReference w:id="8"/>
      </w:r>
      <w:r>
        <w:t xml:space="preserve">, </w:t>
      </w:r>
    </w:p>
    <w:p w:rsidR="000010F8" w:rsidRDefault="002B71AE">
      <w:pPr>
        <w:pStyle w:val="NormalHanging12a"/>
      </w:pPr>
      <w:r>
        <w:t>–</w:t>
      </w:r>
      <w:r>
        <w:tab/>
        <w:t>so zreteľom na svoje uznesenie zo 17. januára 2024 o bezpečnostných a obranných dôsledkoch vplyvu Číny</w:t>
      </w:r>
      <w:r>
        <w:t xml:space="preserve"> na kritickú infraštruktúru v Európskej únii</w:t>
      </w:r>
      <w:r>
        <w:rPr>
          <w:rStyle w:val="FootnoteReference"/>
        </w:rPr>
        <w:footnoteReference w:id="9"/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>so zreteľom na svoje uznesenia z 24. októbra 2024 o situácii v Azerbajdžane, porušovaní ľudských práv a medzinárodného práva a o vzťahoch s Arménskom</w:t>
      </w:r>
      <w:r>
        <w:rPr>
          <w:rStyle w:val="FootnoteReference"/>
        </w:rPr>
        <w:footnoteReference w:id="10"/>
      </w:r>
      <w:r>
        <w:t xml:space="preserve"> a z 5. októbra 2023 o situácii v Náhornom Karabachu po ú</w:t>
      </w:r>
      <w:r>
        <w:t>toku Azerbajdžanu a pretrvávajúcich hrozbách voči Arménsku</w:t>
      </w:r>
      <w:r>
        <w:rPr>
          <w:rStyle w:val="FootnoteReference"/>
        </w:rPr>
        <w:footnoteReference w:id="11"/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>so zreteľom na svoje uznesenia o historickej pamäti vrátane uznesení z 2. apríla 2009 o svedomí Európy a totalitarizme</w:t>
      </w:r>
      <w:r>
        <w:rPr>
          <w:rStyle w:val="FootnoteReference"/>
        </w:rPr>
        <w:footnoteReference w:id="12"/>
      </w:r>
      <w:r>
        <w:t>, z 19. septembra 2019 o dôležitosti európskeho historického povedomia pre</w:t>
      </w:r>
      <w:r>
        <w:t xml:space="preserve"> budúcnosť Európy</w:t>
      </w:r>
      <w:r>
        <w:rPr>
          <w:rStyle w:val="FootnoteReference"/>
        </w:rPr>
        <w:footnoteReference w:id="13"/>
      </w:r>
      <w:r>
        <w:t xml:space="preserve"> a z 15. decembra 2022 o 90 rokoch po </w:t>
      </w:r>
      <w:proofErr w:type="spellStart"/>
      <w:r>
        <w:t>Holodomore</w:t>
      </w:r>
      <w:proofErr w:type="spellEnd"/>
      <w:r>
        <w:t>: uznanie masového zabíjania vyhladovaním za genocídu</w:t>
      </w:r>
      <w:r>
        <w:rPr>
          <w:rStyle w:val="FootnoteReference"/>
        </w:rPr>
        <w:footnoteReference w:id="14"/>
      </w:r>
      <w:r>
        <w:t xml:space="preserve"> a zo 17. januára 2024 o európskom historickom vedomí</w:t>
      </w:r>
      <w:r>
        <w:rPr>
          <w:rStyle w:val="FootnoteReference"/>
        </w:rPr>
        <w:footnoteReference w:id="15"/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>so zreteľom na správu z 9. mája 2022 o konečnom výsledku Konferencie o budúcno</w:t>
      </w:r>
      <w:r>
        <w:t>sti Európy,</w:t>
      </w:r>
    </w:p>
    <w:p w:rsidR="000010F8" w:rsidRDefault="002B71AE">
      <w:pPr>
        <w:pStyle w:val="NormalHanging12a"/>
      </w:pPr>
      <w:r>
        <w:t>–</w:t>
      </w:r>
      <w:r>
        <w:tab/>
        <w:t>so zreteľom na akčný plán EÚ pre rodovú rovnosť a posilnenie postavenia žien v rámci vonkajšej činnosti EÚ na roky 2021 – 2025 (GAP III),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Dohovor Rady Európy o predchádzaní násiliu na ženách a domácemu násiliu a o boji proti </w:t>
      </w:r>
      <w:r>
        <w:t xml:space="preserve">nemu (Istanbulský dohovor), ktorý v EÚ nadobudol platnosť 1. októbra 2023, </w:t>
      </w:r>
    </w:p>
    <w:p w:rsidR="000010F8" w:rsidRDefault="002B71AE">
      <w:pPr>
        <w:pStyle w:val="NormalHanging12a"/>
      </w:pPr>
      <w:r>
        <w:t>–</w:t>
      </w:r>
      <w:r>
        <w:tab/>
        <w:t>so zreteľom na rezolúciu OSN prijatú Valným zhromaždením OSN 25. septembra 2015 na samite OSN o udržateľnom rozvoji v New Yorku s názvom Transformujeme náš svet: program udržateľ</w:t>
      </w:r>
      <w:r>
        <w:t>ného rozvoja do roku 2030 (Agenda 2030), v ktorom sa stanovili ciele udržateľného rozvoja,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rezolúciu OSN o pomoci palestínskym utečencom prijatú Valným </w:t>
      </w:r>
      <w:r>
        <w:lastRenderedPageBreak/>
        <w:t>zhromaždením OSN 8. decembra 1949,</w:t>
      </w:r>
    </w:p>
    <w:p w:rsidR="000010F8" w:rsidRDefault="002B71AE">
      <w:pPr>
        <w:pStyle w:val="NormalHanging12a"/>
        <w:rPr>
          <w:szCs w:val="24"/>
        </w:rPr>
      </w:pPr>
      <w:r>
        <w:t>–</w:t>
      </w:r>
      <w:r>
        <w:tab/>
        <w:t xml:space="preserve">so zreteľom na rezolúciu Bezpečnostnej rady OSN z </w:t>
      </w:r>
      <w:r>
        <w:t>22. novembra 1967</w:t>
      </w:r>
      <w:r>
        <w:rPr>
          <w:shd w:val="clear" w:color="auto" w:fill="FFFFFF"/>
        </w:rPr>
        <w:t xml:space="preserve"> o mierovom a prijatom riešení situácie na Blízkom východe</w:t>
      </w:r>
      <w:r>
        <w:t xml:space="preserve">, </w:t>
      </w:r>
    </w:p>
    <w:p w:rsidR="000010F8" w:rsidRDefault="002B71AE">
      <w:pPr>
        <w:pStyle w:val="NormalHanging12a"/>
      </w:pPr>
      <w:r>
        <w:t>–</w:t>
      </w:r>
      <w:r>
        <w:tab/>
        <w:t xml:space="preserve">so zreteľom na rezolúciu Bezpečnostnej rady OSN z 11. augusta 2006 o situácii na Blízkom východe, </w:t>
      </w:r>
    </w:p>
    <w:p w:rsidR="000010F8" w:rsidRDefault="002B71AE">
      <w:pPr>
        <w:pStyle w:val="NormalHanging12a"/>
      </w:pPr>
      <w:r>
        <w:t>–</w:t>
      </w:r>
      <w:r>
        <w:tab/>
        <w:t>so zreteľom na Dohovor Organizácie Spojených národov o zabránení a trestaní</w:t>
      </w:r>
      <w:r>
        <w:t xml:space="preserve"> zločinu genocída z roku 1948 a na rezolúciu Rady OSN pre ľudské práva č. 43/29 z 22. júna 2020 o zabránení genocíde,</w:t>
      </w:r>
    </w:p>
    <w:p w:rsidR="000010F8" w:rsidRDefault="002B71AE">
      <w:pPr>
        <w:pStyle w:val="NormalHanging12a"/>
      </w:pPr>
      <w:r>
        <w:t>–</w:t>
      </w:r>
      <w:r>
        <w:tab/>
        <w:t>so zreteľom na Rímsky štatút Medzinárodného trestného súdu (ďalej len „ICC“),</w:t>
      </w:r>
    </w:p>
    <w:p w:rsidR="000010F8" w:rsidRDefault="002B71AE">
      <w:pPr>
        <w:pStyle w:val="NormalHanging12a"/>
      </w:pPr>
      <w:r>
        <w:t>–</w:t>
      </w:r>
      <w:r>
        <w:tab/>
        <w:t>so zreteľom na dohodu medzi Medzinárodným trestným súdom</w:t>
      </w:r>
      <w:r>
        <w:t xml:space="preserve"> a Európskou úniou o spolupráci a pomoci z 28. apríla 2006</w:t>
      </w:r>
      <w:r>
        <w:rPr>
          <w:rStyle w:val="FootnoteReference"/>
        </w:rPr>
        <w:footnoteReference w:id="16"/>
      </w:r>
      <w:r>
        <w:t>,</w:t>
      </w:r>
    </w:p>
    <w:p w:rsidR="000010F8" w:rsidRDefault="002B71AE">
      <w:pPr>
        <w:pStyle w:val="NormalHanging12a"/>
      </w:pPr>
      <w:r>
        <w:t>–</w:t>
      </w:r>
      <w:r>
        <w:tab/>
        <w:t>so zreteľom poradné stanovisko Medzinárodného súdneho dvora vyžiadané Valným zhromaždením OSN uvedené v jeho rezolúcii z 30. decembra 2022 o izraelských praktikách ovplyvňujúcich ľudské práva p</w:t>
      </w:r>
      <w:r>
        <w:t>alestínskeho ľudu na okupovanom palestínskom území vrátane východného Jeruzalema,</w:t>
      </w:r>
    </w:p>
    <w:p w:rsidR="000010F8" w:rsidRDefault="002B71AE">
      <w:pPr>
        <w:pStyle w:val="NormalHanging12a"/>
      </w:pPr>
      <w:r>
        <w:t>–</w:t>
      </w:r>
      <w:r>
        <w:tab/>
        <w:t>so zreteľom na spoločné oznámenie Komisie a vysokej predstaviteľky Únie pre zahraničné veci a bezpečnostnú politiku z 19. marca 2025 s názvom Spoločná biela kniha o priprav</w:t>
      </w:r>
      <w:r>
        <w:t>enosti európskej obrany do roku 2030 (JOIN(2025)0120),</w:t>
      </w:r>
    </w:p>
    <w:p w:rsidR="000010F8" w:rsidRDefault="002B71AE">
      <w:pPr>
        <w:pStyle w:val="NormalHanging12a"/>
      </w:pPr>
      <w:r>
        <w:t>–</w:t>
      </w:r>
      <w:r>
        <w:tab/>
        <w:t>so zreteľom na článok 55 rokovacieho poriadku,</w:t>
      </w:r>
    </w:p>
    <w:p w:rsidR="000010F8" w:rsidRDefault="002B71AE">
      <w:pPr>
        <w:pStyle w:val="NormalHanging12a"/>
      </w:pPr>
      <w:r>
        <w:t>–</w:t>
      </w:r>
      <w:r>
        <w:tab/>
        <w:t>so zreteľom na správu Výboru pre zahraničné veci (A10-0010/2025),</w:t>
      </w:r>
    </w:p>
    <w:p w:rsidR="000010F8" w:rsidRDefault="002B71AE">
      <w:pPr>
        <w:pStyle w:val="NormalHanging12a"/>
      </w:pPr>
      <w:r>
        <w:t>A.</w:t>
      </w:r>
      <w:r>
        <w:tab/>
        <w:t>keďže svet čelí rýchlym geopolitickým zmenám, pričom autokratické mocnosti indivi</w:t>
      </w:r>
      <w:r>
        <w:t>duálne aj koordinovane aktívne spochybňujú medzinárodný poriadok založený na pravidlách a jeho multilaterálne inštitúcie, medzinárodné právo, demokratické inštitúcie a spoločnosti, ako aj naše spojenectvá; keďže by sa mali posúdiť všetky pákové efekty EÚ s</w:t>
      </w:r>
      <w:r>
        <w:t xml:space="preserve"> cieľom odradiť krajiny od podpory ruskej agresie;</w:t>
      </w:r>
    </w:p>
    <w:p w:rsidR="000010F8" w:rsidRDefault="002B71AE">
      <w:pPr>
        <w:pStyle w:val="NormalHanging12a"/>
      </w:pPr>
      <w:r>
        <w:t>B.</w:t>
      </w:r>
      <w:r>
        <w:tab/>
        <w:t xml:space="preserve">keďže samit BRICS, ktorý sa konal v Kazani v Rusku od 22. do 24. októbra 2024, zdôrazňuje, ako Putin využíva medzinárodné platformy na boj proti izolácii a budovanie spojenectiev; keďže na dodržiavanie </w:t>
      </w:r>
      <w:r>
        <w:t>zásad medzinárodného poriadku založeného na pravidlách je potrebná jednotná a strategická reakcia EÚ;</w:t>
      </w:r>
    </w:p>
    <w:p w:rsidR="000010F8" w:rsidRDefault="002B71AE">
      <w:pPr>
        <w:pStyle w:val="NormalHanging12a"/>
      </w:pPr>
      <w:r>
        <w:t>C.</w:t>
      </w:r>
      <w:r>
        <w:tab/>
        <w:t>keďže EÚ a členské štáty by mali preskúmať rozvojovú pomoc určenú vládam krajín, ktoré otvorene podporujú útočnú vojnu Ruska proti Ukrajine, a sledovať</w:t>
      </w:r>
      <w:r>
        <w:t xml:space="preserve"> ich hlasovanie o príslušných rezolúciách OSN;</w:t>
      </w:r>
    </w:p>
    <w:p w:rsidR="000010F8" w:rsidRDefault="002B71AE">
      <w:pPr>
        <w:pStyle w:val="NormalHanging12a"/>
      </w:pPr>
      <w:r>
        <w:t>D.</w:t>
      </w:r>
      <w:r>
        <w:tab/>
        <w:t>keďže geopolitická konfrontácia medzi demokraciami a autoritárskymi a diktátorskými režimami rastie, konflikty sa znásobujú a používanie sily sa čoraz viac považuje za štandardný nástroj na sledovanie polit</w:t>
      </w:r>
      <w:r>
        <w:t xml:space="preserve">ických cieľov; keďže silu vyvíjajú nielen štáty, ale aj rozširujúca sa škála neštátnych subjektov; keďže EÚ musí posilniť transatlantické </w:t>
      </w:r>
      <w:r>
        <w:lastRenderedPageBreak/>
        <w:t>vzťahy a budovať konštruktívne partnerstvá s podobne zmýšľajúcimi partnermi na globálnom Juhu;</w:t>
      </w:r>
    </w:p>
    <w:p w:rsidR="000010F8" w:rsidRDefault="002B71AE">
      <w:pPr>
        <w:pStyle w:val="NormalHanging12a"/>
      </w:pPr>
      <w:r>
        <w:t>E.</w:t>
      </w:r>
      <w:r>
        <w:tab/>
        <w:t>keďže geopolitický k</w:t>
      </w:r>
      <w:r>
        <w:t>ontext, v ktorom EÚ pôsobí, posilnil potrebu ambicióznejšej, dôveryhodnejšej, rozhodnejšej a jednotnejšej činnosti EÚ a plnohodnotnej európskej zahraničnej politiky na svetovej scéne a zdôraznil, že je nutné, aby členské štáty preukázali potrebnú politickú</w:t>
      </w:r>
      <w:r>
        <w:t xml:space="preserve"> vôľu prebudovať svoje obranné spôsobilosti a zároveň posilniť transatlantické väzby a partnerstvá EÚ s podobne zmýšľajúcimi krajinami; keďže spoločná zahraničná a bezpečnostná politika (SZBP) sa musí stať plnohodnotnou politikou EÚ, prostredníctvom ktorej</w:t>
      </w:r>
      <w:r>
        <w:t xml:space="preserve"> dokáže EÚ riešiť kľúčové geopolitické výzvy; keďže EÚ by sa vo svojej vonkajšej činnosti mala riadiť hodnotami a zásadami zakotvenými v článku 2, článku 3 ods. 5 a článku 21 Zmluvy o EÚ, ktoré inšpirovali vytvorenie, rozvoj a rozširovanie EÚ; keďže je v z</w:t>
      </w:r>
      <w:r>
        <w:t>áujme EÚ primerane presadzovať univerzálne hodnoty, normy a zásady, ako sú sloboda a demokratické štandardy, ako aj ľudské práva, právny štát, medzinárodná spravodlivosť a Helsinský záverečný akt, najmä pokiaľ ide o neporušovanie medzinárodných hraníc;</w:t>
      </w:r>
    </w:p>
    <w:p w:rsidR="000010F8" w:rsidRDefault="002B71AE">
      <w:pPr>
        <w:pStyle w:val="NormalHanging12a"/>
      </w:pPr>
      <w:r>
        <w:t>F.</w:t>
      </w:r>
      <w:r>
        <w:tab/>
      </w:r>
      <w:r>
        <w:t xml:space="preserve">keďže EÚ čelí rýchlemu nárastu nových hrozieb na svojich hraniciach a na svojom území, ktoré destabilizujú fungovanie EÚ, najmä cielených dezinformácií, kybernetických a hybridných útokov, </w:t>
      </w:r>
      <w:proofErr w:type="spellStart"/>
      <w:r>
        <w:t>inštrumentalizácie</w:t>
      </w:r>
      <w:proofErr w:type="spellEnd"/>
      <w:r>
        <w:t xml:space="preserve"> migračných tokov, ako aj medzinárodnému terorizm</w:t>
      </w:r>
      <w:r>
        <w:t>u a náboženskému radikalizmu;</w:t>
      </w:r>
    </w:p>
    <w:p w:rsidR="000010F8" w:rsidRDefault="002B71AE">
      <w:pPr>
        <w:pStyle w:val="NormalHanging12a"/>
      </w:pPr>
      <w:r>
        <w:t>G.</w:t>
      </w:r>
      <w:r>
        <w:tab/>
        <w:t xml:space="preserve">keďže strategická autonómia si vyžaduje, aby EÚ na globálnej scéne konala nezávisle, keď je to treba, najmä v oblasti zahraničnej a bezpečnostnej politiky; keďže EÚ uznala potrebu znížiť závislosť od vonkajších aktérov pri </w:t>
      </w:r>
      <w:r>
        <w:t xml:space="preserve">ochrane svojich záujmov v nepredvídateľnom a </w:t>
      </w:r>
      <w:proofErr w:type="spellStart"/>
      <w:r>
        <w:t>multipolárnom</w:t>
      </w:r>
      <w:proofErr w:type="spellEnd"/>
      <w:r>
        <w:t xml:space="preserve"> svete;</w:t>
      </w:r>
    </w:p>
    <w:p w:rsidR="000010F8" w:rsidRDefault="002B71AE">
      <w:pPr>
        <w:pStyle w:val="NormalHanging12a"/>
      </w:pPr>
      <w:r>
        <w:t>H.</w:t>
      </w:r>
      <w:r>
        <w:tab/>
        <w:t>keďže EÚ musí rozvíjať nezávislú a autonómnu európsku diplomaciu okrem iného vrátane verejnej a kultúrnej, hospodárskej, klimatickej, digitálnej a kybernetickej diplomacie, ktorú by viedl</w:t>
      </w:r>
      <w:r>
        <w:t>a diplomatická služba EÚ so spoločnou diplomatickou kultúrou;</w:t>
      </w:r>
    </w:p>
    <w:p w:rsidR="000010F8" w:rsidRDefault="002B71AE">
      <w:pPr>
        <w:pStyle w:val="NormalHanging12a"/>
      </w:pPr>
      <w:r>
        <w:t>I.</w:t>
      </w:r>
      <w:r>
        <w:tab/>
        <w:t>keďže ruská agresívna vojna voči Ukrajine porušuje medzinárodný poriadok založený na pravidlách a základné zásady medzinárodného práva zakotvené v Charte OSN a v kľúčových dohovoroch a rezolú</w:t>
      </w:r>
      <w:r>
        <w:t>ciách, Helsinskom záverečnom akte a Európskom dohovore o ľudských právach;</w:t>
      </w:r>
    </w:p>
    <w:p w:rsidR="000010F8" w:rsidRDefault="002B71AE">
      <w:pPr>
        <w:pStyle w:val="NormalHanging12a"/>
      </w:pPr>
      <w:r>
        <w:t>J.</w:t>
      </w:r>
      <w:r>
        <w:tab/>
        <w:t>keďže ruské porušovanie Ženevského dohovoru o vojnových zajatcoch zahŕňa popravy väzňov a odopieranie prístupu k humanitárnym organizáciám a lekárskemu ošetreniu väzňov;</w:t>
      </w:r>
    </w:p>
    <w:p w:rsidR="000010F8" w:rsidRDefault="002B71AE">
      <w:pPr>
        <w:pStyle w:val="NormalHanging12a"/>
      </w:pPr>
      <w:r>
        <w:t>K.</w:t>
      </w:r>
      <w:r>
        <w:tab/>
        <w:t>keďže</w:t>
      </w:r>
      <w:r>
        <w:t xml:space="preserve"> Medzinárodný trestný súd vydal zatykač na </w:t>
      </w:r>
      <w:proofErr w:type="spellStart"/>
      <w:r>
        <w:t>Vladimira</w:t>
      </w:r>
      <w:proofErr w:type="spellEnd"/>
      <w:r>
        <w:t xml:space="preserve"> Putina a komisárku pre práva detí Máriu </w:t>
      </w:r>
      <w:proofErr w:type="spellStart"/>
      <w:r>
        <w:t>Lvovovú-Belovovú</w:t>
      </w:r>
      <w:proofErr w:type="spellEnd"/>
      <w:r>
        <w:t xml:space="preserve"> za ich účasť na únosoch ukrajinských detí do Ruska; keďže Rusko s pomocou bieloruského režimu sa usiluje o prevýchovu ukrajinských detí a vymazani</w:t>
      </w:r>
      <w:r>
        <w:t xml:space="preserve">e ich národnej ukrajinskej identity; keďže režim Alexandra Lukašenka v Bielorusku musí byť plne vzatý na zodpovednosť za svoju spoluúčasť na útočnej vojne proti Ukrajine a na vojnových zločinoch, ako sú únosy tisícov ukrajinských detí; </w:t>
      </w:r>
    </w:p>
    <w:p w:rsidR="000010F8" w:rsidRDefault="002B71AE">
      <w:pPr>
        <w:pStyle w:val="NormalHanging12a"/>
      </w:pPr>
      <w:r>
        <w:t>L.</w:t>
      </w:r>
      <w:r>
        <w:tab/>
        <w:t>keďže Medzinárod</w:t>
      </w:r>
      <w:r>
        <w:t xml:space="preserve">ný trestný súd okrem toho vydal zatykače na ruských vojenských lídrov Sergeja </w:t>
      </w:r>
      <w:proofErr w:type="spellStart"/>
      <w:r>
        <w:t>Šojgua</w:t>
      </w:r>
      <w:proofErr w:type="spellEnd"/>
      <w:r>
        <w:t xml:space="preserve">, </w:t>
      </w:r>
      <w:proofErr w:type="spellStart"/>
      <w:r>
        <w:t>Valerija</w:t>
      </w:r>
      <w:proofErr w:type="spellEnd"/>
      <w:r>
        <w:t xml:space="preserve"> </w:t>
      </w:r>
      <w:proofErr w:type="spellStart"/>
      <w:r>
        <w:t>Gerasimova</w:t>
      </w:r>
      <w:proofErr w:type="spellEnd"/>
      <w:r>
        <w:t xml:space="preserve">, Viktora Sokolova a Sergeja </w:t>
      </w:r>
      <w:proofErr w:type="spellStart"/>
      <w:r>
        <w:t>Kobylaša</w:t>
      </w:r>
      <w:proofErr w:type="spellEnd"/>
      <w:r>
        <w:t xml:space="preserve">, ktorí </w:t>
      </w:r>
      <w:r>
        <w:lastRenderedPageBreak/>
        <w:t>sú obvinení z riadenia útokov na civilné ciele;</w:t>
      </w:r>
    </w:p>
    <w:p w:rsidR="000010F8" w:rsidRDefault="002B71AE">
      <w:pPr>
        <w:pStyle w:val="NormalHanging12a"/>
      </w:pPr>
      <w:r>
        <w:t>M.</w:t>
      </w:r>
      <w:r>
        <w:tab/>
        <w:t>keďže maďarská vláda blokuje Fond pomoci pre Ukrajinu vo</w:t>
      </w:r>
      <w:r>
        <w:t xml:space="preserve"> výške 5 miliárd EUR zriadený v marci 2024 v rámci Európskeho mierového nástroja (ďalej len „EPF“); keďže maďarská vláda od mája 2023 blokuje ôsmu </w:t>
      </w:r>
      <w:proofErr w:type="spellStart"/>
      <w:r>
        <w:t>tranžu</w:t>
      </w:r>
      <w:proofErr w:type="spellEnd"/>
      <w:r>
        <w:t xml:space="preserve"> úhrad z EPF pre členské štáty, ktoré Ukrajine poskytli vojenskú pomoc;</w:t>
      </w:r>
    </w:p>
    <w:p w:rsidR="000010F8" w:rsidRDefault="002B71AE">
      <w:pPr>
        <w:pStyle w:val="NormalHanging12a"/>
      </w:pPr>
      <w:r>
        <w:t>N.</w:t>
      </w:r>
      <w:r>
        <w:tab/>
        <w:t>keďže tankery ruskej tieňove</w:t>
      </w:r>
      <w:r>
        <w:t>j flotily predstavujú značné riziko pre námornú a environmentálnu bezpečnosť tým, že vypínajú svoje systémy automatickej identifikácie alebo manipulujú s nimi; keďže tieto tankery každý mesiac generujú približne 12 miliárd USD pre vojnový rozpočet Ruska, č</w:t>
      </w:r>
      <w:r>
        <w:t>ím priamo financujú jeho agresívne vojenské operácie;</w:t>
      </w:r>
    </w:p>
    <w:p w:rsidR="000010F8" w:rsidRDefault="002B71AE">
      <w:pPr>
        <w:pStyle w:val="NormalHanging12a"/>
      </w:pPr>
      <w:r>
        <w:t>O.</w:t>
      </w:r>
      <w:r>
        <w:tab/>
        <w:t xml:space="preserve">keďže režim </w:t>
      </w:r>
      <w:proofErr w:type="spellStart"/>
      <w:r>
        <w:t>Vladimira</w:t>
      </w:r>
      <w:proofErr w:type="spellEnd"/>
      <w:r>
        <w:t xml:space="preserve"> Putina zneužíva dejiny na to, aby si zaistil lojálnosť ruského obyvateľstva vytváraním nostalgie za údajnou veľkou sovietskou ríšou, prekrúca dejiny Ruska a Ukrajiny, odmieta </w:t>
      </w:r>
      <w:proofErr w:type="spellStart"/>
      <w:r>
        <w:t>Chruščovovu</w:t>
      </w:r>
      <w:proofErr w:type="spellEnd"/>
      <w:r>
        <w:t xml:space="preserve"> politiku uznania a odsúdenia </w:t>
      </w:r>
      <w:proofErr w:type="spellStart"/>
      <w:r>
        <w:t>stalinistických</w:t>
      </w:r>
      <w:proofErr w:type="spellEnd"/>
      <w:r>
        <w:t xml:space="preserve"> zločinov, odvracia sa od prístupu </w:t>
      </w:r>
      <w:proofErr w:type="spellStart"/>
      <w:r>
        <w:t>Michaila</w:t>
      </w:r>
      <w:proofErr w:type="spellEnd"/>
      <w:r>
        <w:t xml:space="preserve"> </w:t>
      </w:r>
      <w:proofErr w:type="spellStart"/>
      <w:r>
        <w:t>Gorbačova</w:t>
      </w:r>
      <w:proofErr w:type="spellEnd"/>
      <w:r>
        <w:t xml:space="preserve">, ktorý vzal na vedomie pakt </w:t>
      </w:r>
      <w:proofErr w:type="spellStart"/>
      <w:r>
        <w:t>Ribbentrop-Molotov</w:t>
      </w:r>
      <w:proofErr w:type="spellEnd"/>
      <w:r>
        <w:t xml:space="preserve"> a odsúdil ho, a označuje rozpad Sovietskeho zväzu za najväčšiu tragédiu predchádzajúceho storočia;</w:t>
      </w:r>
    </w:p>
    <w:p w:rsidR="000010F8" w:rsidRDefault="002B71AE">
      <w:pPr>
        <w:pStyle w:val="NormalHanging12a"/>
      </w:pPr>
      <w:r>
        <w:t>P.</w:t>
      </w:r>
      <w:r>
        <w:tab/>
        <w:t xml:space="preserve">keďže Rusko a ďalší nepriateľské subjekty v jeho susedných krajinách podporujú protizápadnú a rozdeľujúcu rétoriku a zneužívajú etnické napätie na západnom Balkáne s cieľom rozohniť konflikty a rozdeliť komunity, a to aj prostredníctvom </w:t>
      </w:r>
      <w:proofErr w:type="spellStart"/>
      <w:r>
        <w:t>inštrumentalizác</w:t>
      </w:r>
      <w:r>
        <w:t>ie</w:t>
      </w:r>
      <w:proofErr w:type="spellEnd"/>
      <w:r>
        <w:t xml:space="preserve"> srbskej pravoslávnej cirkvi;</w:t>
      </w:r>
    </w:p>
    <w:p w:rsidR="000010F8" w:rsidRDefault="002B71AE">
      <w:pPr>
        <w:pStyle w:val="NormalHanging12a"/>
      </w:pPr>
      <w:r>
        <w:t>Q.</w:t>
      </w:r>
      <w:r>
        <w:tab/>
        <w:t xml:space="preserve">keďže v roku 2024 sme si pripomenuli 20. výročie veľkého rozšírenia, keď do EÚ vstúpilo 10 krajín; keďže rozširovanie má pre EÚ mimoriadny strategický význam, pretože predstavuje </w:t>
      </w:r>
      <w:proofErr w:type="spellStart"/>
      <w:r>
        <w:t>geostrategickú</w:t>
      </w:r>
      <w:proofErr w:type="spellEnd"/>
      <w:r>
        <w:t xml:space="preserve"> investíciu do dlhodobého mi</w:t>
      </w:r>
      <w:r>
        <w:t>eru, demokracie, stability, bezpečnosti, ochrany klímy a prosperity na celom kontinente, a najmä vzhľadom na útočnú vojnu Ruska proti Ukrajine; keďže príprava na rozšírenie vyžaduje reformy v EÚ a keďže EÚ by mala viesť proces rozširovania súbežne s inštit</w:t>
      </w:r>
      <w:r>
        <w:t>ucionálnymi reformami a reformami rozhodovacieho procesu, ktoré sú potrebné na zachovanie integračnej kapacity EÚ;</w:t>
      </w:r>
    </w:p>
    <w:p w:rsidR="000010F8" w:rsidRDefault="002B71AE">
      <w:pPr>
        <w:pStyle w:val="NormalHanging12a"/>
      </w:pPr>
      <w:r>
        <w:t>R.</w:t>
      </w:r>
      <w:r>
        <w:tab/>
        <w:t xml:space="preserve">keďže EÚ musí zachovať odhodlanie zrýchliť politiku rozširovania a pristupujúce krajiny musia zároveň pokračovať vo vykonávaní reforiem a </w:t>
      </w:r>
      <w:r>
        <w:t xml:space="preserve">plnení požadovaných kritérií súvisiacich s </w:t>
      </w:r>
      <w:proofErr w:type="spellStart"/>
      <w:r>
        <w:rPr>
          <w:i/>
          <w:iCs/>
        </w:rPr>
        <w:t>acquis</w:t>
      </w:r>
      <w:proofErr w:type="spellEnd"/>
      <w:r>
        <w:t xml:space="preserve"> EÚ; keďže konzistentná komunikácia a jasné smerovanie k integrácii kandidátskych krajín sú nevyhnutné na udržanie </w:t>
      </w:r>
      <w:proofErr w:type="spellStart"/>
      <w:r>
        <w:t>proeurópskej</w:t>
      </w:r>
      <w:proofErr w:type="spellEnd"/>
      <w:r>
        <w:t xml:space="preserve"> perspektívy;</w:t>
      </w:r>
    </w:p>
    <w:p w:rsidR="000010F8" w:rsidRDefault="002B71AE">
      <w:pPr>
        <w:pStyle w:val="NormalHanging12a"/>
      </w:pPr>
      <w:r>
        <w:t>S.</w:t>
      </w:r>
      <w:r>
        <w:tab/>
        <w:t>keďže budúcnosť Balkánu a krajín východného susedstva je v EÚ;</w:t>
      </w:r>
    </w:p>
    <w:p w:rsidR="000010F8" w:rsidRDefault="002B71AE">
      <w:pPr>
        <w:pStyle w:val="NormalHanging12a"/>
      </w:pPr>
      <w:r>
        <w:t>T.</w:t>
      </w:r>
      <w:r>
        <w:tab/>
        <w:t>keďže Únia je založená na hodnotách demokracie, právneho štátu a dodržiavania ľudských práv, ktoré sú súčasťou kodanských kritérií, ktoré sú kľúčovým súborom kritérií pre členstvo v EÚ; keďže prístupový proces je proces založený na zásluhách a reverzibi</w:t>
      </w:r>
      <w:r>
        <w:t>lný proces;</w:t>
      </w:r>
    </w:p>
    <w:p w:rsidR="000010F8" w:rsidRDefault="002B71AE">
      <w:pPr>
        <w:pStyle w:val="NormalHanging12a"/>
      </w:pPr>
      <w:r>
        <w:t>U.</w:t>
      </w:r>
      <w:r>
        <w:tab/>
        <w:t xml:space="preserve">keďže vstup do EÚ si vyžaduje zosúladenie zahraničnej politiky, a to aj pokiaľ ide o hlasovanie o rezolúciách Valného zhromaždenia Organizácie Spojených národov, podporu Ukrajiny a zosúladenie so sankciami voči Rusku; keďže väčšina krajín </w:t>
      </w:r>
      <w:r>
        <w:t>západného Balkánu dosiahla vysokú úroveň zosúladenia so SZBP, pričom významnou výnimkou je Srbsko;</w:t>
      </w:r>
    </w:p>
    <w:p w:rsidR="000010F8" w:rsidRDefault="002B71AE">
      <w:pPr>
        <w:pStyle w:val="NormalHanging12a"/>
      </w:pPr>
      <w:r>
        <w:lastRenderedPageBreak/>
        <w:t>V.</w:t>
      </w:r>
      <w:r>
        <w:tab/>
        <w:t xml:space="preserve">keďže Severné Macedónsko uzavrelo dohodu z </w:t>
      </w:r>
      <w:proofErr w:type="spellStart"/>
      <w:r>
        <w:t>Prespy</w:t>
      </w:r>
      <w:proofErr w:type="spellEnd"/>
      <w:r>
        <w:t xml:space="preserve"> s Gréckom a Zmluvu o priateľstve, dobrých susedských vzťahoch a spolupráci s Bulharskom;</w:t>
      </w:r>
    </w:p>
    <w:p w:rsidR="000010F8" w:rsidRDefault="002B71AE">
      <w:pPr>
        <w:pStyle w:val="NormalHanging12a"/>
      </w:pPr>
      <w:r>
        <w:t>W.</w:t>
      </w:r>
      <w:r>
        <w:tab/>
        <w:t>keďže občani</w:t>
      </w:r>
      <w:r>
        <w:t>a Gruzínska preukázali svoju oddanosť demokratickým hodnotám a napredovaniu svojej krajiny v integrácii do EÚ; keďže je potrebné zvrátiť úpadok demokracie v Gruzínsku; keďže gruzínske orgány by mali zohľadniť vôľu gruzínskeho ľudu vstúpiť do EÚ a zabezpeči</w:t>
      </w:r>
      <w:r>
        <w:t xml:space="preserve">ť slobodné a spravodlivé voľby, zastaviť zhoršovanie situácie v oblasti demokracie, upustiť od zákonov, ktoré ohrozujú európsku budúcnosť Gruzínska, a pokračovať v </w:t>
      </w:r>
      <w:proofErr w:type="spellStart"/>
      <w:r>
        <w:t>proeurópskych</w:t>
      </w:r>
      <w:proofErr w:type="spellEnd"/>
      <w:r>
        <w:t xml:space="preserve"> demokratických reformách; keďže Gruzínsko by sa malo zosúladiť so SZBP EÚ vrát</w:t>
      </w:r>
      <w:r>
        <w:t>ane sankcií prijatých jednomyseľne voči Rusku;</w:t>
      </w:r>
    </w:p>
    <w:p w:rsidR="000010F8" w:rsidRDefault="002B71AE">
      <w:pPr>
        <w:pStyle w:val="NormalHanging12a"/>
      </w:pPr>
      <w:r>
        <w:t>X.</w:t>
      </w:r>
      <w:r>
        <w:tab/>
        <w:t>keďže akákoľvek dohoda o partnerstve medzi EÚ a Azerbajdžanom – vrátane dohody o energetike – musí mať pevne stanovené podmienky, pokiaľ ide o dodržiavanie medzinárodného práva, základných práv a medzinárod</w:t>
      </w:r>
      <w:r>
        <w:t>ných záväzkov, a najmä o dosiahnutie výrazného pokroku Azerbajdžanu smerom ku komplexnej a udržateľnej mierovej dohode s Arménskom;</w:t>
      </w:r>
    </w:p>
    <w:p w:rsidR="000010F8" w:rsidRDefault="002B71AE">
      <w:pPr>
        <w:pStyle w:val="NormalHanging12a"/>
      </w:pPr>
      <w:r>
        <w:t>Y.</w:t>
      </w:r>
      <w:r>
        <w:tab/>
        <w:t>keďže Stredozemné more má pre EÚ veľký význam, a to z historického aj geografického hľadiska; keďže krajiny južného sused</w:t>
      </w:r>
      <w:r>
        <w:t xml:space="preserve">stva zohrávajú dôležitú úlohu pri zabezpečovaní toho, aby boli toky neregulárnej migrácie riadené na základe zásad solidarity, rovnováhy, spoločnej zodpovednosti a v plnom súlade s uplatniteľným právom EÚ a medzinárodným právom, a najmä s ľudskými právami </w:t>
      </w:r>
      <w:r>
        <w:t>a humanitárnym právom;</w:t>
      </w:r>
    </w:p>
    <w:p w:rsidR="000010F8" w:rsidRDefault="002B71AE">
      <w:pPr>
        <w:pStyle w:val="NormalHanging12a"/>
      </w:pPr>
      <w:r>
        <w:t>Z.</w:t>
      </w:r>
      <w:r>
        <w:tab/>
        <w:t xml:space="preserve">keďže strategické partnerstvá a dohody medzi EÚ a krajinami pôvodu a tranzitu, ako sú dohody medzi EÚ a Mauritániou, sa preukázali ako úspešný model predchádzania neoprávnenej migrácii a boja proti prevádzačom migrantov; </w:t>
      </w:r>
    </w:p>
    <w:p w:rsidR="000010F8" w:rsidRDefault="002B71AE">
      <w:pPr>
        <w:pStyle w:val="NormalHanging12a"/>
      </w:pPr>
      <w:r>
        <w:t>AA.</w:t>
      </w:r>
      <w:r>
        <w:tab/>
        <w:t>keďž</w:t>
      </w:r>
      <w:r>
        <w:t xml:space="preserve">e dodávky tisícov </w:t>
      </w:r>
      <w:proofErr w:type="spellStart"/>
      <w:r>
        <w:t>dronov</w:t>
      </w:r>
      <w:proofErr w:type="spellEnd"/>
      <w:r>
        <w:t xml:space="preserve"> </w:t>
      </w:r>
      <w:proofErr w:type="spellStart"/>
      <w:r>
        <w:t>Šahíd</w:t>
      </w:r>
      <w:proofErr w:type="spellEnd"/>
      <w:r>
        <w:t xml:space="preserve"> z Iránskej islamskej republiky do Ruska ešte viac upevnili postavenie Iránu ako vyvrheľského štátu; keďže Severná Kórea a Čína naďalej neochvejne nedodržiavajú medzinárodné zákony a normy; </w:t>
      </w:r>
    </w:p>
    <w:p w:rsidR="000010F8" w:rsidRDefault="002B71AE">
      <w:pPr>
        <w:pStyle w:val="NormalHanging12a"/>
      </w:pPr>
      <w:r>
        <w:t>AB.</w:t>
      </w:r>
      <w:r>
        <w:tab/>
        <w:t>keďže 28. mája 2024 Nórsko, Írs</w:t>
      </w:r>
      <w:r>
        <w:t>ko a Španielsko uznali Palestínsky štát a slovinský parlament následne prijal 4. júna 2024 rovnaké rozhodnutie;</w:t>
      </w:r>
    </w:p>
    <w:p w:rsidR="000010F8" w:rsidRDefault="002B71AE">
      <w:pPr>
        <w:pStyle w:val="NormalHanging12a"/>
      </w:pPr>
      <w:r>
        <w:t>AC.</w:t>
      </w:r>
      <w:r>
        <w:tab/>
        <w:t>keďže Čína sama seba definuje ako „krajinu v blízkosti Arktídy“ a snaží sa v úzkom partnerstve s Ruskom vytvoriť polárnu hodvábnu cestu;</w:t>
      </w:r>
    </w:p>
    <w:p w:rsidR="000010F8" w:rsidRDefault="002B71AE">
      <w:pPr>
        <w:pStyle w:val="NormalHanging12a"/>
      </w:pPr>
      <w:r>
        <w:t>AD.</w:t>
      </w:r>
      <w:r>
        <w:tab/>
        <w:t>keďže čínska iniciatíva s názvom Jedno pásmo, jedna cesta je výzvou pre záujmy EÚ;</w:t>
      </w:r>
    </w:p>
    <w:p w:rsidR="000010F8" w:rsidRDefault="002B71AE">
      <w:pPr>
        <w:pStyle w:val="NormalHanging12a"/>
      </w:pPr>
      <w:r>
        <w:t>AE.</w:t>
      </w:r>
      <w:r>
        <w:tab/>
        <w:t>keďže 14. októbra 2024 sa vtedajší vysoký predstaviteľ Únie pre zahraničné veci a bezpečnostnú politiku a britský tajomník zahraničných vecí dohodli na začatí strategic</w:t>
      </w:r>
      <w:r>
        <w:t xml:space="preserve">kých konzultácií o otázkach, ako je ruská útočná vojna proti Ukrajine, indicko-tichomorský región, západný Balkán a hybridné hrozby; </w:t>
      </w:r>
    </w:p>
    <w:p w:rsidR="000010F8" w:rsidRDefault="002B71AE">
      <w:pPr>
        <w:pStyle w:val="NormalHanging12a"/>
      </w:pPr>
      <w:r>
        <w:t>AF.</w:t>
      </w:r>
      <w:r>
        <w:tab/>
        <w:t>keďže všetky agentúry OSN stelesňujú medzinárodný poriadok založený na pravidlách, pretože dodržiavajú a vykonávajú li</w:t>
      </w:r>
      <w:r>
        <w:t>teru aj ducha Charty OSN, ktorú musia dodržiavať všetky členské štáty OSN;</w:t>
      </w:r>
    </w:p>
    <w:p w:rsidR="000010F8" w:rsidRDefault="002B71AE">
      <w:pPr>
        <w:pStyle w:val="NormalHanging12a"/>
      </w:pPr>
      <w:r>
        <w:t>AG.</w:t>
      </w:r>
      <w:r>
        <w:tab/>
        <w:t>keďže dôveryhodnosť a súdržnosť EÚ sú prvoradými podmienkami správneho vykonávania jej vonkajšej činnosti, pretože posilňujú dôveru v EÚ medzi rôznymi subjektmi a krajinami mimo</w:t>
      </w:r>
      <w:r>
        <w:t xml:space="preserve"> EÚ; keďže efektívnosť opatrení EÚ na celom svete je </w:t>
      </w:r>
      <w:r>
        <w:lastRenderedPageBreak/>
        <w:t>podmienená zaistením najvyššej úrovne koordinácie a súdržnosti v rámci vonkajšej činnosti EÚ; keďže by sa mala posilniť koordinácia medzi Komisiou a Európskou službou pre vonkajšiu činnosť (ESVČ) najmä z</w:t>
      </w:r>
      <w:r>
        <w:t xml:space="preserve"> dôvodu nedostatočného prevádzkového rozpočtu ESVČ;</w:t>
      </w:r>
    </w:p>
    <w:p w:rsidR="000010F8" w:rsidRDefault="002B71AE">
      <w:pPr>
        <w:pStyle w:val="NormalHanging12a"/>
      </w:pPr>
      <w:r>
        <w:t>AH.</w:t>
      </w:r>
      <w:r>
        <w:tab/>
        <w:t xml:space="preserve">keďže vykonávanie rodovej rovnosti a programu zameraného na ženy, mier a bezpečnosť si vyžaduje iniciatívy, ktoré podporujú rodovo </w:t>
      </w:r>
      <w:proofErr w:type="spellStart"/>
      <w:r>
        <w:t>responzívne</w:t>
      </w:r>
      <w:proofErr w:type="spellEnd"/>
      <w:r>
        <w:t xml:space="preserve"> vedenie, chránia práva žien a bojujú proti sexuálnemu a r</w:t>
      </w:r>
      <w:r>
        <w:t xml:space="preserve">odovo motivovanému násiliu v konfliktných a </w:t>
      </w:r>
      <w:proofErr w:type="spellStart"/>
      <w:r>
        <w:t>postkonfliktných</w:t>
      </w:r>
      <w:proofErr w:type="spellEnd"/>
      <w:r>
        <w:t xml:space="preserve"> prostrediach; keďže financovanie týchto iniciatív je nevyhnutné na podporu miestnych organizácií občianskej spoločnosti a na poskytovanie podpory zameranej na obete; </w:t>
      </w:r>
    </w:p>
    <w:p w:rsidR="000010F8" w:rsidRDefault="002B71AE">
      <w:pPr>
        <w:pStyle w:val="NormalHanging12a"/>
      </w:pPr>
      <w:r>
        <w:t>AI.</w:t>
      </w:r>
      <w:r>
        <w:tab/>
        <w:t>keďže obhajcovia ľudskýc</w:t>
      </w:r>
      <w:r>
        <w:t>h práv sú hlavnými spojencami EÚ, pokiaľ ide o obranu a podporu ľudských práv v zahraničí; keďže obhajcovia ľudských práv sú čoraz viac vystavení útokom a hrozbám zo strany štátnych a neštátnych aktérov; keďže Európsky parlament neustále vyzýva na riadne a</w:t>
      </w:r>
      <w:r>
        <w:t xml:space="preserve"> koordinované vykonávanie usmernení EÚ o ochrancoch ľudských práv z roku 2008; keďže členské štáty by mali spolu s inštitúciami EÚ vykonávať usmernenia, ktoré zahŕňajú celý rad osobitných záväzkov, ako je pravidelné podávanie správ, koordinácia a opatrenia</w:t>
      </w:r>
      <w:r>
        <w:t xml:space="preserve"> na podporu obhajcov ľudských práv; </w:t>
      </w:r>
    </w:p>
    <w:p w:rsidR="000010F8" w:rsidRDefault="002B71AE">
      <w:pPr>
        <w:pStyle w:val="NormalHanging12a"/>
      </w:pPr>
      <w:r>
        <w:t>AJ.</w:t>
      </w:r>
      <w:r>
        <w:tab/>
        <w:t>keďže dôsledky zmeny klímy budú mať čoraz väčší vplyv na rôzne sféry ľudského života vrátane geopolitického poriadku a svetovej stability; keďže je mimoriadne dôležité, aby sa boj proti zmene klímy, ktorý si vyžaduj</w:t>
      </w:r>
      <w:r>
        <w:t>e opatrenia v tejto oblasti a pomoc tým, ktorých najťažšie zasiahli jej dôsledky, stal jedným zo základom SZBP; zdôrazňuje zásadnú úlohu, ktorú musia Komisia a členské štáty v rámci spoločného prístupu zohrávať pri napredovaní diplomacie v oblasti klímy na</w:t>
      </w:r>
      <w:r>
        <w:t xml:space="preserve"> celom svete;</w:t>
      </w:r>
    </w:p>
    <w:p w:rsidR="000010F8" w:rsidRDefault="002B71AE">
      <w:pPr>
        <w:pStyle w:val="NormalHanging12a"/>
      </w:pPr>
      <w:r>
        <w:t>AK.</w:t>
      </w:r>
      <w:r>
        <w:tab/>
        <w:t xml:space="preserve">keďže v správe s názvom Spoločne vo väčšom bezpečí – Posilnenie civilnej a vojenskej pripravenosti a pohotovosti Európy, ktorú predložil osobitný poradca predsedníčky Európskej komisie </w:t>
      </w:r>
      <w:proofErr w:type="spellStart"/>
      <w:r>
        <w:t>Sauli</w:t>
      </w:r>
      <w:proofErr w:type="spellEnd"/>
      <w:r>
        <w:t xml:space="preserve"> </w:t>
      </w:r>
      <w:proofErr w:type="spellStart"/>
      <w:r>
        <w:t>Niinistö</w:t>
      </w:r>
      <w:proofErr w:type="spellEnd"/>
      <w:r>
        <w:t>, sa uvádzajú strategické odporúčania n</w:t>
      </w:r>
      <w:r>
        <w:t>a posilnenie civilnej a vojenskej pripravenosti Európy vzhľadom na eskalujúce a komplexné bezpečnostné hrozby;</w:t>
      </w:r>
    </w:p>
    <w:p w:rsidR="000010F8" w:rsidRDefault="002B71AE">
      <w:pPr>
        <w:pStyle w:val="NormalHanging12a"/>
      </w:pPr>
      <w:r>
        <w:t>AL.</w:t>
      </w:r>
      <w:r>
        <w:tab/>
        <w:t>keďže v tejto správe sa výročná správa PK/VP o SZBP najprv skúma a následne sa dopĺňa o pozície Európskeho parlamentu k cieľom SZBP v roku 20</w:t>
      </w:r>
      <w:r>
        <w:t>25; keďže správa sa pritom podrobne venuje najmä 1) globálnym dôsledkom útočnej vojny Ruska proti Ukrajine, 2) konfliktu a mieru na Blízkom východe, 3) spolupráci s podobne zmýšľajúcimi partnermi a 4) všeobecnej viditeľnosti a vplyvu činnosti EÚ v zahranič</w:t>
      </w:r>
      <w:r>
        <w:t>í; keďže výhľadovo orientovanú pozíciu Európskeho parlamentu k SZBP napokon podčiarkujú kľúčové požiadavky týkajúce sa nasledujúceho viacročného finančného rámca (ďalej len „VFR“) a parlamentného dohľadu nad VFR; keďže je potrebné brániť a posilňovať medzi</w:t>
      </w:r>
      <w:r>
        <w:t xml:space="preserve">národný poriadok založený na pravidlách, univerzálne normy, hodnoty a zásady Charty OSN, ako sú ľudské práva a medzinárodná spravodlivosť, </w:t>
      </w:r>
      <w:proofErr w:type="spellStart"/>
      <w:r>
        <w:t>multilateralizmus</w:t>
      </w:r>
      <w:proofErr w:type="spellEnd"/>
      <w:r>
        <w:t>, a Helsinský záverečný akt, najmä pokiaľ ide o neporušovanie medzinárodných hraníc;</w:t>
      </w:r>
    </w:p>
    <w:p w:rsidR="000010F8" w:rsidRDefault="002B71AE">
      <w:pPr>
        <w:pStyle w:val="NormalHanging12a"/>
      </w:pPr>
      <w:r>
        <w:t>1.</w:t>
      </w:r>
      <w:r>
        <w:tab/>
        <w:t xml:space="preserve">zdôrazňuje, </w:t>
      </w:r>
      <w:r>
        <w:t>že jeho uznesenia o vykonávaní SZBP sú kľúčovým prvkom jeho príspevku k tvorbe zahraničnej politiky EÚ; zdôrazňuje, že tieto uznesenia poukazujú na praktické dôsledky posilneného práva na kontrolu v oblasti zahraničnej politiky, ktoré Európskemu parlamentu</w:t>
      </w:r>
      <w:r>
        <w:t xml:space="preserve"> udeľuje Lisabonská zmluva; pripomína, že uznesenie z roku </w:t>
      </w:r>
      <w:r>
        <w:lastRenderedPageBreak/>
        <w:t>2024 je prvým svojho druhu v tomto volebnom období a jeho cieľom je slúžiť ako usmernenie pre budúcu výkonnú moc EÚ pri stanovovaní priorít zahraničnej politiky na ďalšie volebné obdobie; zdôrazňuj</w:t>
      </w:r>
      <w:r>
        <w:t>e, že v čoraz nestabilnejšom medzinárodnom prostredí musí EÚ súčasne riešiť mnohé výzvy v oblasti zahraničnej politiky, ktoré ju priamo a nepriamo ovplyvňujú, ako sú prebiehajúca ruská útočná vojna proti Ukrajine, konflikty na Blízkom východe, rastúca konk</w:t>
      </w:r>
      <w:r>
        <w:t>urencia veľkých mocností, neustále pokusy o oslabenie multilaterálneho medzinárodného poriadku založeného na pravidlách a zvýšené prepojenie zahraničných a vnútorných kríz; je pevne presvedčený, že na to, aby EÚ zostala významným aktérom na medzinárodnej s</w:t>
      </w:r>
      <w:r>
        <w:t>céne, musí vykonávať rozhodnú, disciplinovanú a asertívnu zahraničnú politiku, ktorá spĺňa vlastné strategické ciele EÚ a naďalej vymedzuje, presadzuje a obhajuje svoje záujmy vo svete; pripomína, že EÚ by sa vo svojej vonkajšej činnosti mala riadiť hodnot</w:t>
      </w:r>
      <w:r>
        <w:t>ami a zásadami zakotvenými v článku 2, článku 3 ods. 5 a článku 21 Zmluvy o EÚ, ktoré inšpirovali vytvorenie, rozvoj a rozširovanie EÚ, okrem iného zásadami demokracie, právneho štátu, univerzálnosti a nedeliteľnosti ľudských práv a základných slobôd, zach</w:t>
      </w:r>
      <w:r>
        <w:t>ovávania ľudskej dôstojnosti a zásad rovnosti a solidarity; ďalej sa domnieva, že SZBP by mala zabezpečiť vykonávanie Agendy 2030 OSN a cieľov udržateľného rozvoja;</w:t>
      </w:r>
    </w:p>
    <w:p w:rsidR="000010F8" w:rsidRDefault="002B71AE">
      <w:pPr>
        <w:pStyle w:val="NormalHanging12a"/>
      </w:pPr>
      <w:r>
        <w:t>2.</w:t>
      </w:r>
      <w:r>
        <w:tab/>
        <w:t>zdôrazňuje, že základné zásady SZBP EÚ sú zakotvené v neochvejnom záväzku EÚ voči multil</w:t>
      </w:r>
      <w:r>
        <w:t>aterálnemu medzinárodnému poriadku založenému na pravidlách, ktorý je zakotvený v Charte OSN, a v tom, že EÚ jasne uprednostňuje mierovú a diplomatickú spoluprácu medzi všetkými svojimi členskými štátmi; nabáda všetky strany, aby riešili spory prostredníct</w:t>
      </w:r>
      <w:r>
        <w:t>vom dialógu so vzájomným rešpektovaním medzinárodného práva, zvrchovanosti a územnej celistvosti; opätovne potvrdzuje svoje odhodlanie napredovať v celosvetovom mieri a stabilite podporou diplomatických iniciatív zameraných na predchádzanie konfliktom a ri</w:t>
      </w:r>
      <w:r>
        <w:t xml:space="preserve">ešenie sporov, ktoré podporujú medzinárodnú spoluprácu v kľúčových globálnych výzvach, ako sú zmena klímy, ľudské práva a udržateľný hospodársky rozvoj; vyzýva na prebiehajúce partnerstvá s medzinárodnými aktérmi s cieľom zabezpečiť účinnosť celosvetového </w:t>
      </w:r>
      <w:r>
        <w:t>úsilia o udržiavanie a budovanie mieru;</w:t>
      </w:r>
    </w:p>
    <w:p w:rsidR="000010F8" w:rsidRDefault="002B71AE">
      <w:pPr>
        <w:pStyle w:val="NormalHanging12a"/>
        <w:rPr>
          <w:b/>
          <w:i/>
        </w:rPr>
      </w:pPr>
      <w:bookmarkStart w:id="7" w:name="_Hlk144544239"/>
      <w:r>
        <w:rPr>
          <w:b/>
          <w:i/>
        </w:rPr>
        <w:t xml:space="preserve">I. </w:t>
      </w:r>
      <w:bookmarkStart w:id="8" w:name="_Hlk179196202"/>
      <w:r>
        <w:rPr>
          <w:b/>
          <w:bCs/>
          <w:i/>
          <w:iCs/>
        </w:rPr>
        <w:t>Výročná správa PK/VP za rok 2024</w:t>
      </w:r>
      <w:bookmarkEnd w:id="8"/>
    </w:p>
    <w:bookmarkEnd w:id="7"/>
    <w:p w:rsidR="000010F8" w:rsidRDefault="002B71AE">
      <w:pPr>
        <w:pStyle w:val="NormalHanging12a"/>
        <w:ind w:left="570" w:hanging="570"/>
      </w:pPr>
      <w:r>
        <w:t>3.</w:t>
      </w:r>
      <w:r>
        <w:tab/>
        <w:t>konštatuje, že správa bola Európskemu parlamentu predložená 20. júna 2024; pripomína, že správa by mala mať výhľadový charakter; sa nižšie vyjadruje k viacerým zmenám, ktoré PK/</w:t>
      </w:r>
      <w:r>
        <w:t xml:space="preserve">VP zdôraznil vo svojej správe; </w:t>
      </w:r>
    </w:p>
    <w:p w:rsidR="000010F8" w:rsidRDefault="002B71AE">
      <w:pPr>
        <w:pStyle w:val="NormalHanging12a"/>
        <w:ind w:left="570" w:hanging="570"/>
      </w:pPr>
      <w:r>
        <w:t>4.</w:t>
      </w:r>
      <w:r>
        <w:tab/>
        <w:t xml:space="preserve">víta najmä: 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miestne a dynamické občianske spoločnosti v krajinách zapojených do procesu rozširovania, ktoré zohrávajú konštruktívnu úlohu v integračných procesoch EÚ, pričom zdôrazňuje, že občianska spoločnosť má zásad</w:t>
      </w:r>
      <w:r>
        <w:t>ný význam pre podporu demokracie a pluralizmu a podporu dobrej správy vecí verejných, ako aj sociálneho pokroku, a že krajiny zapojené do procesu rozširovania by mali poskytnúť priestor a vhodný rámec spolupráce, aby sa zabezpečilo ich zmysluplné zapojenie</w:t>
      </w:r>
      <w:r>
        <w:t>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úspešné dokončenie procesu preverovania Albánska na konci roka 2023 a otvorenie prvého bloku rokovacích kapitol o základných otázkach a vonkajších vzťahoch (blok 6) v roku 2024; víta ambíciu Albánska čo najskôr uzavrieť prístupové rokovania; zdôrazňuje</w:t>
      </w:r>
      <w:r>
        <w:t xml:space="preserve">, že treba ďalej zintenzívniť reformy s cieľom riešiť pretrvávajúce nedostatky týkajúce sa základných prvkov, najmä právneho </w:t>
      </w:r>
      <w:r>
        <w:lastRenderedPageBreak/>
        <w:t>štátu, boja proti korupcii a proti organizovanému zločinu; varuje pred narúšaním práce nezávislých inštitúcií, ako je Osobitný útva</w:t>
      </w:r>
      <w:r>
        <w:t>r boja proti korupcii a organizovanej trestnej činnosti (SPAK); zdôrazňuje význam životaschopného politického pluralizmu a konkurencieschopnej opozície a vyzýva na dialóg a konštruktívnu spoluprácu medzi väčšinou a opozíciou s cieľom prekonať silnú politic</w:t>
      </w:r>
      <w:r>
        <w:t xml:space="preserve">kú polarizáciu v krajine a podporiť </w:t>
      </w:r>
      <w:proofErr w:type="spellStart"/>
      <w:r>
        <w:t>inkluzívne</w:t>
      </w:r>
      <w:proofErr w:type="spellEnd"/>
      <w:r>
        <w:t xml:space="preserve"> demokratické procesy, ktoré rešpektujú všetky strany vrátane gréckej, rómskej a egyptskej menšiny v krajine; oceňuje dôsledné a úplné zosúladenie krajiny so zahraničnou a bezpečnostnou politikou EÚ vrátane reš</w:t>
      </w:r>
      <w:r>
        <w:t xml:space="preserve">triktívnych opatrení EÚ voči Rusku a Bielorusku; 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rozhodnutie o otvorení prístupových rokovaní s Bosnou a Hercegovinou; nabáda orgány, aby uskutočnili všetky príslušné kroky stanovené v odporúčaní Komisie z 12. októbra 2022; naliehavo vyzýva politických </w:t>
      </w:r>
      <w:r>
        <w:t>lídrov krajiny, aby vykonali rozsiahly súbor reforiem vrátane volebných reforiem v súlade s rozhodnutiami vnútroštátnych a medzinárodných súdov s cieľom zabezpečiť zásady rovnosti a nediskriminácie pre všetkých občanov a štátotvorné národy, ako je zakotven</w:t>
      </w:r>
      <w:r>
        <w:t>é v jej ústave, a pri plnom rešpektovaní rozsudkov vnútroštátnych a medzinárodných súdov vrátane všetkých rozsudkov Európskeho súdu pre ľudské práva týkajúcich sa Bosny a Hercegoviny; odsudzuje opakujúcu sa štvavú rétoriku a separatistické zákony a politik</w:t>
      </w:r>
      <w:r>
        <w:t>y zo strany vedenia Republiky srbskej vrátane osláv neústavného Dňa Republiky srbskej, ktoré sa konali 9. januára 2025; vyzýva členské štáty a zástupcov medzinárodného spoločenstva v Bosne a Hercegovine, aby presadzovali a podporovali vykonávanie týchto ro</w:t>
      </w:r>
      <w:r>
        <w:t xml:space="preserve">zsudkov; berie na vedomie rozsudok súdu Bosny a Hercegoviny vo veci </w:t>
      </w:r>
      <w:proofErr w:type="spellStart"/>
      <w:r>
        <w:t>Milorada</w:t>
      </w:r>
      <w:proofErr w:type="spellEnd"/>
      <w:r>
        <w:t xml:space="preserve"> </w:t>
      </w:r>
      <w:proofErr w:type="spellStart"/>
      <w:r>
        <w:t>Dodika</w:t>
      </w:r>
      <w:proofErr w:type="spellEnd"/>
      <w:r>
        <w:t xml:space="preserve"> z 26. februára 2025 a odsudzuje jeho bezprecedentné útoky na inštitúcie Bosny a Hercegoviny spolu s vedením Srbskej republiky a zastrašovanie opozície v Srbskej republike; </w:t>
      </w:r>
      <w:r>
        <w:t xml:space="preserve">opakovane požaduje cielené sankcie voči destabilizujúcim aktérom v Bosne a Hercegovine, najmä voči </w:t>
      </w:r>
      <w:proofErr w:type="spellStart"/>
      <w:r>
        <w:t>Miloradovi</w:t>
      </w:r>
      <w:proofErr w:type="spellEnd"/>
      <w:r>
        <w:t xml:space="preserve"> </w:t>
      </w:r>
      <w:proofErr w:type="spellStart"/>
      <w:r>
        <w:t>Dodikovi</w:t>
      </w:r>
      <w:proofErr w:type="spellEnd"/>
      <w:r>
        <w:t>, ako aj ďalším vysokopostaveným úradníkom Republiky srbskej a srbským úradníkom, ktorí poskytujú politickú a materiálnu podporu separatis</w:t>
      </w:r>
      <w:r>
        <w:t xml:space="preserve">tickým politikám; schvaľuje vyhlásenie generálneho tajomníka NATO Marka </w:t>
      </w:r>
      <w:proofErr w:type="spellStart"/>
      <w:r>
        <w:t>Rutteho</w:t>
      </w:r>
      <w:proofErr w:type="spellEnd"/>
      <w:r>
        <w:t xml:space="preserve"> z 10. marca 2025 v Sarajeve a vyzýva na dialóg medzi všetkými stranami s cieľom zabezpečiť stabilitu v krajine; vyzýva všetky členské štáty, aby zabezpečili, že tieto sankcie b</w:t>
      </w:r>
      <w:r>
        <w:t xml:space="preserve">ude môcť prijať Rada, a aby ich uložili na bilaterálnej úrovni alebo na základe dohody s ostatnými členskými štátmi, ak ich prijatie v Rade nebude možné; víta dosiahnutú dohodu o predĺžení mandátu ozbrojených síl EÚ v Bosne a Hercegovine v rámci operácie </w:t>
      </w:r>
      <w:proofErr w:type="spellStart"/>
      <w:r>
        <w:t>A</w:t>
      </w:r>
      <w:r>
        <w:t>lthea</w:t>
      </w:r>
      <w:proofErr w:type="spellEnd"/>
      <w:r>
        <w:t xml:space="preserve"> do novembra 2025 a pripomína, že táto misia stále zohráva kľúčovú úlohu v oblasti bezpečnosti a stability Bosny a Hercegoviny; víta príchod rezervných síl operácie EUFOR </w:t>
      </w:r>
      <w:proofErr w:type="spellStart"/>
      <w:r>
        <w:t>Althea</w:t>
      </w:r>
      <w:proofErr w:type="spellEnd"/>
      <w:r>
        <w:t xml:space="preserve">; naliehavo vyzýva vojenskú misiu EÚ, aby aktívne predchádzala nezákonným </w:t>
      </w:r>
      <w:r>
        <w:t xml:space="preserve">pochodom a iným provokáciám, ako aj hrozbám voči všetkým, ktorí pracujú na pomoci obetiam genocídy a investujú do </w:t>
      </w:r>
      <w:proofErr w:type="spellStart"/>
      <w:r>
        <w:t>medzietnického</w:t>
      </w:r>
      <w:proofErr w:type="spellEnd"/>
      <w:r>
        <w:t xml:space="preserve"> zmierenia a mierovej budúcnosti krajiny; vyzýva na nastolenie bezpečnosti v pamätnom centre </w:t>
      </w:r>
      <w:proofErr w:type="spellStart"/>
      <w:r>
        <w:t>Srebrenica-</w:t>
      </w:r>
      <w:r>
        <w:rPr>
          <w:rStyle w:val="Emphasis"/>
          <w:i w:val="0"/>
          <w:shd w:val="clear" w:color="auto" w:fill="FFFFFF"/>
        </w:rPr>
        <w:t>Potočari</w:t>
      </w:r>
      <w:proofErr w:type="spellEnd"/>
      <w:r>
        <w:t>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pokrok v dia</w:t>
      </w:r>
      <w:r>
        <w:t xml:space="preserve">lógu medzi Belehradom a Prištinou, najmä v oblastiach slobody pohybu a energetiky; vyzýva Kosovo a Srbsko, aby sa nepretržite zapájali do tohto dialógu v dobrej viere a v duchu kompromisu s cieľom dosiahnuť komplexnú a právne záväznú dohodu o normalizácii </w:t>
      </w:r>
      <w:r>
        <w:t>svojich vzťahov na základe vzájomného uznania a v súlade s medzinárodným právom a bez ďalšieho odkladu; v tomto kontexte vyjadruje poľutovanie nad nedostatočným pokrokom, pokiaľ ide o realizáciu cesty k normalizácii, a žiada, aby sa vložilo úsilie a kapaci</w:t>
      </w:r>
      <w:r>
        <w:t xml:space="preserve">ty do </w:t>
      </w:r>
      <w:r>
        <w:lastRenderedPageBreak/>
        <w:t>dialógu sprostredkovaného EÚ; zaväzuje sa úzko spolupracovať s odchádzajúcim, ako aj s nastupujúcim osobitným zástupcom EÚ pre dialóg medzi Belehradom a Prištinou a pre iné regionálne otázky západného Balkánu; vyzýva podpredsedníčku Komisie/vysokú pr</w:t>
      </w:r>
      <w:r>
        <w:t>edstaviteľku, aby využila nové funkčné obdobie Komisie na prekonanie patovej situácie a dala nový impulz dialógu a predložila nový, inovačný a vyvážený prístup k mediácii;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</w:r>
      <w:r>
        <w:t>správu o rozšírení o Srbsku za rok 2024, ktorú Komisia predložila 31. októbra 2024; opakuje svoju pozíciu, že prístupové rokovania so Srbskom by mali napredovať len vtedy, ak sa krajina zosúladí so sankciami EÚ voči Rusku a dosiahne významný pokrok v refor</w:t>
      </w:r>
      <w:r>
        <w:t>mách súvisiacich s EÚ, najmä v oblasti základných zásad; pripomína srbským orgánom, že riadne fungovanie demokratických inštitúcií tvorí ústredný prvok procesu pristúpenia Srbska k EÚ a metodiky pristúpenia k EÚ; v tejto súvislosti pripomína svoju pozíciu,</w:t>
      </w:r>
      <w:r>
        <w:t xml:space="preserve"> že srbské parlamentné a miestne voľby, ktoré sa konali 17. decembra 2023, sa odchýlili od medzinárodných noriem a záväzkov Srbska k slobodným a spravodlivým voľbám; opakuje vážne znepokojenie nad týmito nezrovnalosťami a celkovým volebným prostredím, ktor</w:t>
      </w:r>
      <w:r>
        <w:t xml:space="preserve">é sú pod úrovňou štandardov očakávaných od kandidátskej krajiny na členstvo v EÚ; vyzýva politické vedenie Srbska, aby zabezpečilo konštruktívny a </w:t>
      </w:r>
      <w:proofErr w:type="spellStart"/>
      <w:r>
        <w:t>inkluzívny</w:t>
      </w:r>
      <w:proofErr w:type="spellEnd"/>
      <w:r>
        <w:t xml:space="preserve"> dialóg v celom politickom spektre a uskutočnilo potrebné reformy, aby Srbsko mohlo napredovať na c</w:t>
      </w:r>
      <w:r>
        <w:t>este k pristúpeniu k EÚ; pozorne sleduje veľkú mobilizáciu študentov, ku ktorej sa pripojili ďalšie skupiny občanov po tragickom incidente na železničnej stanici Novi Sad; pripomína, že sloboda zhromažďovania je základným právom a presadzuje politiku nulov</w:t>
      </w:r>
      <w:r>
        <w:t xml:space="preserve">ej tolerancie voči násiliu voči pokojným demonštrantom; odsudzuje hlásené prípady šikanóznych útokov na novinárov, </w:t>
      </w:r>
      <w:proofErr w:type="spellStart"/>
      <w:r>
        <w:t>ľudskoprávnych</w:t>
      </w:r>
      <w:proofErr w:type="spellEnd"/>
      <w:r>
        <w:t xml:space="preserve"> aktivistov a organizácie občianskej spoločnosti a ich digitálneho sledovania a obťažovania v Srbsku, z ktorých posledným bola </w:t>
      </w:r>
      <w:r>
        <w:t>policajná razia v štyroch popredných organizáciách občianskej spoločnosti z 25. februára 2025, údajne v súvislosti so zneužívaním finančných prostriedkov poskytnutých agentúrou USAID; vyzýva na dôkladné, nestranné a rýchle vyšetrenie obvinení z násilia voč</w:t>
      </w:r>
      <w:r>
        <w:t>i demonštrantom a z nesprávneho postupu polície počas demonštrácií; vyjadruje solidaritu s účastníkmi pokojných demonštrácií, najmä s účastníkmi demonštrácie z 15. marca 2025, ktorá je najväčším masovým protestom v modernej histórii Srbska; vyjadruje poľut</w:t>
      </w:r>
      <w:r>
        <w:t>ovanie nad zmierlivým prístupom Komisie k Srbsku napriek jeho dlhoročnému obmedzovaniu právneho štátu, demokracie a základných práv, ako aj nad jeho destabilizačným vplyvom na celý región; naliehavo vyzýva Komisiu, a to aj na najvyššej úrovni, aby voči Srb</w:t>
      </w:r>
      <w:r>
        <w:t>sku používala jasnejší jazyk a aby dôsledne riešila jeho závažné nedostatky, nedostatočný pokrok a dokonca zhoršenie situácie, čím sa zachovajú základné hodnoty EÚ;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žiadosť Kosova o členstvo v EÚ a správu o Kosove za rok 2024 a opätovne vyzýva členské št</w:t>
      </w:r>
      <w:r>
        <w:t>áty v Európskej rade, aby poverili Komisiu predložením dotazníka a predložením stanoviska k opodstatnenosti žiadosti krajiny; pripomína, že žiadosť Kosova o to, aby bolo považované za kandidátsku krajinu, sa bude posudzovať na základe jeho vlastných zásluh</w:t>
      </w:r>
      <w:r>
        <w:t xml:space="preserve"> a jeho úspechov pri plnení kodanských kritérií pre členstvo v EÚ; víta však zrušenie vízovej povinnosti pre občanov Kosova; vyjadruje poľutovanie nad reštriktívnymi opatreniami uvalenými Radou voči Kosovu a vyzýva na ich okamžité zrušenie, ako to navrhla </w:t>
      </w:r>
      <w:r>
        <w:t>PK/VP;</w:t>
      </w:r>
    </w:p>
    <w:p w:rsidR="000010F8" w:rsidRDefault="002B71AE">
      <w:pPr>
        <w:pStyle w:val="NormalHanging12a"/>
        <w:ind w:left="1134"/>
      </w:pPr>
      <w:r>
        <w:rPr>
          <w:szCs w:val="24"/>
        </w:rPr>
        <w:lastRenderedPageBreak/>
        <w:t>–</w:t>
      </w:r>
      <w:r>
        <w:tab/>
        <w:t xml:space="preserve">pokrok, ktorý Čierna Hora dosiahla pri plnení predbežných kritérií stanovených v kapitolách 23 a 24 </w:t>
      </w:r>
      <w:proofErr w:type="spellStart"/>
      <w:r>
        <w:rPr>
          <w:i/>
          <w:iCs/>
        </w:rPr>
        <w:t>acquis</w:t>
      </w:r>
      <w:proofErr w:type="spellEnd"/>
      <w:r>
        <w:t xml:space="preserve"> EÚ; nabáda krajinu, aby ďalej dosahovala pokrok v oblasti reforiem súvisiacich s EÚ a urýchlene ich vykonávala; vyjadruje však znepokojenie </w:t>
      </w:r>
      <w:r>
        <w:t>nad kontroverznými myšlienkami o legislatívnych návrhoch o občianstve a zahraničných agentoch, o ktorých sa hovorí na verejnosti; zdôrazňuje, že je dôležité, aby nová vláda bola schopná a odhodlaná pokračovať v reformách súvisiacich s EÚ a udržať Čiernu Ho</w:t>
      </w:r>
      <w:r>
        <w:t>ru pevne na strategickej ceste do EÚ; očakáva, že krajina začne uzatvárať kapitoly v rámci prístupových rokovaní a bude pripravená vstúpiť do EÚ počas najbližších rokov;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úspešné dokončenie procesu preverovania Severného Macedónska na konci roka 2023; </w:t>
      </w:r>
      <w:r>
        <w:t>naliehavo vyzýva vládu Severného Macedónska, aby dosiahla hmatateľné výsledky pri plnení svojich povinností vyplývajúcich z rokovacieho rámca EÚ a záverov zasadnutia Európskej rady z 18. júla 2022</w:t>
      </w:r>
      <w:r>
        <w:rPr>
          <w:b/>
          <w:i/>
        </w:rPr>
        <w:t xml:space="preserve"> </w:t>
      </w:r>
      <w:r>
        <w:t>vrátane príslušných ústavných zmien v súlade so záväzkami k</w:t>
      </w:r>
      <w:r>
        <w:t>rajiny;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úspešné obnovenie dialógu o SZBP medzi EÚ a jej partnermi na západnom Balkáne a význam týchto partnerstiev pre mier a bezpečnosť; pripomína, že rozširovanie EÚ je </w:t>
      </w:r>
      <w:proofErr w:type="spellStart"/>
      <w:r>
        <w:t>geostrategickou</w:t>
      </w:r>
      <w:proofErr w:type="spellEnd"/>
      <w:r>
        <w:t xml:space="preserve"> investíciou, ktorá si vyžaduje záväzok tak zo strany EÚ, ako aj zo </w:t>
      </w:r>
      <w:r>
        <w:t>strany krajín zapojených do procesu rozširovania na ceste k pristúpeniu; v tejto súvislosti pripomína, že sú naďalej potrebné reformy v oblasti právneho štátu, základných práv a verejnej správy a súlad so SZBP, aj to aj pokiaľ ide o sankcie a vízovú politi</w:t>
      </w:r>
      <w:r>
        <w:t xml:space="preserve">ku EÚ; okrem toho zdôrazňuje hrozby, ktoré predstavuje škodlivé zahraničné zasahovanie v regióne, a zdôrazňuje význam boja proti dezinformáciám s cieľom obmedziť protizápadnú a rozdeľujúcu rétoriku, ktorej cieľom je využívať a prehlbovať etnické napätie v </w:t>
      </w:r>
      <w:r>
        <w:t>regióne; varuje pred spoluprácou so systémovými rivalmi EÚ, ktorá by mohla ohroziť prosperujúcu, udržateľnú a bezpečnú budúcnosť, ktorú ponúka pristúpenie k EÚ; v tejto súvislosti pripomína pridanú hodnotu investícií EÚ v rámci Nástroja predvstupovej pomoc</w:t>
      </w:r>
      <w:r>
        <w:t xml:space="preserve">i III, novovytvoreného Nástroja na podporu reforiem a rastu pre západný Balkán a Investičného rámca pre západný Balkán; vyzýva krajiny západného Balkánu, aby využili všetky dostupné zdroje na podporu ich zosúladenia s </w:t>
      </w:r>
      <w:proofErr w:type="spellStart"/>
      <w:r>
        <w:rPr>
          <w:i/>
          <w:iCs/>
        </w:rPr>
        <w:t>acquis</w:t>
      </w:r>
      <w:proofErr w:type="spellEnd"/>
      <w:r>
        <w:t xml:space="preserve"> EÚ; vyzýva komisára pre rozširo</w:t>
      </w:r>
      <w:r>
        <w:t>vanie, aby zviditeľnil pôsobenie EÚ na Balkáne;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rozhodnutie začať prístupové rokovania s Ukrajinou a Moldavskom; oceňuje, že miera zosúladenia Moldavska so SZBP sa výrazne zvýšila z 54 % v roku 2022 na 86 % v roku 2024 a podnecuje Ukrajinu a Moldavsko, a</w:t>
      </w:r>
      <w:r>
        <w:t>by pokračovali v tomto pozitívnom trende smerom k úplnému zosúladeniu; vyzýva na urýchlenie procesu preverovania a včasné usporiadanie následných medzivládnych konferencií;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rozhodnutie Arménska pozastaviť svoju účasť v Organizácii zmluvy o kolektívnej be</w:t>
      </w:r>
      <w:r>
        <w:t>zpečnosti, ukončiť všetky platby do jej rozpočtu v roku 2024 a usilovať sa o spoľahlivejšiu bezpečnostnú architektúru, po tom, čo Rusko nepomohlo Arménsku brániť sa proti vojenskej agresii Azerbajdžanu; podporuje oficiálnu žiadosť Arménska, aby Ruská feder</w:t>
      </w:r>
      <w:r>
        <w:t>ácia stiahla príslušníkov pohraničnej stráže Federálnej bezpečnostnej služby z jeho medzinárodného letiska a z arménsko-iránskej hranice; víta pravidelné stretnutia v rámci politického a bezpečnostného dialógu medzi EÚ a Arménskom a zasadnutia Rady pre par</w:t>
      </w:r>
      <w:r>
        <w:t>tnerstvo medzi EÚ a Arménskom a oceňuje rozhodnutie prijať opatrenia pomoci v rámci EPF na podporu arménskych ozbrojených síl 13. júna a 22. júla 2024;</w:t>
      </w:r>
    </w:p>
    <w:p w:rsidR="000010F8" w:rsidRDefault="002B71AE">
      <w:pPr>
        <w:pStyle w:val="NormalHanging12a"/>
        <w:ind w:left="1134"/>
      </w:pPr>
      <w:r>
        <w:rPr>
          <w:szCs w:val="24"/>
        </w:rPr>
        <w:lastRenderedPageBreak/>
        <w:t>–</w:t>
      </w:r>
      <w:r>
        <w:tab/>
        <w:t>úspešné ukončenie rokovaní medzi Arménskom a Azerbajdžanom o úplnom znení návrhu dohody o mieri a nadv</w:t>
      </w:r>
      <w:r>
        <w:t>iazaní medzištátnych vzťahov; vyjadruje Arménsku uznanie za to, že pripravilo pôdu pre finalizáciu znenia, a naliehavo vyzýva azerbajdžanské vedenie, aby v dobrej viere podpísalo a vykonávalo mierovú dohodu, ako sa dohodlo počas rokovaní; nabáda na ďalší p</w:t>
      </w:r>
      <w:r>
        <w:t xml:space="preserve">okrok v rámci procesu vymedzenia hraníc medzi Arménskom a Azerbajdžanom, ktorý viedol k dohode na viacerých úsekoch hranice a k otvoreniu regionálnych komunikácií na základe zvrchovanosti a jurisdikcie oboch krajín a k reciprocite a rovnosti ako kľúčovému </w:t>
      </w:r>
      <w:r>
        <w:t>opatreniu na odblokovanie regionálneho rozvoja, posilnenie prepojenosti a podporu udržateľného mieru a prosperity, ako aj na uľahčenie zmierenia medzi komunitami na základe intenzívnejších medziľudských kontaktov; opätovne potvrdzuje svoju podporu zvrchova</w:t>
      </w:r>
      <w:r>
        <w:t>nosti a územnej celistvosti Arménska aj Azerbajdžanu a dôrazne podporuje normalizáciu ich vzťahov na základe zásad vzájomného uznávania územnej celistvosti a neporušiteľnosti hraníc v súlade s Vyhlásením z Almaty z roku 1991; opakuje svoju požiadavku na st</w:t>
      </w:r>
      <w:r>
        <w:t>iahnutie azerbajdžanských jednotiek z celého zvrchovaného územia Arménska a na prepustenie 23 zostávajúcich arménskych rukojemníkov;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činnosti civilnej misie Európskej únie v Arménsku (EUMA) v rámci spoločnej bezpečnostnej a obrannej politiky (SBOP), ktor</w:t>
      </w:r>
      <w:r>
        <w:t>á prispieva k bezpečnosti v regióne tým, že podstatne znižuje počet incidentov v oblastiach zasiahnutých konfliktom a pohraničných oblastiach a obmedzuje riziká pre obyvateľstvo žijúce v týchto oblastiach; víta pomoc Arménska pri činnostiach EUMA na jeho ú</w:t>
      </w:r>
      <w:r>
        <w:t>zemí; vyjadruje uznanie Rade za rozhodnutie zvýšiť počet nasadených pozorovateľov, posilniť kapacitu misie a predĺžiť časový rámec jej nasadenia; vyzýva na ďalšie rozšírenie a prítomnosť v regióne; vyzýva Komisiu, aby Arménsku poskytla podporu pri odmínova</w:t>
      </w:r>
      <w:r>
        <w:t>ní;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pokračujúcu prácu ESVČ na riešení problému zahraničnej manipulácie s informáciami a zahraničného zasahovania (FIMI) a boji proti nim pomocou súboru nástrojov FIMI EÚ a zriadenia pracovných skupín STRATCOM v úzkej spolupráci s členskými štátmi, medzin</w:t>
      </w:r>
      <w:r>
        <w:t>árodnými partnermi, občianskou spoločnosťou a inými príslušnými zainteresovanými stranami; pripomína svoju výzvu na podporu nepretržitého toku spravodajských informácií z členských štátov do ESVČ o problémoch v oblasti zahraničnej a bezpečnostnej politiky,</w:t>
      </w:r>
      <w:r>
        <w:t xml:space="preserve"> ku ktorým dochádza mimo EÚ; v tejto súvislosti požaduje posilnenie EU INTCEN, centra ESVČ pre reakcie na krízy a Satelitného centra EÚ zvýšením ich personálu, finančných zdrojov, ako aj spôsobilostí;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víta návrh PK/VP o protikorupčnom sankčnom režime, kt</w:t>
      </w:r>
      <w:r>
        <w:t>orý by EÚ umožnil zamerať sa na závažné korupčné činy na celom svete; žiada Radu o jeho urýchlené prijatie;</w:t>
      </w:r>
    </w:p>
    <w:p w:rsidR="000010F8" w:rsidRDefault="002B71AE">
      <w:pPr>
        <w:pStyle w:val="NormalHanging12a"/>
      </w:pPr>
      <w:r>
        <w:t>5.</w:t>
      </w:r>
      <w:r>
        <w:tab/>
        <w:t>odsudzuje najmä: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prebiehajúcu nezákonnú a neospravedlniteľnú útočnú vojnu Ruska proti Ukrajine a čoraz častejšie ruské útoky na civilné ciele a</w:t>
      </w:r>
      <w:r>
        <w:t xml:space="preserve"> civilnú infraštruktúru na Ukrajine; žiada, aby Rusko a jeho zástupné sily ukončili všetky vojenské operácie a aby Ruská federácia okamžite a bezpodmienečne stiahlo svoje jednotky a vybavenie z Ukrajiny a ktorejkoľvek inej krajiny, ktorej územie alebo jeho</w:t>
      </w:r>
      <w:r>
        <w:t xml:space="preserve"> časti nezákonne okupuje; opakuje svoju politiku, že neuznáva územia Ukrajiny dočasne </w:t>
      </w:r>
      <w:r>
        <w:lastRenderedPageBreak/>
        <w:t>okupované Ruskom, okrem iného vrátane Krymského polostrova; odsudzuje všetky hybridné útoky Ruska na Ukrajine a dôrazne odmieta šírenie ruskej propagandy o vojne na Ukraj</w:t>
      </w:r>
      <w:r>
        <w:t>ine;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úlohu nezákonného režimu Alexandra Lukašenka pri povolení toho, aby krajina slúžila ako vojenská základňa Ruska, praktickom odovzdaní štátnej suverenity Kremľu pri súčasnom brutálnom útlaku bieloruského ľudu s cieľom udržať sa pri moci v Bielorusku;</w:t>
      </w:r>
      <w:r>
        <w:t xml:space="preserve"> vyjadruje poľutovanie nad tým, že pred zinscenovanými voľbami 26. januára 2025 došlo k závažnému porušovaniu ľudských práv; je znepokojený </w:t>
      </w:r>
      <w:proofErr w:type="spellStart"/>
      <w:r>
        <w:t>inštrumentalizáciou</w:t>
      </w:r>
      <w:proofErr w:type="spellEnd"/>
      <w:r>
        <w:t xml:space="preserve"> migrácie zo strany Putinovho a</w:t>
      </w:r>
      <w:r>
        <w:rPr>
          <w:b/>
          <w:i/>
        </w:rPr>
        <w:t xml:space="preserve"> </w:t>
      </w:r>
      <w:proofErr w:type="spellStart"/>
      <w:r>
        <w:t>Lukašenkovho</w:t>
      </w:r>
      <w:proofErr w:type="spellEnd"/>
      <w:r>
        <w:t xml:space="preserve"> režimu, najmä vzhľadom na prílev tisícov migrantov d</w:t>
      </w:r>
      <w:r>
        <w:t xml:space="preserve">o Poľska, Litvy a Lotyšska, ktorý Rusko a Bielorusko organizujú s cieľom vynútiť ich vstup do EÚ; vyjadruje poľutovanie nad politickou </w:t>
      </w:r>
      <w:proofErr w:type="spellStart"/>
      <w:r>
        <w:t>inštrumentalizáciou</w:t>
      </w:r>
      <w:proofErr w:type="spellEnd"/>
      <w:r>
        <w:t xml:space="preserve"> migrácie Putinovým režimom, ktorá viedla k uzavretiu fínskej hranice s Ruskom;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nelegálne zapojenie </w:t>
      </w:r>
      <w:r>
        <w:t>Severnej Kórey do ruskej útočnej vojny proti Ukrajine zaslaním vojenského vybavenia a munície do Ruska, ako aj vyslaním tisícov vojakov do bojov vo vojne proti Ukrajine;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pokračujúce testovanie zbraní Severnou Kóreou a vývoj jej jadrového programu v rozpo</w:t>
      </w:r>
      <w:r>
        <w:t>re s rezolúciou OSN, čím sa ešte viac stupňuje napätie v indicko-tichomorskom regióne; vyzýva Severnú Kóreu, aby úplne, overiteľne a nezvratne zastavila svoje programy v oblasti zbraní hromadného ničenia a balistických rakiet; naliehavo vyzýva Severnú Kóre</w:t>
      </w:r>
      <w:r>
        <w:t>u, aby zastavila pokračujúce zločiny proti ľudskosti a uskutočnila reformný proces, v rámci ktorého sa budú dodržiavať a chrániť všetky ľudské práva;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narastajúce škodlivé činnosti, zasahovanie a hybridnú vojnu, ktoré Ruská federácia, jej inštitúcie a zás</w:t>
      </w:r>
      <w:r>
        <w:t>tupcovia nasadzujú s úmyslom narušiť a rozvrátiť demokratickú stabilitu a zvrchovanosť Gruzínska a Moldavskej republiky, a najmä nedávneho zasahovania do ústavného referenda o pristúpení k EÚ a do prezidentských volieb;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útok na </w:t>
      </w:r>
      <w:proofErr w:type="spellStart"/>
      <w:r>
        <w:t>kosovských</w:t>
      </w:r>
      <w:proofErr w:type="spellEnd"/>
      <w:r>
        <w:t xml:space="preserve"> policajtov zo s</w:t>
      </w:r>
      <w:r>
        <w:t xml:space="preserve">trany dobre organizovaných srbských príslušníkov polovojenských síl v obci </w:t>
      </w:r>
      <w:proofErr w:type="spellStart"/>
      <w:r>
        <w:t>Banjska</w:t>
      </w:r>
      <w:proofErr w:type="spellEnd"/>
      <w:r>
        <w:t>/</w:t>
      </w:r>
      <w:proofErr w:type="spellStart"/>
      <w:r>
        <w:t>Banjskë</w:t>
      </w:r>
      <w:proofErr w:type="spellEnd"/>
      <w:r>
        <w:t xml:space="preserve"> na severe Kosova 24. septembra 2023, ktorého výsledkom bola smrť </w:t>
      </w:r>
      <w:proofErr w:type="spellStart"/>
      <w:r>
        <w:t>kosovského</w:t>
      </w:r>
      <w:proofErr w:type="spellEnd"/>
      <w:r>
        <w:t xml:space="preserve"> policajta </w:t>
      </w:r>
      <w:proofErr w:type="spellStart"/>
      <w:r>
        <w:t>Afrima</w:t>
      </w:r>
      <w:proofErr w:type="spellEnd"/>
      <w:r>
        <w:t xml:space="preserve"> </w:t>
      </w:r>
      <w:proofErr w:type="spellStart"/>
      <w:r>
        <w:t>Bunjakua</w:t>
      </w:r>
      <w:proofErr w:type="spellEnd"/>
      <w:r>
        <w:t xml:space="preserve"> a zranenie ďalších dvoch </w:t>
      </w:r>
      <w:proofErr w:type="spellStart"/>
      <w:r>
        <w:t>kosovských</w:t>
      </w:r>
      <w:proofErr w:type="spellEnd"/>
      <w:r>
        <w:t xml:space="preserve"> policajtov; odsudzuje ohavn</w:t>
      </w:r>
      <w:r>
        <w:t xml:space="preserve">ý teroristický útok na kritickú infraštruktúru v blízkosti mesta </w:t>
      </w:r>
      <w:proofErr w:type="spellStart"/>
      <w:r>
        <w:t>Zubin</w:t>
      </w:r>
      <w:proofErr w:type="spellEnd"/>
      <w:r>
        <w:t xml:space="preserve"> Potok; zdôrazňuje, že páchatelia týchto poľutovaniahodných útokov musia byť bezodkladne vzatí na zodpovednosť a postavení pred súd;</w:t>
      </w:r>
    </w:p>
    <w:p w:rsidR="000010F8" w:rsidRDefault="002B71AE">
      <w:pPr>
        <w:pStyle w:val="NormalHanging12a"/>
        <w:ind w:left="1134"/>
      </w:pPr>
      <w:r>
        <w:t>–</w:t>
      </w:r>
      <w:r>
        <w:tab/>
        <w:t>pokračujúcu okupáciu 37 % územia Cypru, ktorý je čl</w:t>
      </w:r>
      <w:r>
        <w:t>enským štátom EÚ, Tureckom ako členom NATO, ktorá je podľa medzinárodného práva nezákonná;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brutálne a nerozlišujúce teroristické útoky, ktoré </w:t>
      </w:r>
      <w:proofErr w:type="spellStart"/>
      <w:r>
        <w:t>Hamas</w:t>
      </w:r>
      <w:proofErr w:type="spellEnd"/>
      <w:r>
        <w:t xml:space="preserve"> spáchal v Izraeli 7. októbra 2023 a ktoré vyvolali vojenskú reakciu Izraela a konflikt v Gaze, ktorý má zn</w:t>
      </w:r>
      <w:r>
        <w:t>ičujúci dosah na civilistov a spôsobil katastrofálnu humanitárnu situáciu;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skutočnosť, že </w:t>
      </w:r>
      <w:proofErr w:type="spellStart"/>
      <w:r>
        <w:t>Hamas</w:t>
      </w:r>
      <w:proofErr w:type="spellEnd"/>
      <w:r>
        <w:t xml:space="preserve"> zajal a stále zadržiava nevinných ľudí vrátane žien a detí ako rukojemníkov, a vyzýva na bezpodmienečné a okamžité prepustenie rukojemníkov;</w:t>
      </w:r>
    </w:p>
    <w:p w:rsidR="000010F8" w:rsidRDefault="002B71AE">
      <w:pPr>
        <w:pStyle w:val="NormalHanging12a"/>
        <w:ind w:left="1134"/>
      </w:pPr>
      <w:r>
        <w:rPr>
          <w:szCs w:val="24"/>
        </w:rPr>
        <w:lastRenderedPageBreak/>
        <w:t>–</w:t>
      </w:r>
      <w:r>
        <w:tab/>
        <w:t>úmyselné a škod</w:t>
      </w:r>
      <w:r>
        <w:t xml:space="preserve">livé zhoršovanie mimoriadne napätej situácie prostredníctvom opakovaných útokov proti Izraelu od 7. októbra 2023 zo strany štátnych a neštátnych aktérov v regióne, pričom hlavným podnecovateľom je Irán a </w:t>
      </w:r>
      <w:proofErr w:type="spellStart"/>
      <w:r>
        <w:t>Husíovia</w:t>
      </w:r>
      <w:proofErr w:type="spellEnd"/>
      <w:r>
        <w:t xml:space="preserve"> v Jemene a </w:t>
      </w:r>
      <w:proofErr w:type="spellStart"/>
      <w:r>
        <w:t>Hizballáh</w:t>
      </w:r>
      <w:proofErr w:type="spellEnd"/>
      <w:r>
        <w:t xml:space="preserve"> v Libanone patria medz</w:t>
      </w:r>
      <w:r>
        <w:t>i jeho zástupcov;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trvalé nedodržiavanie zo strany Iránu právnych záväzkov v oblasti ochranných opatrení vyplývajúce z Dohody o komplexných bezpečnostných zárukách a zo záväzkov podľa Spoločného komplexného akčného plánu (JCPOA), ďalej odsudzuje pokračova</w:t>
      </w:r>
      <w:r>
        <w:t>nie jeho jadrového programu, pre ktoré neexistuje žiadne dôveryhodné civilné opodstatnenie, a destabilizáciu Blízkeho východu aj prostredníctvom zástupcov, ako sú útoky na Izrael a sponzorovanie terorizmu a občianskych konfliktov; útoky, ktoré v rámci EÚ s</w:t>
      </w:r>
      <w:r>
        <w:t xml:space="preserve">páchali alebo sa o </w:t>
      </w:r>
      <w:proofErr w:type="spellStart"/>
      <w:r>
        <w:t>ne</w:t>
      </w:r>
      <w:proofErr w:type="spellEnd"/>
      <w:r>
        <w:t xml:space="preserve"> pokúsili teroristické organizácie a siete pridružené k Iránu;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neoprávnené zadržiavanie európskych občanov v Iráne, popravu európskeho občana s dvojitou nemecko-iránskou štátnou príslušnosťou </w:t>
      </w:r>
      <w:proofErr w:type="spellStart"/>
      <w:r>
        <w:t>Jamshida</w:t>
      </w:r>
      <w:proofErr w:type="spellEnd"/>
      <w:r>
        <w:t xml:space="preserve"> </w:t>
      </w:r>
      <w:proofErr w:type="spellStart"/>
      <w:r>
        <w:t>Sharmahda</w:t>
      </w:r>
      <w:proofErr w:type="spellEnd"/>
      <w:r>
        <w:t xml:space="preserve"> 29. októbra 2024 a bru</w:t>
      </w:r>
      <w:r>
        <w:t>tálny útlak iránskeho ľudu, najmä žien; opakuje svoju neochvejnú podporu iránskym ženám, ktoré sú dva roky po brutálnom potlačení hnutia Ženy, život, sloboda stále vystavované hrubému porušovaniu svojich základných práv; naliehavo vyzýva PK/VP, aby urobila</w:t>
      </w:r>
      <w:r>
        <w:t xml:space="preserve"> všetko pre oslobodenie týchto občanov a ukončenie praxe </w:t>
      </w:r>
      <w:proofErr w:type="spellStart"/>
      <w:r>
        <w:t>rukojemníckej</w:t>
      </w:r>
      <w:proofErr w:type="spellEnd"/>
      <w:r>
        <w:t xml:space="preserve"> diplomacie Iránu, pri ktorej sú zadržiavaní zahraniční civilisti a štátni príslušníci s dvojitým občianstvom, vrátane nabádania členských štátov, aby odporučili svojim občanom zdržať sa</w:t>
      </w:r>
      <w:r>
        <w:t xml:space="preserve"> cestovania do Iránu;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rastúcu vojenskú spoluprácu medzi Iránom a Ruskom, najmä zámer podpísať zmluvu o komplexnom strategickom partnerstve, a poskytovanie bezpilotných vzdušných prostriedkov a balistických rakiet z Iránu Rusku na použitie proti Ukrajine </w:t>
      </w:r>
      <w:r>
        <w:t>a jej ľudu;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nedávne prijatie tzv. zákona o podpore cnosti a prevencii neresti v Afganistane, ako aj systematické porušovanie ľudských práv a základných slobôd, najmä extrémny výklad práva </w:t>
      </w:r>
      <w:proofErr w:type="spellStart"/>
      <w:r>
        <w:t>šaría</w:t>
      </w:r>
      <w:proofErr w:type="spellEnd"/>
      <w:r>
        <w:t>, podľa ktorého sú ženy vylúčené z verejného života, zakazuje</w:t>
      </w:r>
      <w:r>
        <w:t xml:space="preserve"> sa im pracovať, bráni sa im v prístupe na verejné miesta bez sprievodu mužského príbuzného a k vzdelávaniu vo vyšších ročníkoch, ako je 6. ročník, čo sa v podstate rovná rodovému apartheidu; žiada afganské de </w:t>
      </w:r>
      <w:proofErr w:type="spellStart"/>
      <w:r>
        <w:t>facto</w:t>
      </w:r>
      <w:proofErr w:type="spellEnd"/>
      <w:r>
        <w:t xml:space="preserve"> orgány, aby zrušili všetky rodovo motivo</w:t>
      </w:r>
      <w:r>
        <w:t xml:space="preserve">vané obmedzenia týkajúce sa žien, a zdôrazňuje, že to musí byť kľúčovou podmienkou akejkoľvek spolupráce medzinárodného spoločenstva s Talibanom; trvá na udržiavaní spolupráce s Talibanom za prísnych podmienok na základe piatich kritérií stanovených Radou </w:t>
      </w:r>
      <w:r>
        <w:t xml:space="preserve">pre spoluprácu s de </w:t>
      </w:r>
      <w:proofErr w:type="spellStart"/>
      <w:r>
        <w:t>facto</w:t>
      </w:r>
      <w:proofErr w:type="spellEnd"/>
      <w:r>
        <w:t xml:space="preserve"> orgánmi krajiny a na vyvodení zodpovednosti voči páchateľom tohto závažného porušovania práv dievčat a žien vrátane uvalenia reštriktívnych opatrení;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rastúci rozsah a intenzitu operácií vrátane kybernetických útokov a zahraničné</w:t>
      </w:r>
      <w:r>
        <w:t>ho manipulovania s informáciami zo strany čínskej vlády, ako aj plavidiel a lietadiel, ktoré sa usilujú zastrašiť susedov Číny, narúšajú mier a stabilitu v Taiwanskom prielive a okolitých medzinárodných vodách a bránia právam všetkých ostatných strán na sl</w:t>
      </w:r>
      <w:r>
        <w:t xml:space="preserve">obodu plavby; dôrazne odsudzuje vyhlásenia čínskeho prezidenta, že Čínska ľudová republika sa nikdy nezriekne práva používať silu vo vzťahu k Taiwanu, a trvá na tom, že používanie donucovacích opatrení na dosiahnutie </w:t>
      </w:r>
      <w:r>
        <w:lastRenderedPageBreak/>
        <w:t>zjednotenia je v rozpore s medzinárodný</w:t>
      </w:r>
      <w:r>
        <w:t xml:space="preserve">m právom; 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systém nútenej práce pod vedením vlády a pretrvávajúce porušovanie ľudských práv, najmä systematické represie voči </w:t>
      </w:r>
      <w:proofErr w:type="spellStart"/>
      <w:r>
        <w:t>Ujgurom</w:t>
      </w:r>
      <w:proofErr w:type="spellEnd"/>
      <w:r>
        <w:t xml:space="preserve"> v provincii Sin-</w:t>
      </w:r>
      <w:proofErr w:type="spellStart"/>
      <w:r>
        <w:t>ťiang</w:t>
      </w:r>
      <w:proofErr w:type="spellEnd"/>
      <w:r>
        <w:t>; so znepokojením vníma intenzívny zásah proti etnickým menšinám v Tibete, Hongkongu a Macau a nadn</w:t>
      </w:r>
      <w:r>
        <w:t xml:space="preserve">árodné represie voči čínskym disidentom, ako aj pretrvávajúcu prítomnosť príslušníkov čínskej polície na území EÚ; vzal na vedomie a odsudzuje skutočnosť, že Čínska ľudová republika (ČĽR) nevykonala odporúčania Úradu vysokého komisára OSN pre ľudské práva </w:t>
      </w:r>
      <w:r>
        <w:t xml:space="preserve">(OHCHR); žiada ČĽR, aby umožnila OHCHR nezávislý prístup do </w:t>
      </w:r>
      <w:proofErr w:type="spellStart"/>
      <w:r>
        <w:rPr>
          <w:rStyle w:val="Emphasis"/>
          <w:shd w:val="clear" w:color="auto" w:fill="FFFFFF"/>
        </w:rPr>
        <w:t>Ujgurskej</w:t>
      </w:r>
      <w:proofErr w:type="spellEnd"/>
      <w:r>
        <w:rPr>
          <w:rStyle w:val="Emphasis"/>
          <w:shd w:val="clear" w:color="auto" w:fill="FFFFFF"/>
        </w:rPr>
        <w:t xml:space="preserve"> autonómnej oblasti Sin-</w:t>
      </w:r>
      <w:proofErr w:type="spellStart"/>
      <w:r>
        <w:rPr>
          <w:rStyle w:val="Emphasis"/>
          <w:shd w:val="clear" w:color="auto" w:fill="FFFFFF"/>
        </w:rPr>
        <w:t>ťiang</w:t>
      </w:r>
      <w:proofErr w:type="spellEnd"/>
      <w:r>
        <w:t xml:space="preserve">, a vyzýva OHCHR, aby poskytol komplexné aktuálne informácie o situácii a akčný plán na vyvodenie zodpovednosti voči ČĽR; vyzýva všetky členské štáty EÚ, aby </w:t>
      </w:r>
      <w:r>
        <w:t>pozastavili zmluvy o vydávaní s Hongkongom a ČĽR a aby chránili osoby, ktoré sú obťažované a prenasledované;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zhoršenie stability v regióne Sahel, ktoré ešte zhoršili početné vojenské prevraty v regióne v posledných rokoch; pripomína, že stabilita v </w:t>
      </w:r>
      <w:r>
        <w:t>regióne Sahel má priamy vplyv na bezpečnosť vonkajších hraníc Európy, ako aj na riadenie migračných tokov z afrického kontinentu; zdôrazňuje, že EÚ by mala urýchlene preskúmať svoju regionálnu stratégiu pre Sahel;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štátne prevraty v Burkine Faso a Nigeri,</w:t>
      </w:r>
      <w:r>
        <w:t xml:space="preserve"> kde bol zadržaný prezident </w:t>
      </w:r>
      <w:proofErr w:type="spellStart"/>
      <w:r>
        <w:t>Bazoum</w:t>
      </w:r>
      <w:proofErr w:type="spellEnd"/>
      <w:r>
        <w:t xml:space="preserve"> a pozastavená platnosť ústavy; je stále viac znepokojený rozhodnutím vojenských režimov v strednej časti regiónu Sahel v Burkine Faso, Mali a Nigeri opustiť Hospodárske spoločenstvo západoafrických štátov (ECOWAS), v dôsl</w:t>
      </w:r>
      <w:r>
        <w:t>edku čoho sa ECOWAS ocitlo v hlbokej politickej kríze; okrem toho odsudzuje fyzický útok na poslanca parlamentu ECOWAS a ďalších účastníkov oficiálne ohláseného opozičného zhromaždenia v Lomé 29. septembra 2024; vyzýva togské orgány, aby zabezpečili presad</w:t>
      </w:r>
      <w:r>
        <w:t>zovanie a ochranu základných zásad ľudských práv a práv národov zakotvených v článku 4 revidovanej zmluvy ECOWAS, ako sú právo na pokojné zhromažďovanie a sloboda združovania, viery a prejavu; vyzýva orgány ECOWAS a jeho členské štáty, aby podporovali úsil</w:t>
      </w:r>
      <w:r>
        <w:t xml:space="preserve">ie potrebné na ochranu zásad Africkej charty ľudských práv a práv národov v celom subregióne; berie na vedomie de </w:t>
      </w:r>
      <w:proofErr w:type="spellStart"/>
      <w:r>
        <w:t>facto</w:t>
      </w:r>
      <w:proofErr w:type="spellEnd"/>
      <w:r>
        <w:t xml:space="preserve"> ukončenie vojenskej partnerskej misie Európskej únie v Nigeri (EUMPM Niger) a misie v rámci SBOP v Nigeri (EUCAP Sahel Niger) a neobnove</w:t>
      </w:r>
      <w:r>
        <w:t>nie vojenskej misie Európskej únie na podporu výcviku ozbrojených síl Mali (EUTM); so znepokojením konštatuje, že Rusko zintenzívnilo rozvoj medzištátnych vzťahov a iniciatív spolupráce s africkými štátmi prostredníctvom vojenskej spolupráce a záväzku spol</w:t>
      </w:r>
      <w:r>
        <w:t xml:space="preserve">upracovať na rozvoji jadrovej energie; odsudzuje nárast teroristických útokov a veľké straty civilistov v regióne Sahel, ako aj prítomnosť a predátorské aktivity ruských polovojenských zoskupení, ktoré viedli k vysídleniu obyvateľstva a prílevu utečencov, </w:t>
      </w:r>
      <w:r>
        <w:t xml:space="preserve">a to aj v dôsledku nestability v regióne; odsudzuje skutočnosť, že voľný priestor, ktorý zanechali príslušníci mierových jednotiek OSN oblasť, zaplnili žoldnieri Wagnerovej skupiny, ruská a turecká armáda, ktorých priemysel dodáva zbrane do hlavných miest </w:t>
      </w:r>
      <w:r>
        <w:t>Sahelu;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občiansku vojnu v Sudáne, ničivé dôsledky pre civilné obyvateľstvo, zverstvá spáchané na nich, a najmä odsúdeniahodné rozsiahle využívanie znásilnenia ako vojnovej zbrane;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taktické a technické obmedzenia na poslednú chvíľu, ktoré uvalili orgány</w:t>
      </w:r>
      <w:r>
        <w:t xml:space="preserve"> </w:t>
      </w:r>
      <w:r>
        <w:lastRenderedPageBreak/>
        <w:t xml:space="preserve">Konžskej demokratickej republiky (KDR), ktoré zabránili volebnej pozorovateľskej misii EÚ monitorovať prezidentské voľby; odsudzuje násilie páchané vzbúreneckým hnutím M23 podporovaným z Rwandy, ktoré destabilizuje východnú časť KDR; požaduje preskúmanie </w:t>
      </w:r>
      <w:r>
        <w:t>stratégie EÚ pre oblasť Veľkých jazier;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autoritársky režim Daniela </w:t>
      </w:r>
      <w:proofErr w:type="spellStart"/>
      <w:r>
        <w:t>Ortegu</w:t>
      </w:r>
      <w:proofErr w:type="spellEnd"/>
      <w:r>
        <w:t xml:space="preserve"> a </w:t>
      </w:r>
      <w:proofErr w:type="spellStart"/>
      <w:r>
        <w:t>Rosario</w:t>
      </w:r>
      <w:proofErr w:type="spellEnd"/>
      <w:r>
        <w:t xml:space="preserve"> </w:t>
      </w:r>
      <w:proofErr w:type="spellStart"/>
      <w:r>
        <w:t>Murillovej</w:t>
      </w:r>
      <w:proofErr w:type="spellEnd"/>
      <w:r>
        <w:t>, ktorí systematicky rozvracajú demokratické štruktúry Nikaraguy; pripomína, že režim v Nikarague udržiava pevné väzby s inými autokraciami, ako sú Irán, Venezu</w:t>
      </w:r>
      <w:r>
        <w:t xml:space="preserve">ela a Kuba; odsudzuje systematické porušovanie ľudských práv, ktorého sa dopúšťa kubánsky režim; dôrazne odsudzuje a plne odmieta volebný podvod zinscenovaný režimom vo Venezuele a žiada </w:t>
      </w:r>
      <w:proofErr w:type="spellStart"/>
      <w:r>
        <w:t>Madurovu</w:t>
      </w:r>
      <w:proofErr w:type="spellEnd"/>
      <w:r>
        <w:t xml:space="preserve"> vládu, aby skoncovala s politikou represií a útokov proti ob</w:t>
      </w:r>
      <w:r>
        <w:t xml:space="preserve">čianskej spoločnosti a opozícii; pripomína, že 19. septembra 2024 Európsky parlament uznal Edmunda </w:t>
      </w:r>
      <w:proofErr w:type="spellStart"/>
      <w:r>
        <w:t>Gonzáleza</w:t>
      </w:r>
      <w:proofErr w:type="spellEnd"/>
      <w:r>
        <w:t xml:space="preserve"> </w:t>
      </w:r>
      <w:proofErr w:type="spellStart"/>
      <w:r>
        <w:t>Urrutiu</w:t>
      </w:r>
      <w:proofErr w:type="spellEnd"/>
      <w:r>
        <w:t xml:space="preserve"> za legitímneho a demokraticky zvoleného prezidenta Venezuely a </w:t>
      </w:r>
      <w:proofErr w:type="spellStart"/>
      <w:r>
        <w:t>Maríu</w:t>
      </w:r>
      <w:proofErr w:type="spellEnd"/>
      <w:r>
        <w:t xml:space="preserve"> </w:t>
      </w:r>
      <w:proofErr w:type="spellStart"/>
      <w:r>
        <w:t>Corinu</w:t>
      </w:r>
      <w:proofErr w:type="spellEnd"/>
      <w:r>
        <w:t xml:space="preserve"> </w:t>
      </w:r>
      <w:proofErr w:type="spellStart"/>
      <w:r>
        <w:t>Machadovú</w:t>
      </w:r>
      <w:proofErr w:type="spellEnd"/>
      <w:r>
        <w:t xml:space="preserve"> za vedúcu predstaviteľku venezuelských demokratických</w:t>
      </w:r>
      <w:r>
        <w:t xml:space="preserve"> síl; zdôrazňuje, že rôzne demokratické štáty v regióne a na celom svete uznali </w:t>
      </w:r>
      <w:proofErr w:type="spellStart"/>
      <w:r>
        <w:t>Gonzáleza</w:t>
      </w:r>
      <w:proofErr w:type="spellEnd"/>
      <w:r>
        <w:t xml:space="preserve"> za zvoleného prezidenta; pripomína, že 10. januára 2025 mal zložiť prezidentský sľub; vyjadruje uspokojenie, že Európsky parlament 17. decembra 2024 udelil </w:t>
      </w:r>
      <w:proofErr w:type="spellStart"/>
      <w:r>
        <w:t>Sacharovov</w:t>
      </w:r>
      <w:r>
        <w:t>u</w:t>
      </w:r>
      <w:proofErr w:type="spellEnd"/>
      <w:r>
        <w:t xml:space="preserve"> cenu za slobodu myslenia za rok 2024 vedúcej predstaviteľke demokratických síl vo Venezuele </w:t>
      </w:r>
      <w:proofErr w:type="spellStart"/>
      <w:r>
        <w:t>Maríi</w:t>
      </w:r>
      <w:proofErr w:type="spellEnd"/>
      <w:r>
        <w:t xml:space="preserve"> </w:t>
      </w:r>
      <w:proofErr w:type="spellStart"/>
      <w:r>
        <w:t>Corine</w:t>
      </w:r>
      <w:proofErr w:type="spellEnd"/>
      <w:r>
        <w:t xml:space="preserve"> </w:t>
      </w:r>
      <w:proofErr w:type="spellStart"/>
      <w:r>
        <w:t>Machadovej</w:t>
      </w:r>
      <w:proofErr w:type="spellEnd"/>
      <w:r>
        <w:t xml:space="preserve"> a novozvolenému prezidentovi Edmundovi </w:t>
      </w:r>
      <w:proofErr w:type="spellStart"/>
      <w:r>
        <w:t>Gonzálezovi</w:t>
      </w:r>
      <w:proofErr w:type="spellEnd"/>
      <w:r>
        <w:t xml:space="preserve"> </w:t>
      </w:r>
      <w:proofErr w:type="spellStart"/>
      <w:r>
        <w:t>Urrutiaovi</w:t>
      </w:r>
      <w:proofErr w:type="spellEnd"/>
      <w:r>
        <w:t xml:space="preserve"> ako zástupcom všetkých Venezuelčanov, ktorí vo svojej vlasti i v zahraničí b</w:t>
      </w:r>
      <w:r>
        <w:t>ojujú za obnovu slobody a demokracie;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zamestnávanie „kubánskej lekárskej brigády“ v niektorých európskych krajinách ako forma potláčania základných práv a slobôd a forma otroctva a nútenej práce; 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riziko kolapsu štátnych štruktúr a zložitú humanitárnu </w:t>
      </w:r>
      <w:r>
        <w:t>situáciu na Haiti v dôsledku rastúceho násilia gangov;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skutočnosť, že ČĽR, Rusko, Irán a iné totalitné alebo autoritárske režimy využívajú manipuláciu s informáciami a škodlivé zasahovanie ako integrálne nástroje na vyvíjanie tlaku na multilaterálne inšt</w:t>
      </w:r>
      <w:r>
        <w:t>itúcie a demokratické hodnoty a normy, na zneužívanie moci, na zvýšenie výskytu a závažnosti porušovania ľudských práv, na zúženie priestoru pre občiansku spoločnosť, nezávislé médiá a demokratické opozičné hnutia, na šírenie protizápadných dezinformácií a</w:t>
      </w:r>
      <w:r>
        <w:t xml:space="preserve"> prostredníctvom rôznych foriem nadnárodnej represie na zastrašovanie a obmedzovanie priestoru pre občiansku spoločnosť, nezávislé médiá a demokratické opozičné hnutia v diaspóre;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rastúce útoky, obťažovanie, svojvoľné zadržiavanie, mučenie a zabíjanie ob</w:t>
      </w:r>
      <w:r>
        <w:t>hajcov ľudských práv na celom svete, najmä tých, ktorí sa zasadzujú za environmentálne práva, práva domorodého obyvateľstva, práva žien, práva LGBTQI+ a protikorupčné práva; ďalej berie na vedomie čoraz sofistikovanejšiu taktiku štátnych a neštátnych subje</w:t>
      </w:r>
      <w:r>
        <w:t>ktov vrátane digitálneho sledovania a očierňujúcich kampaní zameraných na umlčanie obhajcov ľudských práv; zdôrazňuje naliehavú potrebu chrániť obhajcov ľudských práv, ktorí zohrávajú kľúčovú úlohu pri obrane demokracie a právneho štátu na celom svete; vyz</w:t>
      </w:r>
      <w:r>
        <w:t xml:space="preserve">ýva na posilnenie mechanizmov podpory a ochrany obhajcov ľudských práv čeliacich hrozbám, obťažovaniu a násiliu, najmä tých, ktorí pôsobia vo vysokorizikových oblastiach </w:t>
      </w:r>
      <w:r>
        <w:lastRenderedPageBreak/>
        <w:t>alebo pracujú na citlivých otázkach, ako sú environmentálne práva, práva domorodého ob</w:t>
      </w:r>
      <w:r>
        <w:t>yvateľstva a práva žien;</w:t>
      </w:r>
    </w:p>
    <w:p w:rsidR="000010F8" w:rsidRDefault="002B71AE">
      <w:pPr>
        <w:pStyle w:val="NormalHanging12a"/>
        <w:ind w:left="1134"/>
      </w:pPr>
      <w:r>
        <w:t>–</w:t>
      </w:r>
      <w:r>
        <w:tab/>
        <w:t>pokusy o obchádzanie sankcií EÚ a medzinárodných sankcií, čo považuje za priamu hrozbu pre medzinárodný poriadok založený na pravidlách;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skutočnosť, že Azerbajdžan nerešpektoval rozhodnutie Medzinárodného súdneho dvora zo 17. n</w:t>
      </w:r>
      <w:r>
        <w:t>ovembra 2023, v ktorom sa uvádzajú predbežné opatrenia týkajúce sa bezpečného, neobmedzeného a rýchleho návratu 100 000 etnických Arménov, ktorí utiekli z Náhorného Karabachu po vopred naplánovanom, neodôvodnenom vojenskom útoku Azerbajdžanu v septembri 20</w:t>
      </w:r>
      <w:r>
        <w:t>23, ktorý predstavoval etnickú čistku, ako aj odmietnutie azerbajdžanských orgánov prepustiť všetkých 23 arménskych vojnových väzňov, ktorých v súčasnosti zadržiava; zdôrazňuje potrebu podpory všetkých iniciatív a činností, ktoré by mohli viesť k nastoleni</w:t>
      </w:r>
      <w:r>
        <w:t>u trvalého mieru medzi Arménskom a Azerbajdžanom; na tento účel požaduje stiahnutie azerbajdžanských jednotiek z celého zvrchovaného územia Arménska a zároveň varuje, že akákoľvek ďalšia vojenská akcia proti Arménsku by bola neprijateľná a mala by vážne dô</w:t>
      </w:r>
      <w:r>
        <w:t xml:space="preserve">sledky pre partnerstvo medzi Azerbajdžanom a EÚ; zdôrazňuje, že problémy Azerbajdžanu v oblasti spojenia s jeho </w:t>
      </w:r>
      <w:proofErr w:type="spellStart"/>
      <w:r>
        <w:t>exklávou</w:t>
      </w:r>
      <w:proofErr w:type="spellEnd"/>
      <w:r>
        <w:t xml:space="preserve"> Nachičevan by sa mali riešiť pri plnom rešpektovaní zvrchovanosti a územnej celistvosti Arménska; opakuje svoje stanovisko, že EÚ by ma</w:t>
      </w:r>
      <w:r>
        <w:t>la byť pripravená uvaliť sankcie na akékoľvek osoby a subjekty, ktoré ohrozujú zvrchovanosť, nezávislosť a územnú celistvosť Arménska; zdôrazňuje, že viacnásobné varovania Európskeho parlamentu týkajúce sa tejto situácie neviedli k žiadnej zmene postoja EÚ</w:t>
      </w:r>
      <w:r>
        <w:t xml:space="preserve"> voči Azerbajdžanu; vyzýva EÚ, aby ukončila svoju závislosť od dovozu plynu z Azerbajdžanu; vyzýva Komisiu, aby pozastavila memorandum o porozumení z roku 2022 o strategickom partnerstve v oblasti energetiky a aby náležite konala; trvá na tom, aby sa akáko</w:t>
      </w:r>
      <w:r>
        <w:t>ľvek budúca dohoda o partnerstve medzi EÚ a Azerbajdžanom podmienila prepustením všetkých politických väzňov a zlepšením situácie v oblasti ľudských práv v krajine;</w:t>
      </w:r>
      <w:r>
        <w:rPr>
          <w:b/>
          <w:i/>
        </w:rPr>
        <w:t xml:space="preserve"> </w:t>
      </w:r>
      <w:r>
        <w:t>odsudzuje podvodné dodávanie ruského plynu cez Azerbajdžan a napomáhanie Ruska azerbajdžans</w:t>
      </w:r>
      <w:r>
        <w:t>kými orgánmi pri obchádzaní sankcií EÚ; žiada EÚ, aby ukončila všetku technickú a finančnú pomoc Azerbajdžanu, ktorá by mohla prispieť k posilneniu jeho vojenských alebo bezpečnostných spôsobilostí; vyzýva členské štáty, aby zmrazili vývoz všetkého vojensk</w:t>
      </w:r>
      <w:r>
        <w:t>ého a bezpečnostného vybavenia do Azerbajdžanu; odsudzuje opakované pokusy Azerbajdžanu očierniť a destabilizovať členské štáty, a to aj prostredníctvom tzv. skupiny iniciatívy z Baku; odsudzuje neustále sa zhoršujúcu situáciu v oblasti ľudských práv v kra</w:t>
      </w:r>
      <w:r>
        <w:t xml:space="preserve">jine; </w:t>
      </w:r>
    </w:p>
    <w:p w:rsidR="000010F8" w:rsidRDefault="002B71AE">
      <w:pPr>
        <w:pStyle w:val="NormalHanging12a"/>
      </w:pPr>
      <w:r>
        <w:t>6.</w:t>
      </w:r>
      <w:r>
        <w:tab/>
        <w:t xml:space="preserve">súhlasí s: 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potrebou zlepšiť vzťahy s Tureckom; víta čiastočné zmiernenie napätia vo východnom Stredozemí a v Egejskom mori, avšak opakuje znepokojenie, že zahraničná politika Turecka je naďalej v rozpore s prioritami EÚ podľa SZBP; v tejto súv</w:t>
      </w:r>
      <w:r>
        <w:t>islosti pripomína podpísanie a uplatňovanie memoranda o porozumení medzi Tureckom a Líbyou o komplexnej bezpečnostnej a vojenskej spolupráci a o vymedzení námorných zón;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výzvou Turecku, aby pracovalo na konštruktívnom, a nie asertívnom ani agresívnom prí</w:t>
      </w:r>
      <w:r>
        <w:t xml:space="preserve">stupe vo svojom susedstve, a to aj v </w:t>
      </w:r>
      <w:proofErr w:type="spellStart"/>
      <w:r>
        <w:t>Zakaukazsku</w:t>
      </w:r>
      <w:proofErr w:type="spellEnd"/>
      <w:r>
        <w:t xml:space="preserve">; vyjadruje poľutovanie nad tým, že Turecko naďalej spochybňuje zvrchovanosť a </w:t>
      </w:r>
      <w:r>
        <w:lastRenderedPageBreak/>
        <w:t>zvrchované práva členského štátu EÚ; pripomína, že proces pristúpenia Turecka k EÚ je podmienený úplným splnením kodanských krité</w:t>
      </w:r>
      <w:r>
        <w:t>rií a normalizáciou jeho vzťahov so všetkými členskými štátmi EÚ vrátane Cyperskej republiky; požaduje dodržiavanie štatútu nárazníkovej zóny a mandátu mierových síl OSN na Cypre; naliehavo vyzýva Turecko a vedúcich predstaviteľov cyperských Turkov, aby za</w:t>
      </w:r>
      <w:r>
        <w:t xml:space="preserve">stavili a zvrátili všetky takéto jednostranné činnosti a vyhli sa akýmkoľvek ďalším krokom a provokáciám; vyzýva na zapojenie sa do mierových rokovaní pod vedením OSN a na dosiahnutie skutočného pokroku v rokovaniach o urovnaní konfliktu na Cypre, pevne v </w:t>
      </w:r>
      <w:r>
        <w:t>dohodnutom rámci OSN, ktorý je jediným rámcom akceptovaným EÚ a medzinárodným spoločenstvom, a v súlade s právom, hodnotami a zásadami EÚ;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hodnotením, že bez zásadnej zmeny kurzu tureckej vlády a bez uznania Cyperskej republiky ako zvrchovaného štátu</w:t>
      </w:r>
      <w:r>
        <w:rPr>
          <w:b/>
          <w:i/>
        </w:rPr>
        <w:t xml:space="preserve"> </w:t>
      </w:r>
      <w:r>
        <w:t>nem</w:t>
      </w:r>
      <w:r>
        <w:t xml:space="preserve">ôže byť proces pristúpenia Turecka k EÚ obnovený; je znepokojený nedávnym zatknutím primátora metropolitnej samosprávy Istanbulu </w:t>
      </w:r>
      <w:proofErr w:type="spellStart"/>
      <w:r>
        <w:t>Ekrema</w:t>
      </w:r>
      <w:proofErr w:type="spellEnd"/>
      <w:r>
        <w:t xml:space="preserve"> </w:t>
      </w:r>
      <w:proofErr w:type="spellStart"/>
      <w:r>
        <w:t>İmamoğlua</w:t>
      </w:r>
      <w:proofErr w:type="spellEnd"/>
      <w:r>
        <w:t xml:space="preserve"> z Republikánskej ľudovej strany (CHP), niekoľko dní predtým, ako ho CHP vybrala za svojho kandidáta na nasledu</w:t>
      </w:r>
      <w:r>
        <w:t>júce prezidentské voľby, a vyjadruje poľutovanie nad trvalým prenasledovaním politickej opozície;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naliehavou potrebou, aby EÚ a turecká vláda pokročili v procese vzájomnej reflexie vrátane modernizovanej dohody o pridružení, čo by viedlo k vzájomne prosp</w:t>
      </w:r>
      <w:r>
        <w:t xml:space="preserve">ešnému, dynamickejšiemu a strategickejšiemu partnerstvu s prísnou podmienenosťou dodržiavania zásad právneho štátu, základných práv, medzinárodného práva vrátane </w:t>
      </w:r>
      <w:r>
        <w:rPr>
          <w:rStyle w:val="Emphasis"/>
          <w:shd w:val="clear" w:color="auto" w:fill="FFFFFF"/>
        </w:rPr>
        <w:t>Dohovoru Organizácie Spojených národov o morskom práve</w:t>
      </w:r>
      <w:r>
        <w:t xml:space="preserve"> a dobrých susedských vzťahov vzhľadom n</w:t>
      </w:r>
      <w:r>
        <w:t>a kľúčovú úlohu, ktorú Turecko zohráva napríklad v čiernomorskom regióne, a jeho význam ako spojenca NATO;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tým, že Turecko vynakladá nedostatočné úsilie pri dosahovaní súladu so SZBP EÚ, a to aj pokiaľ ide o sankcie a boj proti obchádzaniu sankcií, ako a</w:t>
      </w:r>
      <w:r>
        <w:t xml:space="preserve">j s potrebou, aby Turecko úzko spolupracovalo s vyslancom pre sankcie EÚ; vyjadruje poľutovanie nad neprijateľnou solidaritou a podporou, ktorú turecký prezident verejne vyjadril teroristickej organizácii </w:t>
      </w:r>
      <w:proofErr w:type="spellStart"/>
      <w:r>
        <w:t>Hamas</w:t>
      </w:r>
      <w:proofErr w:type="spellEnd"/>
      <w:r>
        <w:t xml:space="preserve">; opakuje svoje znepokojenie nad pokračujúcim </w:t>
      </w:r>
      <w:r>
        <w:t>zhoršovaním demokratických noriem v Turecku; pripomína, že terčom zahraničnej manipulácie s informáciami a zahraničného zasahovania Turecko je aj EÚ a že jeho vláda zvažuje zavedenie zákona o zahraničných agentoch podľa vzoru Ruska; zdôrazňuje nezlučiteľno</w:t>
      </w:r>
      <w:r>
        <w:t>sť kandidatúry Turecka na členstvo v skupine BRICS+ a SZBP EÚ;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znepokojením nad zhoršením stavu demokracie v Gruzínsku, ktoré sa prejavilo tým, že 26. októbra 2024 sa konali parlamentné voľby, ktoré neboli v súlade s medzinárodnými normami pre demokratic</w:t>
      </w:r>
      <w:r>
        <w:t>ké voľby ani záväzkami Gruzínska ako členskej krajiny OBSE zorganizovať slobodné a spravodlivé voľby, čím sa oslabí legitímnosť výsledkov a dôvera verejnosti vo vládu; zdôrazňuje, že porušovanie integrity volieb je nezlučiteľné s normami, ktoré sa očakávaj</w:t>
      </w:r>
      <w:r>
        <w:t>ú od kandidátskej krajiny EÚ; odmieta akékoľvek uznanie parlamentných volieb a považuje Gruzínsko za štát v područí nelegitímneho režimu strany Gruzínsky sen, a preto odmieta akékoľvek rozhodnutia prijaté orgánom, ktorý prevzal kontrolu nad krajinou, ako n</w:t>
      </w:r>
      <w:r>
        <w:t xml:space="preserve">apríklad unáhlené prijatie zmien zákona o správnych priestupkoch, trestného zákona a zákona o zhromaždeniach a manifestáciách; naliehavo žiada, </w:t>
      </w:r>
      <w:r>
        <w:lastRenderedPageBreak/>
        <w:t xml:space="preserve">aby sa uskutočnil predčasné voľby v zlepšenom volebnom prostredí, aby ich riadila nezávislá a nestranná volebná </w:t>
      </w:r>
      <w:r>
        <w:t>správa s rozsiahlym medzinárodným pozorovaním, s cieľom zabezpečiť skutočne slobodný, spravodlivý a transparentný proces, ktorý by vyjadril vôľu gruzínskeho ľudu; súhlasí so závermi Európskej rady z 27. júna 2024, že neschopnosť zvrátiť súčasný postup vrát</w:t>
      </w:r>
      <w:r>
        <w:t xml:space="preserve">ane zákona o transparentnosti zahraničného vplyvu, zákona o rodinných hodnotách a ochrane maloletých, ako aj zmien volebného zákona, ohrozuje cestu Gruzínska do EÚ, čo de </w:t>
      </w:r>
      <w:proofErr w:type="spellStart"/>
      <w:r>
        <w:t>facto</w:t>
      </w:r>
      <w:proofErr w:type="spellEnd"/>
      <w:r>
        <w:t xml:space="preserve"> vedie k zastaveniu prístupového procesu; naďalej uznáva </w:t>
      </w:r>
      <w:proofErr w:type="spellStart"/>
      <w:r>
        <w:t>Salome</w:t>
      </w:r>
      <w:proofErr w:type="spellEnd"/>
      <w:r>
        <w:t xml:space="preserve"> </w:t>
      </w:r>
      <w:proofErr w:type="spellStart"/>
      <w:r>
        <w:t>Zurabišviliovú</w:t>
      </w:r>
      <w:proofErr w:type="spellEnd"/>
      <w:r>
        <w:t xml:space="preserve"> z</w:t>
      </w:r>
      <w:r>
        <w:t xml:space="preserve">a legitímnu prezidentku Gruzínska a zástupkyňu gruzínskeho ľudu; oceňuje jej snahu pokojne nasmerovať krajinu späť na cestu demokratického a </w:t>
      </w:r>
      <w:proofErr w:type="spellStart"/>
      <w:r>
        <w:t>proeurópskeho</w:t>
      </w:r>
      <w:proofErr w:type="spellEnd"/>
      <w:r>
        <w:t xml:space="preserve"> rozvoja; vyzýva predsedu Európskej rady, aby pozval prezidentku </w:t>
      </w:r>
      <w:proofErr w:type="spellStart"/>
      <w:r>
        <w:t>Zurabišviliovú</w:t>
      </w:r>
      <w:proofErr w:type="spellEnd"/>
      <w:r>
        <w:t>, aby zastupovala Gruzí</w:t>
      </w:r>
      <w:r>
        <w:t>nsko na nadchádzajúcom zasadnutí Európskej rady a na ďalšom samite Európskeho politického spoločenstva; opätovne vyjadruje neochvejnú podporu legitímnym európskym ambíciám, ktoré v súčasnosti zrádza gruzínska vláda; žiada okamžité prepustenie všetkých osôb</w:t>
      </w:r>
      <w:r>
        <w:t xml:space="preserve"> zadržiavaných za pokojné protesty proti nedávnym rozhodnutiam Gruzínska o pozastavení integrácie do EÚ; žiada, aby sa mechanizmy financovania EÚ upravili tak, aby zohľadňovali potreby, ktoré vznikajú v nepriateľskejšom a </w:t>
      </w:r>
      <w:proofErr w:type="spellStart"/>
      <w:r>
        <w:t>protidemokratickejšom</w:t>
      </w:r>
      <w:proofErr w:type="spellEnd"/>
      <w:r>
        <w:t xml:space="preserve"> prostredí; z</w:t>
      </w:r>
      <w:r>
        <w:t>dôrazňuje, že vzhľadom na rastúce represie a pozastavenie činnosti Agentúry USA pre medzinárodný rozvoj (USAID) je nevyhnutné podporovať občiansku spoločnosť, a preto naliehavo vyzýva Komisiu, aby túto podporu bezodkladne navýšila; zastáva názor, že opatre</w:t>
      </w:r>
      <w:r>
        <w:t xml:space="preserve">nia, ktoré EÚ doteraz prijala v reakcii na zjavný úpadok demokracie a neplnenie predchádzajúcich záväzkov, zatiaľ plne neodrážajú závažnosť situácie v Gruzínsku a najnovší vývoj; víta rozhodnutie Rady pozastaviť bezvízový styk pre gruzínskych diplomatov a </w:t>
      </w:r>
      <w:r>
        <w:t>úradníkov, ale považuje za potrebné začať úvahy o možnom pozastavení bezvízového štatútu Gruzínska na základe nedodržania kritérií v oblasti základných práv; vyjadruje poľutovanie nad tým, že maďarská a slovenská vláda bránia rozhodnutiam Rady o zavedení s</w:t>
      </w:r>
      <w:r>
        <w:t>ankcií proti jednotlivcom zodpovedným za úpadok demokracie v Gruzínsku; vyzýva Komisiu, aby použila zmrazenú sumu 120 miliónov EUR, ktorá bola pôvodne určená na podporu gruzínskych orgánov, na posilnenie podpory EÚ určenej gruzínskej občianskej spoločnosti</w:t>
      </w:r>
      <w:r>
        <w:t>, najmä mimovládnemu sektoru a nezávislým médiám, ktoré sa čoraz viac dostávajú pod neprimeraný tlak vládnucej politickej strany a orgánov, a na posilnenie programov, ktoré podporujú demokratickú odolnosť a integritu volieb; dôrazne nabáda EÚ a jej členské</w:t>
      </w:r>
      <w:r>
        <w:t xml:space="preserve"> štáty, aby zaviedli osobné sankcie voči všetkým kľúčovým predstaviteľom politického režimu, ako aj voči ich rodinným príslušníkom a podporovateľom režimu v oblasti správy, podnikania, médií, justičného systému a orgánov presadzovania práva; vyzýva EÚ, aby</w:t>
      </w:r>
      <w:r>
        <w:t xml:space="preserve"> v spolupráci s inými jurisdikciami, najmä so Spojeným kráľovstvom, zmrazila finančné aktíva </w:t>
      </w:r>
      <w:proofErr w:type="spellStart"/>
      <w:r>
        <w:t>Bidzina</w:t>
      </w:r>
      <w:proofErr w:type="spellEnd"/>
      <w:r>
        <w:t xml:space="preserve"> </w:t>
      </w:r>
      <w:proofErr w:type="spellStart"/>
      <w:r>
        <w:t>Ivanišviliho</w:t>
      </w:r>
      <w:proofErr w:type="spellEnd"/>
      <w:r>
        <w:t xml:space="preserve">; nabáda jednotlivé členské štáty a príslušné regionálne organizácie, aby sa vyhli aktívnej </w:t>
      </w:r>
      <w:proofErr w:type="spellStart"/>
      <w:r>
        <w:t>legitimizácii</w:t>
      </w:r>
      <w:proofErr w:type="spellEnd"/>
      <w:r>
        <w:t xml:space="preserve"> </w:t>
      </w:r>
      <w:proofErr w:type="spellStart"/>
      <w:r>
        <w:t>samovymenovaných</w:t>
      </w:r>
      <w:proofErr w:type="spellEnd"/>
      <w:r>
        <w:t xml:space="preserve"> orgánov Gruzínskeho </w:t>
      </w:r>
      <w:r>
        <w:t>sna, a v tejto súvislosti vyzýva na pozastavenie zasadnutia Rady pre pridruženie medzi EÚ a Gruzínskom;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konštatovaním, že Rusko a Čína sa stali významnými aktérmi v južnom susedstve, najmä v severnej Afrike, zatiaľ čo Turecko a štáty Perzského zálivu, me</w:t>
      </w:r>
      <w:r>
        <w:t xml:space="preserve">dzi nimi najmä Saudskoarabské kráľovstvo, Katar a Spojené arabské emiráty, vzrástli ako regionálne sily; tvrdí, že myšlienka jednotného „susedstva“ pre východnú aj južnú Európu prehliada ich rozdielne problémy; ďalej súhlasí so strategickým </w:t>
      </w:r>
      <w:r>
        <w:lastRenderedPageBreak/>
        <w:t>významom južnéh</w:t>
      </w:r>
      <w:r>
        <w:t>o susedstva, jeho stability, hospodárskeho rozvoja a prosperity; pripomína, že nestabilita a neistota v južnom susedstve sú naďalej pretrvávajúcim problémom pre riadenie vonkajších európskych hraníc; zdôrazňuje zasahovanie strategických konkurentov v regió</w:t>
      </w:r>
      <w:r>
        <w:t>ne a dôrazne vyzýva EÚ, aby vyslala silný a jasný politický odkaz v prospech obnovenej spolupráce s krajinami južného susedstva; vyzýva PK/VP a Komisiu, aby urýchlene vydali nový pakt pre Stredozemie a zabezpečili primerané zdroje na jeho včasné a účinné v</w:t>
      </w:r>
      <w:r>
        <w:t>ykonávanie; opakuje, že v centre nového paktu by mala byť dynamická sieť strategických partnerstiev prispôsobená osobitným potrebám a ambíciám každej krajiny v našom južnom susedstve; v tejto súvislosti sa domnieva, že EÚ by mala dôkladne preskúmať súčasnú</w:t>
      </w:r>
      <w:r>
        <w:t xml:space="preserve"> štruktúru stimulov, ktorá spája prísľub finančnej pomoci a obchodných výhod výmenou za politické a hospodárske reformy a zabezpečiť jej súlad so širšími cieľmi EÚ vrátane podpory ľudských práv a demokratických hodnôt; zdôrazňuje, že okrem uprednostňovania</w:t>
      </w:r>
      <w:r>
        <w:t xml:space="preserve"> dvojstrannej spolupráce by EÚ mala zároveň naďalej podporovať regionálnu spoluprácu prostredníctvom existujúcich rámcov, ako je Únia pre Stredozemie, ktorá predstavuje cennú platformu na podporu dialógu a spoločných opatrení v otázkach spoločného záujmu;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obavami pred ruským a čínskym tlakom vyvíjaným v Strednej Ázii a zdôrazňuje potrebu zvýšiť prítomnosť EÚ v regióne v reakcii naň vzhľadom na jeho </w:t>
      </w:r>
      <w:proofErr w:type="spellStart"/>
      <w:r>
        <w:t>geostrategický</w:t>
      </w:r>
      <w:proofErr w:type="spellEnd"/>
      <w:r>
        <w:t xml:space="preserve"> význam; zdôrazňuje váhavosť stredoázijských štátov podporiť ruskú útočnú vojnu vzhľadom na dô</w:t>
      </w:r>
      <w:r>
        <w:t>sledky vojny v regióne; zdôrazňuje záujem EÚ na posilnení hospodárskych vzťahov a zintenzívnení politických väzieb s krajinami Strednej Ázie, čiastočne s cieľom riešiť obchádzanie sankcií voči Rusku a Bielorusku; vyzýva orgány stredoázijských štátov, najmä</w:t>
      </w:r>
      <w:r>
        <w:t xml:space="preserve"> Kazachstanu, Kirgizska a Uzbekistanu, aby úzko spolupracovali s EÚ, najmä s jej vyslancom pre sankcie; nabáda Komisiu a členské štáty, aby naďalej podporovali politické a hospodárske reformy, ktoré posilňujú právny štát, demokraciu, dobrú správu vecí vere</w:t>
      </w:r>
      <w:r>
        <w:t xml:space="preserve">jných a dodržiavanie ľudských práv; 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tým, že Arktída má </w:t>
      </w:r>
      <w:proofErr w:type="spellStart"/>
      <w:r>
        <w:t>geostrategický</w:t>
      </w:r>
      <w:proofErr w:type="spellEnd"/>
      <w:r>
        <w:t xml:space="preserve"> význam, pokiaľ ide o rozširovanie potenciálnych námorných trás, prístup k prírodným zdrojom, ochranu klímy a územné nároky; zdôrazňuje, že tento význam zvyšuje nielen ruská vojenská e</w:t>
      </w:r>
      <w:r>
        <w:t>xpanzia na ďalekom severe, ale aj rastúca prítomnosť a záujem Číny o región a to, že sa Čína vyhlásila za „štát v blízkosti Arktídy“; zdôrazňuje, že je potrebné zabezpečiť slobodu a bezpečnosť plavby v kontexte rastúceho vplyvu a militarizácie týchto dvoch</w:t>
      </w:r>
      <w:r>
        <w:t xml:space="preserve"> štátov; zdôrazňuje význam zachovania bezpečnosti, stability a spolupráce v Arktíde; zdôrazňuje, že tento región musí zostať bez vojenského napätia a využívania prírodných zdrojov a zároveň v ňom treba rešpektovať práva pôvodného obyvateľstva; opakuje, že </w:t>
      </w:r>
      <w:r>
        <w:t>je potrebné začleniť politiku EÚ pre Arktídu do SZBP a zapojiť sa do účinnej spolupráce s NATO; žiada, aby sa o Arktíde pravidelne rokovalo v rámci zasadnutí Politického a bezpečnostného výboru a Rady;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strategickým významom Taiwanského prielivu a indicko</w:t>
      </w:r>
      <w:r>
        <w:t xml:space="preserve">-tichomorského regiónu so zreteľom na rastúce čínske zastrašovanie v regióne, a to aj vojenskými a hybridnými prostriedkami, a zdôrazňuje, že v reakcii na to je potrebné zvýšiť prítomnosť EÚ v tomto regióne; zdôrazňuje záujem EÚ na posilnení hospodárskych </w:t>
      </w:r>
      <w:r>
        <w:t xml:space="preserve">vzťahov a zintenzívnení podstatných väzieb s podobne zmýšľajúcimi partnermi v regióne vrátane Taiwanu; žiada Komisiu a členské </w:t>
      </w:r>
      <w:r>
        <w:lastRenderedPageBreak/>
        <w:t>štáty, aby sa riadili koordinovanou stratégiou EÚ pre pripravenosť a predvídanie možných scenárov v Taiwanskom prielive a zároveň</w:t>
      </w:r>
      <w:r>
        <w:t xml:space="preserve"> pravidelne informovali Parlament a poskytovali posúdenie vplyvu;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účinnosťou vykonávania stratégie pre Perzský záliv a napredovaním v strategickom partnerstve s každou z krajín Perzského zálivu a spolupráce na podpore globálnej a regionálnej bezpečnosti </w:t>
      </w:r>
      <w:r>
        <w:t>a prosperity;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zameraním na dosiahnutie zodpovednosti v kybernetickom priestore prostredníctvom sfunkčnenia súboru nástrojov digitálnej diplomacie EÚ a s pozornosťou venovanou posilneniu globálnej kybernetickej odolnosti; žiada, aby sa kládol väčší dôraz </w:t>
      </w:r>
      <w:r>
        <w:t xml:space="preserve">na budovanie kybernetickej odolnosti rozvíjajúcich sa demokracií, ktoré čelia hybridným výzvam pre ich volebné systémy; vyzýva na zintenzívnenie spoločných cvičení v oblasti kybernetickej obrany medzi EÚ a NATO s cieľom zlepšiť </w:t>
      </w:r>
      <w:proofErr w:type="spellStart"/>
      <w:r>
        <w:t>interoperabilitu</w:t>
      </w:r>
      <w:proofErr w:type="spellEnd"/>
      <w:r>
        <w:t xml:space="preserve"> a pripraven</w:t>
      </w:r>
      <w:r>
        <w:t>osť na boj proti hybridným hrozbám;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záväzkom postaviť podporu demokracie do popredia SZBP a zabezpečila v tomto smere aktívnu úlohu EÚ na základe skúseností získaných z predchádzajúcich opatrení na podporu demokracie, najmä pokiaľ ide o podporu občianske</w:t>
      </w:r>
      <w:r>
        <w:t>j spoločnosti, obhajcov ľudských práv, kritických hlasov, demokratickej opozície a médií;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potrebou bojovať proti beztrestnosti, posilniť úsilie o vyvodenie zodpovednosti na celom svete, a to aj prostredníctvom Medzinárodného trestného súdu, a presadzovať</w:t>
      </w:r>
      <w:r>
        <w:t xml:space="preserve"> medzinárodné právo a medzinárodné humanitárne právo; ja naďalej vážne znepokojený trendom podkopávania rozhodnutí medzinárodných inštitúcií a ich zamestnancov štátnymi úradníkmi; vyjadruje hlboké znepokojenie nad sankciami USA voči MTS, jeho prokurátorom,</w:t>
      </w:r>
      <w:r>
        <w:t xml:space="preserve"> sudcom a zamestnancom, ktoré sú vážnym útokom na medzinárodný justičný systém; vyzýva Komisiu, aby urýchlene aktivovala nariadenie o blokovaní, a členské štáty, aby bezodkladne zvýšili svoje diplomatické úsilie s cieľom brániť a chrániť MTS ako nenahradit</w:t>
      </w:r>
      <w:r>
        <w:t>eľný základný kameň medzinárodného justičného systému; vyjadruje poľutovanie nad tým, že niektoré členské štáty MTS nevykonali zatýkacie rozkazy MTS, čo oslabuje prácu súdov;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naliehavou a pretrvávajúcou potrebou podporovať rodovú rovnosť a posilnenie pos</w:t>
      </w:r>
      <w:r>
        <w:t>tavenia žien prostredníctvom všetkých vonkajších činností EÚ, zahraničnú politiku zohľadňujúcu rodové hľadisko, v súlade s akčným plánom pre rodovú rovnosť na roky 2021 – 2025, najmä vzhľadom na súčasné globálne obmedzovanie práv žien; zdôrazňuje, že pri s</w:t>
      </w:r>
      <w:r>
        <w:t>účasnom tempe pokroku bude dosiahnutie rodovej rovnosti na celom svete trvať ďalších 131 rokov, pričom upozorňuje, že je mimoriadne dôležité urýchliť úsilie o ochranu a presadzovanie práv a príležitostí žien;</w:t>
      </w:r>
    </w:p>
    <w:p w:rsidR="000010F8" w:rsidRDefault="002B71AE">
      <w:pPr>
        <w:pStyle w:val="NormalHanging12a"/>
        <w:rPr>
          <w:b/>
          <w:i/>
        </w:rPr>
      </w:pPr>
      <w:r>
        <w:rPr>
          <w:b/>
          <w:i/>
        </w:rPr>
        <w:t>II. Ciele SZBP v roku 2025</w:t>
      </w:r>
    </w:p>
    <w:p w:rsidR="000010F8" w:rsidRDefault="002B71AE">
      <w:pPr>
        <w:pStyle w:val="NormalHanging12a"/>
      </w:pPr>
      <w:r>
        <w:t>7.</w:t>
      </w:r>
      <w:r>
        <w:tab/>
        <w:t xml:space="preserve">v nasledujúcej </w:t>
      </w:r>
      <w:r>
        <w:t>časti identifikuje ciele Európskeho parlamentu v oblasti SZBP na rok 2025, a tým dopĺňa názory vyjadrené vo výročnej správe PK/VP o SZBP;</w:t>
      </w:r>
    </w:p>
    <w:p w:rsidR="000010F8" w:rsidRDefault="002B71AE">
      <w:pPr>
        <w:pStyle w:val="NormalHanging12a"/>
        <w:rPr>
          <w:i/>
          <w:u w:val="single"/>
        </w:rPr>
      </w:pPr>
      <w:r>
        <w:rPr>
          <w:i/>
          <w:u w:val="single"/>
        </w:rPr>
        <w:t xml:space="preserve">Riešenie globálnych dôsledkov útočnej vojny Ruska proti Ukrajine </w:t>
      </w:r>
    </w:p>
    <w:p w:rsidR="000010F8" w:rsidRDefault="002B71AE">
      <w:pPr>
        <w:pStyle w:val="NormalHanging12a"/>
      </w:pPr>
      <w:r>
        <w:lastRenderedPageBreak/>
        <w:t>8.</w:t>
      </w:r>
      <w:r>
        <w:tab/>
        <w:t xml:space="preserve">zdôrazňuje, že útočná vojna Ruska proti Ukrajine </w:t>
      </w:r>
      <w:r>
        <w:t>a jej dôsledky vrátane hospodárskej neistoty, potravinovej neistoty a vysokých cien energie, v kombinácii s revizionistickým správaním Ruskej federácie voči viacerým štátom susediacim s Čiernym morom, destabilizuje a ohrozuje východné susedstvo a západný B</w:t>
      </w:r>
      <w:r>
        <w:t xml:space="preserve">alkán, čo zase narúša európsku bezpečnostnú štruktúru; v tejto súvislosti zdôrazňuje potrebu posilniť kapacity EÚ na podporu demokratických inštitúcií v našom bezprostrednom susedstve; zdôrazňuje tiež význam ochrany východnej hranice EÚ, ktorá prispieva k </w:t>
      </w:r>
      <w:r>
        <w:t>bezpečnosti celej EÚ; zdôrazňuje, že východný štít a pobaltská obranná línia by mali byť hlavnými projektmi EÚ na podporu odrádzania a prekonávania potenciálnych hrozieb z východu a vytvorili by integrovaný systém riadenia pozemných hraníc, ktorý by bol na</w:t>
      </w:r>
      <w:r>
        <w:t>vrhnutý na posilnenie vonkajšej pozemnej hranice EÚ s Ruskom a Bieloruskom proti vojenským a hybridným hrozbám;</w:t>
      </w:r>
    </w:p>
    <w:p w:rsidR="000010F8" w:rsidRDefault="002B71AE">
      <w:pPr>
        <w:pStyle w:val="NormalHanging12a"/>
      </w:pPr>
      <w:r>
        <w:t>9.</w:t>
      </w:r>
      <w:r>
        <w:tab/>
        <w:t>konštatuje, že reakciu EÚ na ruskú útočnú vojnu proti Ukrajine pozorne sledujú autokratickí aktéri na celom svete a táto reakcia bude mať roz</w:t>
      </w:r>
      <w:r>
        <w:t>hodujúci vplyv na formovanie ich správania na medzinárodnej scéne; je znepokojený rastúcou spoluprácou a koordináciou medzi autokratickými režimami, a to aj prostredníctvom ich materiálnej alebo inej podpory agresie Ruska voči Ukrajine; naliehavo vyzýva Ra</w:t>
      </w:r>
      <w:r>
        <w:t>du, aby uložila reštriktívne opatrenia voči krajinám, ktoré do Ruskej federácie dodávajú vojenský tovar, ako sú bezpilotné vzdušné prostriedky a riadené strely zem-zem, na použitie proti civilným cieľom; pripomína, že používanie takéhoto vojenského vybaven</w:t>
      </w:r>
      <w:r>
        <w:t>ia proti civilným cieľom je vojnovým zločinom; s vážnym znepokojením berie na vedomie rastúcu spoluprácu medzi Ruskou federáciou a Kórejskou ľudovodemokratickou republikou (KĽDR) a zdôrazňuje, že využívanie severokórejských jednotiek Ruskom rozširuje rozsa</w:t>
      </w:r>
      <w:r>
        <w:t>h konfliktu; rovnako zdôrazňuje naliehavú potrebu ďalších sankcií voči Bielorusku, ktoré by odrážali všetky sankcie voči Rusku;</w:t>
      </w:r>
    </w:p>
    <w:p w:rsidR="000010F8" w:rsidRDefault="002B71AE">
      <w:pPr>
        <w:pStyle w:val="NormalHanging12a"/>
      </w:pPr>
      <w:r>
        <w:t>10.</w:t>
      </w:r>
      <w:r>
        <w:tab/>
        <w:t>zastáva názor, že EÚ a jej členské štáty sú v súčasnosti jedinými strategickými spojencami Ukrajiny, a preto vyzýva EÚ a jej</w:t>
      </w:r>
      <w:r>
        <w:t xml:space="preserve"> členské štáty, aby zmysluplne zvýšili a urýchlili vojenskú a hospodársku podporu, humanitárnu pomoc, ako aj finančnú pomoc, a to všetkými možnými spôsobmi, aby sa Ukrajina dostala do silnej pozície s cieľom oslobodiť všetkých svojich obyvateľov a odradiť </w:t>
      </w:r>
      <w:r>
        <w:t xml:space="preserve">od akejkoľvek ďalšej agresie Ruska po prípadnej dohode o prímerí; navrhuje na tento účel posilniť ť vojenskú pomocnú misiu Európskej únie na podporu Ukrajiny, ktorá vycvičila približne 75 000 ukrajinských jednotiek a zdôrazňuje naliehavú potrebu poskytnúť </w:t>
      </w:r>
      <w:r>
        <w:t>Ukrajine zvýšené kapacity protivzdušnej obrany a rakiet zem-zem na obranu jej kritickej energetickej infraštruktúry a vyzýva členské štáty, aby okamžite zrušili obmedzenia týkajúce sa používania západných zbraňových systémov, ako napríklad rakiet s dlhým d</w:t>
      </w:r>
      <w:r>
        <w:t>oletom Taurus, dodávaných na Ukrajinu proti legitímnym vojenským cieľom na ruskom území, čo by bolo plne v súlade s právom Ukrajiny na sebaobranu podľa Charty OSN;</w:t>
      </w:r>
    </w:p>
    <w:p w:rsidR="000010F8" w:rsidRDefault="002B71AE">
      <w:pPr>
        <w:pStyle w:val="NormalHanging12a"/>
      </w:pPr>
      <w:r>
        <w:t>11.</w:t>
      </w:r>
      <w:r>
        <w:tab/>
      </w:r>
      <w:r>
        <w:t xml:space="preserve">opätovne potvrdzuje svoj záväzok podporovať túžbu Ukrajiny po spravodlivom a trvalom mieri, ako aj svoj záväzok k mierovému plánu a plánu víťazstva, tak ako ich predstavil ukrajinský prezident </w:t>
      </w:r>
      <w:proofErr w:type="spellStart"/>
      <w:r>
        <w:t>Volodymyr</w:t>
      </w:r>
      <w:proofErr w:type="spellEnd"/>
      <w:r>
        <w:t xml:space="preserve"> </w:t>
      </w:r>
      <w:proofErr w:type="spellStart"/>
      <w:r>
        <w:t>Zelensky</w:t>
      </w:r>
      <w:proofErr w:type="spellEnd"/>
      <w:r>
        <w:t>; pripomína, že každá iniciatíva, najmä diplo</w:t>
      </w:r>
      <w:r>
        <w:t>matické riešenia, zameraná na ukončenie ruskej útočnej vojny a dosiahnutie spravodlivého a dlhodobého mieru musí byť na základe podmienok a informácií poskytnutých Ukrajinou a v konečnom dôsledku ju musí akceptovať ukrajinský ľud; vyjadruje v tejto súvislo</w:t>
      </w:r>
      <w:r>
        <w:t>sti veľké znepokojenie nad zjavnou zmenou postoja Spojených štátov k ruskej útočnej vojne, okrem iného aj nad otvoreným obviňovaním Ukrajiny z prebiehajúcej vojny, pozastavením americkej vojenskej pomoci a pokusmi prinútiť Ukrajinu, aby sa vzdala legitímne</w:t>
      </w:r>
      <w:r>
        <w:t xml:space="preserve">ho práva na sebaobranu; vyjadruje hlboké poľutovanie </w:t>
      </w:r>
      <w:r>
        <w:lastRenderedPageBreak/>
        <w:t>nad akýmikoľvek pokusmi o vydieranie vedúcich predstaviteľov Ukrajiny, aby sa vzdali ruskému agresorovi, s jediným cieľom ohlásiť dosiahnutie „mierovej dohody“ a domnieva sa, že aktuálne úsilie vlády USA</w:t>
      </w:r>
      <w:r>
        <w:t xml:space="preserve"> rokovať o prímerí a mierovej dohode bez účasti Európskych štátov, ktorá sa v konečnom dôsledku bude musieť vyrovnať s výsledkom rokovaní, je kontraproduktívne, keďže posilňuje agresívneho ruského štátu a ukazuje, že agresívna politika sa netrestá, ale odm</w:t>
      </w:r>
      <w:r>
        <w:t xml:space="preserve">eňuje; je opatrne optimistický, pokiaľ ide o návrh dohody o 30-dňovom prímerí; pripomína, že prímerie môže byť účinným nástrojom na zastavenie nepriateľských akcií, ale iba vtedy, ak ho agresor plne dodržiava; očakáva preto, že Rusko s ním bude súhlasiť a </w:t>
      </w:r>
      <w:r>
        <w:t>bude ho dodržiavať, pričom ukončí všetky útoky voči Ukrajine, jej vojenským pozíciám, civilnému obyvateľstvu, infraštruktúre a územiu; vzhľadom na históriu porušovania predchádzajúcich dohôd Ruskom však konštatuje, že mier možno dosiahnuť len posilnením po</w:t>
      </w:r>
      <w:r>
        <w:t>stavenia Ukrajiny spoľahlivými bezpečnostnými zárukami; naopak sa domnieva, že akákoľvek dohoda, ktorá podkopáva legitímne ambície Ukrajiny, napríklad právo prijať vlastné opatrenia v oblasti bezpečnosti, alebo ktorá neobsahuje dôveryhodné bezpečnostné zár</w:t>
      </w:r>
      <w:r>
        <w:t>uky, môže Ukrajinu a iné európske krajiny vystaviť ďalším ruským útokom; trvá na tom, že EÚ sa musí zapojiť do bezpečnostných záväzkov voči Ukrajine, ako sa odporúča v Kyjevskom bezpečnostnom pakte, s cieľom odradiť od ďalšej ruskej agresie;</w:t>
      </w:r>
    </w:p>
    <w:p w:rsidR="000010F8" w:rsidRDefault="002B71AE">
      <w:pPr>
        <w:pStyle w:val="NormalHanging12a"/>
      </w:pPr>
      <w:r>
        <w:t>12.</w:t>
      </w:r>
      <w:r>
        <w:tab/>
        <w:t>zdôrazňuje</w:t>
      </w:r>
      <w:r>
        <w:t>, že finančná podpora, ktorú EÚ a jej členské štáty poskytujú Ukrajine, presahuje finančnú podporu každej jednotlivej krajiny, čo je dôkazom bezprecedentného záväzku Únie voči Ukrajine; zdôrazňuje, že úloha EÚ v rámci všetkých rokovaní, ktoré majú vplyv na</w:t>
      </w:r>
      <w:r>
        <w:t xml:space="preserve"> bezpečnosť Európy, musí byť úmerná jej politickému a hospodárskemu postaveniu; opätovne potvrdzuje, že bez účasti EÚ sa nemôžu viesť žiadne rokovania týkajúce sa európskej bezpečnosti;</w:t>
      </w:r>
    </w:p>
    <w:p w:rsidR="000010F8" w:rsidRDefault="002B71AE">
      <w:pPr>
        <w:pStyle w:val="NormalHanging12a"/>
      </w:pPr>
      <w:r>
        <w:t>13.</w:t>
      </w:r>
      <w:r>
        <w:tab/>
        <w:t>očakáva, že členské štáty zachovajú svoje sankcie voči Rusku tak d</w:t>
      </w:r>
      <w:r>
        <w:t>lho, ako bude treba na zabezpečenie spravodlivého a trvalého mieru a vyvodenie zodpovednosti; vyzýva EÚ a členské štáty, aby medzitým posilnili účinnosť a dôsledky doteraz prijatých balíkov sankcií a dohodli sa na nových hneď ako bude treba; v tejto súvisl</w:t>
      </w:r>
      <w:r>
        <w:t>osti poukazuje na odvetvia, ktoré majú osobitný význam pre ruské hospodárstvo, najmä bankovníctvo, metalurgiu, jadrovú, chemickú a poľnohospodársku oblasť a suroviny, ako sú hliník, oceľ, urán, titán a nikel; požaduje zákaz alebo cielené clá na ruský dovoz</w:t>
      </w:r>
      <w:r>
        <w:t xml:space="preserve"> do EÚ s cieľom úplne zastaviť tok obilia, potaše a hnojív; pripomína, že prísne vykonávanie a jednotné uplatňovanie reštriktívnych opatrení vo všetkých členských štátoch je predpokladom dôveryhodnosti a účinnosti vonkajšej činnosti EÚ; zdôrazňuje preto, ž</w:t>
      </w:r>
      <w:r>
        <w:t xml:space="preserve">e je dôležité ukončiť všetok dovoz ruskej energie do EÚ a podporiť úsilie skupiny G7 o zníženie cenového stropu ropy; vyzýva Komisiu, aby uložila sankcie všetkým európskym spoločnostiam, ktoré naďalej obchodujú s Ruskou federáciou, a aby ďalej posudzovala </w:t>
      </w:r>
      <w:r>
        <w:t>obchádzanie sankcií a bojovala proti nemu;</w:t>
      </w:r>
    </w:p>
    <w:p w:rsidR="000010F8" w:rsidRDefault="002B71AE">
      <w:pPr>
        <w:pStyle w:val="NormalHanging12a"/>
      </w:pPr>
      <w:r>
        <w:t>14.</w:t>
      </w:r>
      <w:r>
        <w:tab/>
        <w:t>vyzýva na aktívnu diplomaciu s krajinami mimo EÚ s cieľom minimalizovať obchádzanie týchto sankcií; vyzýva Komisiu, aby kriticky posúdila pomoc EÚ krajinám mimo EÚ, ktoré aktívne podporujú ruskú agresiu voči U</w:t>
      </w:r>
      <w:r>
        <w:t>krajine, a naliehavo žiada Radu, aby uložila reštriktívne opatrenia voči krajinám mimo EÚ, ktoré umožňujú útočnú vojnu Ruska, či už uľahčením obchádzania sankcií, alebo poskytovaním priamej vojenskej pomoci, ako je to v prípade Bieloruska, Iránu alebo Seve</w:t>
      </w:r>
      <w:r>
        <w:t>rnej Kórei; vyzýva všetky krajiny, aby sa v plnej miere zosúladili so všetkými balíkmi sankcií EÚ;</w:t>
      </w:r>
    </w:p>
    <w:p w:rsidR="000010F8" w:rsidRDefault="002B71AE">
      <w:pPr>
        <w:pStyle w:val="NormalHanging12a"/>
      </w:pPr>
      <w:r>
        <w:t>15.</w:t>
      </w:r>
      <w:r>
        <w:tab/>
        <w:t xml:space="preserve">vyjadruje poľutovanie nad partnerstvom „bez obmedzení“ medzi Ruskom a Čínou, najmä nad obnoveným záväzkom posilniť vojenské väzby; víta rozhodnutie Rady </w:t>
      </w:r>
      <w:r>
        <w:t xml:space="preserve">o </w:t>
      </w:r>
      <w:r>
        <w:lastRenderedPageBreak/>
        <w:t>uložení sankcií čínskym spoločnostiam za podporu vojny Ruska proti Ukrajine;</w:t>
      </w:r>
    </w:p>
    <w:p w:rsidR="000010F8" w:rsidRDefault="002B71AE">
      <w:pPr>
        <w:pStyle w:val="NormalHanging12a"/>
      </w:pPr>
      <w:r>
        <w:t>16.</w:t>
      </w:r>
      <w:r>
        <w:tab/>
        <w:t>vyjadruje najvážnejšie znepokojenie nad sledovaním Ruska a Číny a sabotážou kritických námorných infraštruktúr, ako sú komunikačné káble na morskom dne a energetické zariade</w:t>
      </w:r>
      <w:r>
        <w:t>nia na mori; vyjadruje najmä hlboké znepokojenie nad poškodením dvoch podmorských komunikačných káblov, z ktorých jeden spája Fínsko a Nemecko a druhý spája Švédsko s Litvou, v rozpätí 24 hodín 17. a 18. novembra 2024, a nad poškodením elektrického kábla E</w:t>
      </w:r>
      <w:r>
        <w:t>stLink2, ktorý spája Estónsko a Fínsko, 25. decembra 2024, tankerom ruskej tieňovej flotily; vyzýva EÚ, aby zaviedla účinné systémy monitorovania a dohľadu a regionálnu spoluprácu pobrežnej stráže s cieľom zabezpečiť prevenciu a rýchle odhaľovanie útokov n</w:t>
      </w:r>
      <w:r>
        <w:t>a takéto infraštruktúry; v tejto súvislosti víta začatie operácie s názvom Baltská hliadka zo strany NATO za účasti viacerých členských štátov s cieľom zlepšiť bezpečnosť kritických podmorských infraštruktúr v Baltskom mori; vyzýva členské štáty, aby v pln</w:t>
      </w:r>
      <w:r>
        <w:t>ej miere dodržiavali záväzky vyplývajúce zo spoločného vyhlásenia z New Yorku o bezpečnosti a odolnosti podmorských káblov; pripomína tiež, že podobné sabotážne činnosti zamerané na kritickú podmorskú infraštruktúru sa uskutočňujú v Taiwanskom prielive;</w:t>
      </w:r>
    </w:p>
    <w:p w:rsidR="000010F8" w:rsidRDefault="002B71AE">
      <w:pPr>
        <w:pStyle w:val="NormalHanging12a"/>
      </w:pPr>
      <w:r>
        <w:t>17</w:t>
      </w:r>
      <w:r>
        <w:t>.</w:t>
      </w:r>
      <w:r>
        <w:tab/>
        <w:t>žiada EÚ a jej členské štáty, aby prísne kontrolovali, predchádzali činnostiam a obmedzili činnosti ruské tieňové flotily, ktoré okrem porušenia sankcií EÚ a skupiny G7 predstavujú obrovskú ekologickú hrozbu pre ekosystém v dôsledku ich technických nedos</w:t>
      </w:r>
      <w:r>
        <w:t>tatkov a častých porúch; naliehavo vyzýva Komisiu, aby v rámci spolupráce EÚ s Medzinárodnou námornou organizáciou urýchlene prijala opatrenia a navrhla cielenejšie sankcie voči tieňovej flotile v ďalšom balíku sankcií proti Rusku; spresňuje, že takéto san</w:t>
      </w:r>
      <w:r>
        <w:t xml:space="preserve">kcie by mali označiť všetky možné jednotlivé plavidlá tieňovej flotily, ako aj ich vlastníkov, prevádzkovateľov, manažérov atď.; odporúča zakázať predaj tankerov do krajín </w:t>
      </w:r>
      <w:proofErr w:type="spellStart"/>
      <w:r>
        <w:t>sprostredkujúcich</w:t>
      </w:r>
      <w:proofErr w:type="spellEnd"/>
      <w:r>
        <w:t xml:space="preserve"> obchod s Ruskom; konštatuje, že vlajkové štáty, ktoré prispievajú </w:t>
      </w:r>
      <w:r>
        <w:t>k ruskej tieňovej flotile, tým pomáhajú aj ruským vojnovým snahám;</w:t>
      </w:r>
    </w:p>
    <w:p w:rsidR="000010F8" w:rsidRDefault="002B71AE">
      <w:pPr>
        <w:pStyle w:val="NormalHanging12a"/>
      </w:pPr>
      <w:r>
        <w:t>18.</w:t>
      </w:r>
      <w:r>
        <w:tab/>
        <w:t xml:space="preserve">opakuje svoju výzvu, aby sa prijali potrebné opatrenia na návrat násilne deportovaných a nezákonne osvojených ukrajinských detí z Ruska alebo okupovaného ukrajinského územia; </w:t>
      </w:r>
    </w:p>
    <w:p w:rsidR="000010F8" w:rsidRDefault="002B71AE">
      <w:pPr>
        <w:pStyle w:val="NormalHanging12a"/>
      </w:pPr>
      <w:r>
        <w:t>19.</w:t>
      </w:r>
      <w:r>
        <w:tab/>
        <w:t>vyzýv</w:t>
      </w:r>
      <w:r>
        <w:t xml:space="preserve">a Komisiu a Radu, aby ruskú štátom financovanú súkromnú vojenskú </w:t>
      </w:r>
      <w:proofErr w:type="spellStart"/>
      <w:r>
        <w:t>Wagnerovu</w:t>
      </w:r>
      <w:proofErr w:type="spellEnd"/>
      <w:r>
        <w:t xml:space="preserve"> skupinu označili za teroristickú organizáciu; upriamuje pozornosť na takzvaný „Africký zbor“, ktorý bol vytvorený po smrti bývalého vodcu Wagnerovej skupiny </w:t>
      </w:r>
      <w:proofErr w:type="spellStart"/>
      <w:r>
        <w:t>Jevgenija</w:t>
      </w:r>
      <w:proofErr w:type="spellEnd"/>
      <w:r>
        <w:t xml:space="preserve"> </w:t>
      </w:r>
      <w:proofErr w:type="spellStart"/>
      <w:r>
        <w:t>Prigožina</w:t>
      </w:r>
      <w:proofErr w:type="spellEnd"/>
      <w:r>
        <w:t xml:space="preserve"> v au</w:t>
      </w:r>
      <w:r>
        <w:t>guste 2023 a ktorý bol priamo podriadený ruskému ministerstvu obrany a nm ovládaný v snahe preskupiť členov Wagnerovej skupiny pod kontrolu vlády;</w:t>
      </w:r>
    </w:p>
    <w:p w:rsidR="000010F8" w:rsidRDefault="002B71AE">
      <w:pPr>
        <w:pStyle w:val="NormalHanging12a"/>
      </w:pPr>
      <w:r>
        <w:t>20.</w:t>
      </w:r>
      <w:r>
        <w:tab/>
        <w:t xml:space="preserve">opakuje, že Ukrajina ako obeť agresie má v súlade s článkom 51 Charty OSN legitímne právo na sebaobranu; </w:t>
      </w:r>
      <w:r>
        <w:t>vyzýva PK/VP, Komisiu, Radu a dotknuté členské štáty, aby umožnili účinné ukrajinské protiopatrenia proti Rusku; pripomína, že Rusko porušilo medzinárodné právo a že úplné zaistenie zmrazených ruských aktív je vhodným krokom na presadzovanie povinnosti Rus</w:t>
      </w:r>
      <w:r>
        <w:t xml:space="preserve">ka dodržiavať medzinárodné právo a odškodniť Ukrajinu a iné poškodené strany za straty spôsobené ruskou útočnou vojnou; vyzýva Komisiu, aby vytvorila spoľahlivý právny režim na konfiškáciu ruských štátnych aktív zmrazených EÚ; pripomína Komisii, že žiadny </w:t>
      </w:r>
      <w:r>
        <w:t>takýto návrh neodstraňuje potrebu pokračujúcej finančnej, politickej, vojenskej a humanitárnej podpory; vyzýva na zaradenie všetkých aktív ruského štátu, ruských miestnych orgánov, ruských štátnych spoločností a jednotlivcov na sankčný zoznam EÚ a na to, a</w:t>
      </w:r>
      <w:r>
        <w:t>by sa tento majetok použil na odškodnenie Ukrajiny za škody spôsobené touto vojnou;</w:t>
      </w:r>
    </w:p>
    <w:p w:rsidR="000010F8" w:rsidRDefault="002B71AE">
      <w:pPr>
        <w:pStyle w:val="NormalHanging12a"/>
      </w:pPr>
      <w:r>
        <w:lastRenderedPageBreak/>
        <w:t>21.</w:t>
      </w:r>
      <w:r>
        <w:tab/>
        <w:t>poukazuje na odhad v najnovšom rýchlom posúdení škôd a potrieb, podľa ktorého bude na obnovu a rekonštrukciu Ukrajiny v nasledujúcom desaťročí potrebných najmenej 506 m</w:t>
      </w:r>
      <w:r>
        <w:t>iliárd EUR; víta Nástroj EÚ pre Ukrajinu, ktorého rozpočet je takmer 50 miliárd EUR, a úniový Mechanizmus spolupráce v oblasti úverov, ktorý ponúka Ukrajine úvery až do výšky 45 miliárd EUR a ktorý by bol odpoveďou na výzvu Európskeho parlamentu a vychádza</w:t>
      </w:r>
      <w:r>
        <w:t xml:space="preserve">l by z rozhodnutia Rady nasmerovať mimoriadne príjmy pochádzajúce z </w:t>
      </w:r>
      <w:proofErr w:type="spellStart"/>
      <w:r>
        <w:t>imobilizovaných</w:t>
      </w:r>
      <w:proofErr w:type="spellEnd"/>
      <w:r>
        <w:t xml:space="preserve"> ruských štátnych aktív do Fondu pomoci pre Ukrajinu a Nástroja pre Ukrajinu, ako aj z rozhodnutia skupiny G7 ponúknuť Ukrajine úver vo výške 50 miliárd USD zabezpečený </w:t>
      </w:r>
      <w:proofErr w:type="spellStart"/>
      <w:r>
        <w:t>imob</w:t>
      </w:r>
      <w:r>
        <w:t>ilizovanými</w:t>
      </w:r>
      <w:proofErr w:type="spellEnd"/>
      <w:r>
        <w:t xml:space="preserve"> ruskými štátnymi aktívami; vyjadruje presvedčenie, že nový Mechanizmus spolupráce v oblasti úverov pre Ukrajinu je zásadným krokom smerom k tomu, aby Rusko finančne kompenzovalo obrovské škody, ktoré na Ukrajine naďalej spôsobuje; </w:t>
      </w:r>
    </w:p>
    <w:p w:rsidR="000010F8" w:rsidRDefault="002B71AE">
      <w:pPr>
        <w:pStyle w:val="NormalHanging12a"/>
      </w:pPr>
      <w:r>
        <w:t>22.</w:t>
      </w:r>
      <w:r>
        <w:tab/>
        <w:t>odsudzuj</w:t>
      </w:r>
      <w:r>
        <w:t>e zneužívanie práva veta Maďarskom s cieľom oddialiť alebo účinne blokovať poskytnutie základnej pomoci EÚ Ukrajine, pokúšajúc sa oslabiť jednotnú pozíciu EÚ v otázke Ukrajiny; vyzýva PK/VP a predsedu Rady, ako aj členské štáty, aby využili všetky dostupné</w:t>
      </w:r>
      <w:r>
        <w:t xml:space="preserve"> nástroje s cieľom zabrániť maďarskej vláde v ďalšom blokovaní pomoci;</w:t>
      </w:r>
    </w:p>
    <w:p w:rsidR="000010F8" w:rsidRDefault="002B71AE">
      <w:pPr>
        <w:pStyle w:val="NormalHanging12a"/>
      </w:pPr>
      <w:r>
        <w:t>23.</w:t>
      </w:r>
      <w:r>
        <w:tab/>
        <w:t>naliehavo vyzýva PK/VP a ostatné členské štáty, aby prekonali blokádu maďarskej vlády, pokiaľ ide o rozhodnutie EPF o financovaní a vyplácaní finančných prostriedkov, napríklad rozh</w:t>
      </w:r>
      <w:r>
        <w:t>odnutie vyplatiť Poľsku 450 miliónov EUR ako náhradu za zariadenia dodané Ukrajine; naliehavo ich vyzýva, aby zaručili, že jediný nástroj EÚ na podporu vojenskej pomoci Ukrajine sa opäť stane plne funkčným; vyzýva PK/VP, aby predložila návrhy na zabránenie</w:t>
      </w:r>
      <w:r>
        <w:t xml:space="preserve"> takýmto blokádam v budúcnosti alebo aby našla alternatívny mechanizmus, ktorý bude plne spoľahlivý;</w:t>
      </w:r>
    </w:p>
    <w:p w:rsidR="000010F8" w:rsidRDefault="002B71AE">
      <w:pPr>
        <w:pStyle w:val="NormalHanging12a"/>
      </w:pPr>
      <w:r>
        <w:t>24.</w:t>
      </w:r>
      <w:r>
        <w:tab/>
        <w:t xml:space="preserve">zdôrazňuje, že je naliehavo potrebné, aby EÚ a jej členské štáty presadzovali vytvorenie osobitného medzinárodného tribunálu s právomocou vyšetrovať a </w:t>
      </w:r>
      <w:r>
        <w:t>stíhať zločin agresie, ktorého sa voči Ukrajine dopustilo politické a vojenské vedenie Ruskej federácie a jej spojenci; odsudzuje popravu ukrajinských vojnových zajatcov príslušníkmi ruských ozbrojených síl; zdôrazňuje, že bez spravodlivosti žiadny mier ne</w:t>
      </w:r>
      <w:r>
        <w:t>bude udržateľný; víta zriadenie Medzinárodného centra pre stíhanie zločinu agresie voči Ukrajine v Haagu; vyjadruje podporu všetkým činnostiam Medzinárodného trestného súdu a Medzinárodného súdneho dvora pri stíhaní zločinov spáchaných na ukrajinskom území</w:t>
      </w:r>
      <w:r>
        <w:t>; víta skutočnosť, že Ukrajina ratifikovala Rímsky štatút Medzinárodného trestného súdu, ktorý jej umožnil stať sa od januára 2025 zmluvnou stranou tohto štatútu;</w:t>
      </w:r>
    </w:p>
    <w:p w:rsidR="000010F8" w:rsidRDefault="002B71AE">
      <w:pPr>
        <w:pStyle w:val="NormalHanging12a"/>
      </w:pPr>
      <w:r>
        <w:t>25.</w:t>
      </w:r>
      <w:r>
        <w:tab/>
        <w:t xml:space="preserve">chváli Ukrajinu za jej pokrok </w:t>
      </w:r>
      <w:r>
        <w:rPr>
          <w:b/>
          <w:i/>
        </w:rPr>
        <w:t xml:space="preserve">– </w:t>
      </w:r>
      <w:r>
        <w:t>napriek vojnovým podmienkam –</w:t>
      </w:r>
      <w:r>
        <w:rPr>
          <w:b/>
          <w:i/>
        </w:rPr>
        <w:t xml:space="preserve"> </w:t>
      </w:r>
      <w:r>
        <w:t>v procese preverovania pris</w:t>
      </w:r>
      <w:r>
        <w:t xml:space="preserve">túpenia k EÚ a vyzýva Ukrajinu, aby ďalej napredovala smerom k členstvu v EÚ a využívala pritom všetky zdroje, ktoré jej boli poskytnuté v rámci Nástroja pre Ukrajinu, a aby zabezpečila zmysluplné zapojenie svojej občianskej spoločnosti do fáz vykonávania </w:t>
      </w:r>
      <w:r>
        <w:t xml:space="preserve">a monitorovania tohto nástroja; pripomína, že pristúpenie k EÚ je proces založený výlučne na zásluhách, ktorý si vyžaduje splnenie kodanských kritérií členstva v EÚ vrátane kritérií týkajúcich sa demokracie, právneho štátu a základných hodnôt a boja proti </w:t>
      </w:r>
      <w:r>
        <w:t>korupcii;</w:t>
      </w:r>
    </w:p>
    <w:p w:rsidR="000010F8" w:rsidRDefault="002B71AE">
      <w:pPr>
        <w:pStyle w:val="NormalHanging12a"/>
      </w:pPr>
      <w:r>
        <w:t>26.</w:t>
      </w:r>
      <w:r>
        <w:tab/>
        <w:t xml:space="preserve">sa domnieva, že pristúpenie Ukrajiny, ako aj Moldavska k EÚ, by bolo vzájomne prospešnou investíciou do zjednotenej a silnej Európy; víta plán rastu Moldavskej republiky a prijatie Nástroja na podporu reforiem a rastu pre Moldavsko v hodnote </w:t>
      </w:r>
      <w:r>
        <w:t xml:space="preserve">1,9 miliardy EUR, ktorý slúži na urýchlenie reforiem súvisiacich s EÚ; vyjadruje </w:t>
      </w:r>
      <w:r>
        <w:lastRenderedPageBreak/>
        <w:t>znepokojenie nad negatívnymi dôsledkami pozastavenia USAID v Moldavsku; domnieva sa, že tento rozdiel by sa mal v čo najväčšej miere kompenzovať zdrojmi EÚ, Európskou nadáciou</w:t>
      </w:r>
      <w:r>
        <w:t xml:space="preserve"> na podporu demokracie a inými; nabáda PK/VP, aby dodatočne posilnila partnerstvo v oblasti SZBP s Ukrajinou a Moldavskom, a v tejto súvislosti víta podpísanie partnerstva v oblasti bezpečnosti a obrany medzi EÚ a Moldavskom v máji 2024; pripomína, že bezp</w:t>
      </w:r>
      <w:r>
        <w:t>ečnosť Moldavskej republiky je neoddeliteľne prepojená s bezpečnosťou Ukrajiny; zdôrazňuje preto potrebu zvýšiť finančné príspevky z EPF na ďalšie posilnenie obranných spôsobilostí Moldavska;</w:t>
      </w:r>
    </w:p>
    <w:p w:rsidR="000010F8" w:rsidRDefault="002B71AE">
      <w:pPr>
        <w:pStyle w:val="NormalHanging12a"/>
      </w:pPr>
      <w:r>
        <w:t>27.</w:t>
      </w:r>
      <w:r>
        <w:tab/>
        <w:t>chváli Moldavsko za profesionálny priebeh prezidentských vol</w:t>
      </w:r>
      <w:r>
        <w:t>ieb a referenda s mimoriadnym zmyslom pre povinnosť a odhodlanie, a to napriek pokračujúcemu masívnemu zasahovaniu Ruska a jeho zástupcov; víta výsledok referenda o členstve Moldavska v Európskej únii v roku 2024, ktorý zakotvil záväzok vstúpiť do EÚ v úst</w:t>
      </w:r>
      <w:r>
        <w:t xml:space="preserve">ave krajiny; vyjadruje podporu Moldavsku pri obrane jeho demokracie; dôrazne odsudzuje neustále a koordinované pokusy Ruskej federácie, </w:t>
      </w:r>
      <w:proofErr w:type="spellStart"/>
      <w:r>
        <w:t>proruských</w:t>
      </w:r>
      <w:proofErr w:type="spellEnd"/>
      <w:r>
        <w:t xml:space="preserve"> oligarchov a miestnych zástupcov sponzorovaných Ruskom o destabilizáciu Moldavskej republiky, podnecovanie ro</w:t>
      </w:r>
      <w:r>
        <w:t xml:space="preserve">zporov v moldavskej spoločnosti a podkopanie </w:t>
      </w:r>
      <w:proofErr w:type="spellStart"/>
      <w:r>
        <w:t>proeurópskeho</w:t>
      </w:r>
      <w:proofErr w:type="spellEnd"/>
      <w:r>
        <w:t xml:space="preserve"> smerovania krajiny hybridnými útokmi, </w:t>
      </w:r>
      <w:proofErr w:type="spellStart"/>
      <w:r>
        <w:t>inštrumentalizáciou</w:t>
      </w:r>
      <w:proofErr w:type="spellEnd"/>
      <w:r>
        <w:t xml:space="preserve"> dodávok energie, dezinformačnými kampaňami, bombovými hrozbami a zinscenovanými protestmi, ako aj vyhrážkami či používaním násilia; oceňuje</w:t>
      </w:r>
      <w:r>
        <w:t xml:space="preserve"> zriadenie a operácie partnerskej misie EÚ v Moldavsku, ktorá posilnila schopnosti moldavských orgánov riešiť ruské zasahovanie; vyzýva Radu, Komisiu a ESVČ, aby poskytli dodatočné zdroje vrátane ľudských a finančných zdrojov, vybavenia a civilných experto</w:t>
      </w:r>
      <w:r>
        <w:t>v, ktoré sú potrebné na vykonávanie mandátu misie po máji 2025;</w:t>
      </w:r>
    </w:p>
    <w:p w:rsidR="000010F8" w:rsidRDefault="002B71AE">
      <w:pPr>
        <w:pStyle w:val="NormalHanging12a"/>
      </w:pPr>
      <w:r>
        <w:t>28.</w:t>
      </w:r>
      <w:r>
        <w:tab/>
        <w:t xml:space="preserve">zdôrazňuje význam Európskeho mierového nástroja (EPF) pre zvýšenie schopnosti EÚ predchádzať konfliktom, budovať mier a posilňovať medzinárodnú bezpečnosť; </w:t>
      </w:r>
    </w:p>
    <w:p w:rsidR="000010F8" w:rsidRDefault="002B71AE">
      <w:pPr>
        <w:pStyle w:val="NormalHanging12a"/>
      </w:pPr>
      <w:r>
        <w:t>29.</w:t>
      </w:r>
      <w:r>
        <w:tab/>
        <w:t>víta vytvorenie konzultačne</w:t>
      </w:r>
      <w:r>
        <w:t>j skupiny Bielorusko – EÚ s cieľom umožniť nepretržitý dialóg medzi EÚ a bieloruskými demokratickými silami; opakuje svoju podporu prepusteniu všetkých politických väzňov a odvážnych aktivistov a novinárov v Bielorusku, ktorí naďalej bojujú proti režimu ne</w:t>
      </w:r>
      <w:r>
        <w:t>legitímneho vodcu napriek prebiehajúcim zásahom, najmä odmietnutia obnovenia pasov Bielorusov v zahraničí, a ktorí vyjadrili svoje želanie demokratického rozvoja v Bielorusku a jeho členstva v EÚ, a to aj na konferencii Nové Bielorusko, ktorá sa konala v a</w:t>
      </w:r>
      <w:r>
        <w:t>uguste 2023 vo Varšave; zdôrazňuje, že takéto úsilie dokazuje zásadnú úlohu občianskej spoločnosti pri posilňovaní demokracie;</w:t>
      </w:r>
    </w:p>
    <w:p w:rsidR="000010F8" w:rsidRDefault="002B71AE">
      <w:pPr>
        <w:pStyle w:val="NormalHanging12a"/>
        <w:rPr>
          <w:i/>
          <w:u w:val="single"/>
        </w:rPr>
      </w:pPr>
      <w:r>
        <w:rPr>
          <w:i/>
          <w:u w:val="single"/>
        </w:rPr>
        <w:t>Riešenie konfliktu a podpora mieru na Blízkom východe</w:t>
      </w:r>
    </w:p>
    <w:p w:rsidR="000010F8" w:rsidRDefault="002B71AE">
      <w:pPr>
        <w:pStyle w:val="NormalHanging12a"/>
      </w:pPr>
      <w:r>
        <w:t>30.</w:t>
      </w:r>
      <w:r>
        <w:tab/>
        <w:t xml:space="preserve">potvrdzuje právo Izraela brániť sa, ktoré je zakotvené v medzinárodnom </w:t>
      </w:r>
      <w:r>
        <w:t>práve a ním obmedzené; pripomína, že Izrael má povinnosť riešiť riziko masového hladovania a vypuknutia epidémií chorôb v Gaze; pripomína, že Izrael je tiež povinný chrániť civilné obyvateľstvo a že vojenské operácie musia byť primerané a v súlade s medzin</w:t>
      </w:r>
      <w:r>
        <w:t xml:space="preserve">árodným humanitárnym právom; vyjadruje znepokojenie nad vojenskou akciou izraelských obranných síl v pásme Gazy a v </w:t>
      </w:r>
      <w:proofErr w:type="spellStart"/>
      <w:r>
        <w:t>Predjordánsku</w:t>
      </w:r>
      <w:proofErr w:type="spellEnd"/>
      <w:r>
        <w:t xml:space="preserve"> a v Libanone; vyzýva na okamžité a trvalé prímerie vrátane bezpodmienečného prepustenia všetkých rukojemníkov;</w:t>
      </w:r>
    </w:p>
    <w:p w:rsidR="000010F8" w:rsidRDefault="002B71AE">
      <w:pPr>
        <w:pStyle w:val="NormalHanging12a"/>
      </w:pPr>
      <w:r>
        <w:t>31.</w:t>
      </w:r>
      <w:r>
        <w:tab/>
        <w:t>vyjadruje h</w:t>
      </w:r>
      <w:r>
        <w:t xml:space="preserve">lboké poľutovanie nad prerušením prímeria v Gaze, ktoré počas nedávnych leteckých útokov spôsobilo veľký počet civilných obetí; v tejto súvislosti vyjadruje poľutovanie nad tým, že </w:t>
      </w:r>
      <w:proofErr w:type="spellStart"/>
      <w:r>
        <w:t>Hamas</w:t>
      </w:r>
      <w:proofErr w:type="spellEnd"/>
      <w:r>
        <w:t xml:space="preserve"> odmietol odovzdať zostávajúcich rukojemníkov; </w:t>
      </w:r>
      <w:r>
        <w:lastRenderedPageBreak/>
        <w:t>požaduje okamžitý návra</w:t>
      </w:r>
      <w:r>
        <w:t xml:space="preserve">t k úplnému vykonávaniu dohody o prímerí a prepustení rukojemníkov a zdôrazňuje, že je nutné pokročiť k jej druhej fáze; vyzdvihuje odhodlanie </w:t>
      </w:r>
      <w:proofErr w:type="spellStart"/>
      <w:r>
        <w:t>mediátorov</w:t>
      </w:r>
      <w:proofErr w:type="spellEnd"/>
      <w:r>
        <w:t xml:space="preserve"> vrátane USA, Egypta a Kataru, ktorých úsilie zohralo kľúčovú úlohu pri dosiahnutí dohody o prímerí a p</w:t>
      </w:r>
      <w:r>
        <w:t>repustení rukojemníkov v prvej fáze; je pripravený zapojiť sa do diskusií o budúcich konkrétnych príspevkoch k podpore prímeria; domnieva sa, že je nevyhnutné dodržiavať všetky záväzky vyplývajúce z dohody, zabezpečiť prepustenie všetkých rukojemníkov a za</w:t>
      </w:r>
      <w:r>
        <w:t xml:space="preserve">bezpečiť trvalé zastavenie násilia, ako aj umožniť neobmedzený prístup a nepretržitú distribúciu humanitárnej a zdravotníckej pomoci v pásme Gazy; na tento účel víta opätovné nasadenie pomocnej hraničnej misie Európskej únie na hraničnom priechode v </w:t>
      </w:r>
      <w:proofErr w:type="spellStart"/>
      <w:r>
        <w:t>Rafahu</w:t>
      </w:r>
      <w:proofErr w:type="spellEnd"/>
      <w:r>
        <w:t xml:space="preserve"> 31. januára 2025 s cieľom podporiť palestínsku samosprávu pri uľahčovaní prekročení hraníc na účely zdravotníckej evakuácie; vyjadruje znepokojenie nad nedávnym uzavretím hraničného priechodu v </w:t>
      </w:r>
      <w:proofErr w:type="spellStart"/>
      <w:r>
        <w:t>Rafahu</w:t>
      </w:r>
      <w:proofErr w:type="spellEnd"/>
      <w:r>
        <w:t xml:space="preserve"> až do odvolania v dôsledku vojenských operácií v Gaze,</w:t>
      </w:r>
      <w:r>
        <w:t xml:space="preserve"> ktoré sa začali 18. marca 2025; vyzýva všetky strany, aby sa v plnej miere zaviazali plniť svoje záväzky a uprednostňovali ochranu civilného obyvateľstva; naliehavo vyzýva všetkých európskych a medzinárodných aktérov, aby aktívne dohliadali na vykonávanie</w:t>
      </w:r>
      <w:r>
        <w:t xml:space="preserve"> prímeria a brali na zodpovednosť tých, ktorí ho nedodržia;</w:t>
      </w:r>
    </w:p>
    <w:p w:rsidR="000010F8" w:rsidRDefault="002B71AE">
      <w:pPr>
        <w:pStyle w:val="NormalHanging12a"/>
      </w:pPr>
      <w:r>
        <w:t>32.</w:t>
      </w:r>
      <w:r>
        <w:tab/>
        <w:t>domnieva sa, že zasadnutie Asociačnej rady s Izraelom, ktoré sa konalo 24. februára 2025 v Bruseli, bolo prvým krokom k opätovnému zapojeniu sa do úprimnej a otvorenej diskusie s izraelským mi</w:t>
      </w:r>
      <w:r>
        <w:t>nistrom zahraničných vecí a bude si vyžadovať ďalšie opatrenia; uznáva hodnotu spolupráce s Izraelom s cieľom posilniť úlohu EÚ na Blízkom východe, pričom zdôrazňuje, že partnerstvo musí byť založené na plnom dodržiavaní práv a hodnôt; pripomína, že dodrži</w:t>
      </w:r>
      <w:r>
        <w:t>avanie článku 2 dohody o pridružení je kľúčovým prvkom partnerstva, a vyzýva izraelskú vládu, aby naďalej monitorovala a hodnotila jeho vykonávanie; víta očakávaný dialóg na vysokej úrovni s palestínskym predsedom vlády v apríli 2025;</w:t>
      </w:r>
    </w:p>
    <w:p w:rsidR="000010F8" w:rsidRDefault="002B71AE">
      <w:pPr>
        <w:pStyle w:val="NormalHanging12a"/>
      </w:pPr>
      <w:r>
        <w:t>33.</w:t>
      </w:r>
      <w:r>
        <w:tab/>
        <w:t>opakovane vyjadru</w:t>
      </w:r>
      <w:r>
        <w:t>je neochvejnú podporu dohodnutému riešeniu založenému na existencii dvoch štátov na základe hraníc z roku 1967 s dvoma zvrchovanými, demokratickými štátmi ako mierumilovnými susedmi a Jeruzalemom ako spoločným hlavným mestom, ktoré zostáva najschodnejšou c</w:t>
      </w:r>
      <w:r>
        <w:t>estou k trvalému mieru a bezpečnosti pre Izraelčanov aj Palestínčanov; vyzýva PK/VP, aby podporila všetko úsilie v tomto smere, a najmä Globálnu alianciu pre vykonávanie riešenia založeného na existencii dvoch štátov; vyzýva všetky strany, aby obnovili úsi</w:t>
      </w:r>
      <w:r>
        <w:t>lie o odstránenie prekážok tohto riešenia a zapojili sa do dialógu zameraného na dosiahnutie vzájomného porozumenia a rešpektu; víta perspektívu návratu Palestínskej samosprávy do Gazy; vyjadruje poľutovanie nad skutočnosťou, že Palestínska samospráva od r</w:t>
      </w:r>
      <w:r>
        <w:t xml:space="preserve">oku 2005 neuskutočnila voľby, čo obmedzuje jej dôveryhodnosť, a očakáva, že voľby sa čoskoro uskutočnia; je presvedčený, že pokiaľ </w:t>
      </w:r>
      <w:proofErr w:type="spellStart"/>
      <w:r>
        <w:t>Hamas</w:t>
      </w:r>
      <w:proofErr w:type="spellEnd"/>
      <w:r>
        <w:t xml:space="preserve"> a iné teroristické skupiny budú zohrávať akúkoľvek úlohu v Pásme Gazy, neexistujú žiadne vyhliadky na mier, bezpečnosť,</w:t>
      </w:r>
      <w:r>
        <w:t xml:space="preserve"> stabilitu a prosperitu pre Gazu ani na palestínsko-izraelské zmierenie; vyzýva preto osobitného zástupcu EÚ pre mierový proces na Blízkom východe, aby podporil úsilie o boj proti ďalšej </w:t>
      </w:r>
      <w:proofErr w:type="spellStart"/>
      <w:r>
        <w:t>radikalizácii</w:t>
      </w:r>
      <w:proofErr w:type="spellEnd"/>
      <w:r>
        <w:t xml:space="preserve"> mladých ľudí v regióne; odsudzuje zrýchľovanie nelegáln</w:t>
      </w:r>
      <w:r>
        <w:t>eho izraelského osídľovania, ktoré porušuje medzinárodné právo, oslabuje úsilie o dosiahnutie riešenia v podobe existencie dvoch štátov a predstavuje významnú prekážku trvalého mieru; vyjadruje znepokojenie nad narastajúcim násilím páchaným izraelskými sil</w:t>
      </w:r>
      <w:r>
        <w:t xml:space="preserve">ami a extrémistickými osadníkmi v </w:t>
      </w:r>
      <w:proofErr w:type="spellStart"/>
      <w:r>
        <w:t>Predjordánsku</w:t>
      </w:r>
      <w:proofErr w:type="spellEnd"/>
      <w:r>
        <w:t xml:space="preserve"> a vo východnom Jeruzaleme a víta sankcie prijaté proti extrémistickým izraelským osadníkom; v tejto súvislosti opätovne zdôrazňuje zásadnú úlohu Abrahámskych dohôd ako rámca na dosiahnutie trvalého mieru, sta</w:t>
      </w:r>
      <w:r>
        <w:t xml:space="preserve">bility a prosperity na Blízkom východe; víta Arabský plán zotavenia a obnovy </w:t>
      </w:r>
      <w:r>
        <w:lastRenderedPageBreak/>
        <w:t>predstavený na samite v Káhire 4. marca 2025, ktorý predstavuje seriózny základ diskusií o budúcnosti pásma Gazy; nabáda PK/VP a komisárku pre Stredozemie, aby konštruktívne spolu</w:t>
      </w:r>
      <w:r>
        <w:t>pracovali s arabskými partnermi s cieľom poskytnúť dôveryhodné riešenia pre obnovu, správu a bezpečnosť Gazy; na druhej strane odmieta „</w:t>
      </w:r>
      <w:proofErr w:type="spellStart"/>
      <w:r>
        <w:t>Trumpov</w:t>
      </w:r>
      <w:proofErr w:type="spellEnd"/>
      <w:r>
        <w:t xml:space="preserve"> návrh pre Gazu“, ktorý ignoruje nestabilné bezpečnostné podmienky na Blízkom východe; zastáva názor, že rozsah z</w:t>
      </w:r>
      <w:r>
        <w:t>ničenia a ľudského utrpenia v Gaze si vyžaduje komplexnú medzinárodnú spoluprácu s USA spolu s EÚ, OSN, arabskými štátmi a ďalšími medzinárodnými partnermi, ktorí by sa navzájom dopĺňali, aby sa rokovania obnovili a aby boli konštruktívne; je odhodlaný usi</w:t>
      </w:r>
      <w:r>
        <w:t>lovať sa o budúcu normalizáciu medzi Izraelom a arabskými štátmi v regióne;</w:t>
      </w:r>
    </w:p>
    <w:p w:rsidR="000010F8" w:rsidRDefault="002B71AE">
      <w:pPr>
        <w:pStyle w:val="NormalHanging12a"/>
      </w:pPr>
      <w:r>
        <w:t>34.</w:t>
      </w:r>
      <w:r>
        <w:tab/>
      </w:r>
      <w:r>
        <w:t>podporuje spravodlivé a životaschopné riešenie otázky palestínskych utečencov; zdôrazňuje, že Agentúra Organizácie Spojených národov pre pomoc a prácu v prospech palestínskych utečencov na Blízkom východe (UNRWA) zohráva dôležitú úlohu pri poskytovaní huma</w:t>
      </w:r>
      <w:r>
        <w:t>nitárnej pomoci a základných služieb, ktoré sa za súčasných okolností nesmie prerušiť, a domnieva sa, že treba podporovať všetky agentúry OSN pôsobiace v regióne v ich úsilí; pripomína však svoje znepokojenie nad vážnymi obvineniami proti zamestnancom UNRW</w:t>
      </w:r>
      <w:r>
        <w:t xml:space="preserve">A, ktoré naznačujú, že UNRWA zamestnávala členov teroristickej organizácie </w:t>
      </w:r>
      <w:proofErr w:type="spellStart"/>
      <w:r>
        <w:t>Hamas</w:t>
      </w:r>
      <w:proofErr w:type="spellEnd"/>
      <w:r>
        <w:t xml:space="preserve">; víta opatrenia, ktoré prijala OSN v nadväznosti na obvinenia týkajúce sa zamestnancov agentúry, a víta plný záväzok UNRWA vykonávať odporúčania vyplývajúce z </w:t>
      </w:r>
      <w:proofErr w:type="spellStart"/>
      <w:r>
        <w:t>Colonnovej</w:t>
      </w:r>
      <w:proofErr w:type="spellEnd"/>
      <w:r>
        <w:t xml:space="preserve"> správ</w:t>
      </w:r>
      <w:r>
        <w:t>y; opakuje závery Európskej rady zo 17. októbra 2024, v ktorých sa odsudzuje akýkoľvek pokus o zrušenie dohody medzi Izraelom a UNRWA z roku 1967; trvá na tom, aby Komisia zabezpečila, aby žiadne finančné prostriedky z rozpočtu EÚ ani nefinancovali činnost</w:t>
      </w:r>
      <w:r>
        <w:t xml:space="preserve">i </w:t>
      </w:r>
      <w:proofErr w:type="spellStart"/>
      <w:r>
        <w:t>Hamasu</w:t>
      </w:r>
      <w:proofErr w:type="spellEnd"/>
      <w:r>
        <w:t xml:space="preserve"> alebo </w:t>
      </w:r>
      <w:proofErr w:type="spellStart"/>
      <w:r>
        <w:t>Hizballáhu</w:t>
      </w:r>
      <w:proofErr w:type="spellEnd"/>
      <w:r>
        <w:t xml:space="preserve"> ani ich nepodporovali; zdôrazňuje, že v budúcnosti môžu byť potrebné ďalšie opatrenia v snahe o ešte väčšiu transparentnosť a zodpovednosť;</w:t>
      </w:r>
    </w:p>
    <w:p w:rsidR="000010F8" w:rsidRDefault="002B71AE">
      <w:pPr>
        <w:pStyle w:val="NormalHanging12a"/>
      </w:pPr>
      <w:r>
        <w:t>35.</w:t>
      </w:r>
      <w:r>
        <w:tab/>
        <w:t>vyjadruje znepokojenie nad rastúcim napätím na Blízkom východe a naliehavo vyzýva všet</w:t>
      </w:r>
      <w:r>
        <w:t>ky zúčastnené strany, aby dodržiavali medzinárodné humanitárne právo, preukázali maximálnu zdržanlivosť a zaviazali sa k zmierneniu napätia, keďže sa za každú cenu musí predísť regionálnemu konfliktu; vyjadruje poľutovanie nad stratami tisícov životov civi</w:t>
      </w:r>
      <w:r>
        <w:t xml:space="preserve">listov; naliehavo požaduje odzbrojenie </w:t>
      </w:r>
      <w:proofErr w:type="spellStart"/>
      <w:r>
        <w:t>Hizballáhu</w:t>
      </w:r>
      <w:proofErr w:type="spellEnd"/>
      <w:r>
        <w:t xml:space="preserve"> ako súčasť širších opatrení na obmedzenie násilností a zabezpečenie regionálnej stability; vyzýva PK/VP, aby predložila komplexnú stratégiu EÚ pre Blízky východ s cieľom zvýšiť účinnú prítomnosť EÚ v región</w:t>
      </w:r>
      <w:r>
        <w:t>e, podporiť dlhodobú stabilitu a mier v regióne a posilniť partnerstvá s kľúčovými regionálnymi zainteresovanými stranami; zdôrazňuje, že stratégia sa musí spresniť v prvých mesiacoch funkčného obdobia novej Komisie a mala by sa odraziť v nadchádzajúcom VF</w:t>
      </w:r>
      <w:r>
        <w:t>R, aby mala akýkoľvek hmatateľný vplyv na rýchlo sa zhoršujúcu situáciu; zdôrazňuje, že je potrebné, aby členské štáty pokračovali v diplomatickom úsilí s medzinárodnými partnermi vrátane krajín Perzského zálivu a zintenzívnili ho s cieľom podporiť urýchle</w:t>
      </w:r>
      <w:r>
        <w:t xml:space="preserve">né zmiernenie napätia a zmysluplný dialóg; zdôrazňuje potrebu priorizovať a posilniť organizácie občianskej spoločnosti v regióne, najmä organizácie pôsobiace v oblasti ochrany ľudských práv a budovania mieru; </w:t>
      </w:r>
    </w:p>
    <w:p w:rsidR="000010F8" w:rsidRDefault="002B71AE">
      <w:pPr>
        <w:pStyle w:val="NormalHanging12a"/>
      </w:pPr>
      <w:r>
        <w:t>36.</w:t>
      </w:r>
      <w:r>
        <w:tab/>
        <w:t xml:space="preserve">dôrazne odsudzuje destabilizujúcu úlohu, </w:t>
      </w:r>
      <w:r>
        <w:t xml:space="preserve">ktorú v regióne zohráva iránsky režim a jeho sieť neštátnych subjektov; pripomína, že Irán vystúpil z tieňa svojich zástupcov, a odsudzuje dva priame a otvorené útoky Iránu na územie Izraela v roku 2024, na ktoré Izrael v oboch prípadoch reagoval odvetou, </w:t>
      </w:r>
      <w:r>
        <w:t xml:space="preserve">čo predstavuje bezprecedentné rozšírenie konfliktu; dôrazne odsudzuje útoky </w:t>
      </w:r>
      <w:proofErr w:type="spellStart"/>
      <w:r>
        <w:t>Hizballáhu</w:t>
      </w:r>
      <w:proofErr w:type="spellEnd"/>
      <w:r>
        <w:t xml:space="preserve"> na Izrael, ktoré viedli k izraelskej pozemnej invázii do Libanonu, ktorá spôsobila vysoký počet civilných obetí, nútené vysídľovanie a eskaláciu násilia v Libanone; beri</w:t>
      </w:r>
      <w:r>
        <w:t xml:space="preserve">e na vedomie prímerie medzi Izraelom </w:t>
      </w:r>
      <w:r>
        <w:lastRenderedPageBreak/>
        <w:t xml:space="preserve">a </w:t>
      </w:r>
      <w:proofErr w:type="spellStart"/>
      <w:r>
        <w:t>Hizballáhom</w:t>
      </w:r>
      <w:proofErr w:type="spellEnd"/>
      <w:r>
        <w:t>, ktoré bolo dohodnuté 27. novembra 2024 na obdobie 60 dní; naliehavo vyzýva Izrael, aby sa stiahol z južného Libanonu v súlade s rezolúciou Bezpečnostnej rady OSN 1701; pripomína, že je potrebné čo najskôr</w:t>
      </w:r>
      <w:r>
        <w:t xml:space="preserve"> definitívne ukončiť násilnosti s cieľom vytvoriť priestor pre diplomatické riešenie pozdĺž modrej línie; požaduje vykonávanie rezolúcie Bezpečnostnej rady OSN 1701 v celom rozsahu ako jedinú cestu k zmierneniu napätia a trvalej stabilizácii izraelsko-liba</w:t>
      </w:r>
      <w:r>
        <w:t>nonskej hranice a úplnej obnove zvrchovanosti, územnej celistvosti a stability Libanonu; víta rozhodnutie Rady z 21. januára 2025 o prijatí tretieho opatrenia pomoci v rámci Európskeho mierového nástroja v hodnote 60 miliónov EUR v prospech libanonských oz</w:t>
      </w:r>
      <w:r>
        <w:t>brojených síl;</w:t>
      </w:r>
    </w:p>
    <w:p w:rsidR="000010F8" w:rsidRDefault="002B71AE">
      <w:pPr>
        <w:pStyle w:val="NormalHanging12a"/>
      </w:pPr>
      <w:r>
        <w:t>37.</w:t>
      </w:r>
      <w:r>
        <w:tab/>
        <w:t xml:space="preserve">vyzýva Radu a PK/VP, aby celé hnutie </w:t>
      </w:r>
      <w:proofErr w:type="spellStart"/>
      <w:r>
        <w:t>Hizballáh</w:t>
      </w:r>
      <w:proofErr w:type="spellEnd"/>
      <w:r>
        <w:t xml:space="preserve"> pridali do zoznamu teroristických organizácií EÚ;</w:t>
      </w:r>
    </w:p>
    <w:p w:rsidR="000010F8" w:rsidRDefault="002B71AE">
      <w:pPr>
        <w:pStyle w:val="NormalHanging12a"/>
      </w:pPr>
      <w:r>
        <w:t>38.</w:t>
      </w:r>
      <w:r>
        <w:tab/>
        <w:t>berie na vedomie zatýkací rozkaz, ktorý vydal Medzinárodný trestný súd 21. novembra 2024;</w:t>
      </w:r>
    </w:p>
    <w:p w:rsidR="000010F8" w:rsidRDefault="002B71AE">
      <w:pPr>
        <w:pStyle w:val="NormalHanging12a"/>
      </w:pPr>
      <w:r>
        <w:t>39.</w:t>
      </w:r>
      <w:r>
        <w:tab/>
        <w:t xml:space="preserve">opakuje výzvu sudkyne a predsedníčky MTS </w:t>
      </w:r>
      <w:proofErr w:type="spellStart"/>
      <w:r>
        <w:t>T</w:t>
      </w:r>
      <w:r>
        <w:t>omoko</w:t>
      </w:r>
      <w:proofErr w:type="spellEnd"/>
      <w:r>
        <w:t xml:space="preserve"> </w:t>
      </w:r>
      <w:proofErr w:type="spellStart"/>
      <w:r>
        <w:t>Akaneovej</w:t>
      </w:r>
      <w:proofErr w:type="spellEnd"/>
      <w:r>
        <w:t>, aby EÚ prijala okamžité opatrenia na ochranu MTS a právneho štátu v medzinárodnom spoločenstve, a to aj urýchlenou zmenou nariadenia EÚ o blokovaní s cieľom začleniť MTS do jeho rozsahu pôsobnosti;</w:t>
      </w:r>
    </w:p>
    <w:p w:rsidR="000010F8" w:rsidRDefault="002B71AE">
      <w:pPr>
        <w:pStyle w:val="NormalHanging12a"/>
      </w:pPr>
      <w:r>
        <w:t>40.</w:t>
      </w:r>
      <w:r>
        <w:tab/>
        <w:t xml:space="preserve">víta vytvorenie novej vlády; želá si </w:t>
      </w:r>
      <w:r>
        <w:t xml:space="preserve">prezidentovi </w:t>
      </w:r>
      <w:proofErr w:type="spellStart"/>
      <w:r>
        <w:t>Josephovi</w:t>
      </w:r>
      <w:proofErr w:type="spellEnd"/>
      <w:r>
        <w:t xml:space="preserve"> </w:t>
      </w:r>
      <w:proofErr w:type="spellStart"/>
      <w:r>
        <w:t>Aounovi</w:t>
      </w:r>
      <w:proofErr w:type="spellEnd"/>
      <w:r>
        <w:t xml:space="preserve"> a predsedovi vlády </w:t>
      </w:r>
      <w:proofErr w:type="spellStart"/>
      <w:r>
        <w:t>Nawafovi</w:t>
      </w:r>
      <w:proofErr w:type="spellEnd"/>
      <w:r>
        <w:t xml:space="preserve"> </w:t>
      </w:r>
      <w:proofErr w:type="spellStart"/>
      <w:r>
        <w:t>Salamovi</w:t>
      </w:r>
      <w:proofErr w:type="spellEnd"/>
      <w:r>
        <w:t xml:space="preserve"> úspech pri plnení ambícií libanonského ľudu; je odhodlaný podporovať krajinu pri obnove štátnych inštitúcií schopných plniť svoje poslanie v službách všetkých občanov pri napredovaní v pro</w:t>
      </w:r>
      <w:r>
        <w:t>grame orientovanom na reformy a orientovanom na budúcnosť, najmä pokiaľ ide o občianske slobody a právny štát; podporuje úsilie o rekonštrukciu a zároveň nástup na cestu politickej stabilizácie a sociálno-ekonomickej obnovy; vyzýva PK/VP, aby obnovila part</w:t>
      </w:r>
      <w:r>
        <w:t xml:space="preserve">nerstvo medzi EÚ a Libanonom, a to aj tým, že v blízkej budúcnosti zvolá zasadnutie Asociačnej rady; </w:t>
      </w:r>
    </w:p>
    <w:p w:rsidR="000010F8" w:rsidRDefault="002B71AE">
      <w:pPr>
        <w:pStyle w:val="NormalHanging12a"/>
      </w:pPr>
      <w:r>
        <w:t>41.</w:t>
      </w:r>
      <w:r>
        <w:tab/>
        <w:t xml:space="preserve">dôrazne odsudzuje nedávne útoky izraelských obranných síl a </w:t>
      </w:r>
      <w:proofErr w:type="spellStart"/>
      <w:r>
        <w:t>Hizballáhu</w:t>
      </w:r>
      <w:proofErr w:type="spellEnd"/>
      <w:r>
        <w:t xml:space="preserve"> na dočasné sily OSN v Libanone (UNIFIL); pripomína nedotknuteľnosť personálu a </w:t>
      </w:r>
      <w:r>
        <w:t>priestorov OSN a opätovne potvrdzuje zásadnú stabilizačnú úlohu, ktorú v južnom Libanone zohráva UNIFIL, ku ktorej prispieva 16 členských štátov, a vyzýva na okamžité ukončenie týchto útokov;</w:t>
      </w:r>
    </w:p>
    <w:p w:rsidR="000010F8" w:rsidRDefault="002B71AE">
      <w:pPr>
        <w:pStyle w:val="NormalHanging12a"/>
      </w:pPr>
      <w:r>
        <w:t>42.</w:t>
      </w:r>
      <w:r>
        <w:tab/>
        <w:t>víta rozhodnutie EÚ obnoviť sankcie voči Iránu do júla 2025,</w:t>
      </w:r>
      <w:r>
        <w:t xml:space="preserve"> a to aj uložením sankcií za výrobu bezpilotných </w:t>
      </w:r>
      <w:proofErr w:type="spellStart"/>
      <w:r>
        <w:t>dronov</w:t>
      </w:r>
      <w:proofErr w:type="spellEnd"/>
      <w:r>
        <w:t xml:space="preserve"> a riadených striel Iránu a ich dodávky do Ruska a širšieho regiónu Blízkeho východu; zdôrazňuje silné väzby medzi Iránom a Zborom iránskych revolučných gárd (IRGC), jeho zástupcami, ako sú </w:t>
      </w:r>
      <w:proofErr w:type="spellStart"/>
      <w:r>
        <w:t>Husíovia</w:t>
      </w:r>
      <w:proofErr w:type="spellEnd"/>
      <w:r>
        <w:t xml:space="preserve"> a </w:t>
      </w:r>
      <w:r>
        <w:t xml:space="preserve">milície pôsobiace v Iraku a Sýrii; dôrazne odsudzuje vysoký počet teroristických útokov a atentátov alebo pokusov o útoky, ktorých sa dopustili IRGC na celom svete, a to aj na európskej pôde, za posledných niekoľko desaťročí; opakuje svoju výzvu, aby IRGC </w:t>
      </w:r>
      <w:r>
        <w:t xml:space="preserve">boli zaradené do </w:t>
      </w:r>
      <w:proofErr w:type="spellStart"/>
      <w:r>
        <w:t>únijného</w:t>
      </w:r>
      <w:proofErr w:type="spellEnd"/>
      <w:r>
        <w:t xml:space="preserve"> zoznamu teroristických organizácií; poukazuje na to, že možnosti sankcií, ktoré ešte neboli využité, zahŕňajú oveľa prísnejší prístup k transferu technológií prostredníctvom vývozu výrobkov, ktoré neboli klasifikované ako tzv. výr</w:t>
      </w:r>
      <w:r>
        <w:t>obky s dvojakým použitím;</w:t>
      </w:r>
    </w:p>
    <w:p w:rsidR="000010F8" w:rsidRDefault="002B71AE">
      <w:pPr>
        <w:pStyle w:val="NormalHanging12a"/>
      </w:pPr>
      <w:r>
        <w:t>43.</w:t>
      </w:r>
      <w:r>
        <w:tab/>
        <w:t xml:space="preserve">dôrazne odsudzuje nezákonné, neprijateľné a hlboko destabilizujúce útoky </w:t>
      </w:r>
      <w:proofErr w:type="spellStart"/>
      <w:r>
        <w:t>Husíov</w:t>
      </w:r>
      <w:proofErr w:type="spellEnd"/>
      <w:r>
        <w:t xml:space="preserve"> na komerčné i vojenské plavidlá prechádzajúce cez Červené more; zdôrazňuje, že to spôsobilo výrazné narušenie svetového obchodu, pretože lodné spo</w:t>
      </w:r>
      <w:r>
        <w:t xml:space="preserve">ločnosti sú nútené </w:t>
      </w:r>
      <w:r>
        <w:lastRenderedPageBreak/>
        <w:t xml:space="preserve">presmerovať veľkú časť dopravy z Červeného mora okolo južného cípu Afriky; požaduje kolektívne opatrenia, podporuje väčšiu angažovanosť EÚ a medzinárodnú spoluprácu a dôrazne vyzýva na pokračujúce kroky na zabezpečenie slobody plavby na </w:t>
      </w:r>
      <w:r>
        <w:t>jednej z najkritickejších vodných ciest na svete; vyzýva na okamžité ukončenie týchto nezákonných útokov;</w:t>
      </w:r>
    </w:p>
    <w:p w:rsidR="000010F8" w:rsidRDefault="002B71AE">
      <w:pPr>
        <w:pStyle w:val="NormalHanging12a"/>
      </w:pPr>
      <w:r>
        <w:t>44.</w:t>
      </w:r>
      <w:r>
        <w:tab/>
        <w:t>stotožňuje sa s cieľom, ktorým je za každú cenu zabrániť Iránu v získaní jadrových zbraní; poukazuje však na to, že režim v Teheráne jasne odmieto</w:t>
      </w:r>
      <w:r>
        <w:t>l obnovenie plánu JCPOA a odmieta spolupracovať v jeho pretrvávajúcom spore s Medzinárodnou agentúrou pre atómovú energiu; zdôrazňuje, že Irán zároveň zvýšil svoju spôsobilosť v oblasti jadrových zbraní; vyjadruje poľutovanie nad tým, že v súčasnosti neexi</w:t>
      </w:r>
      <w:r>
        <w:t>stuje žiadna stratégia, pomocou ktorej by bolo možné presvedčiť Irán, aby prestal budovať vojenské jadrové kapacity, ani akčný plán pre prípad, že Irán prekročí jadrovú hranicu; vyzýva PK/VP, aby predložila revidovanú stratégiu pre Irán pripravenú na všetk</w:t>
      </w:r>
      <w:r>
        <w:t xml:space="preserve">y udalosti; </w:t>
      </w:r>
    </w:p>
    <w:p w:rsidR="000010F8" w:rsidRDefault="002B71AE">
      <w:pPr>
        <w:pStyle w:val="NormalHanging12a"/>
      </w:pPr>
      <w:r>
        <w:t>45.</w:t>
      </w:r>
      <w:r>
        <w:tab/>
        <w:t xml:space="preserve">vyjadruje znepokojenie nad štvavou rétorikou podnecovanou nesprávnymi informáciami a dezinformáciami, ktorou je obklopený tento konflikt, a nad jej zneužívaním zo strany aktérov s nekalými úmyslami na zasievanie nedôvery a nenávisti, a to </w:t>
      </w:r>
      <w:r>
        <w:t>aj v rámci európskych spoločností, ako to dokazuje najmä, ale nie výlučne, znepokojujúci nárast antisemitizmu; upozorňuje, že toto by malo byť prioritou v boji EÚ proti dezinformáciám, a vyzýva na koordinovaný prístup Komisie s ohľadom na vonkajší aj vnúto</w:t>
      </w:r>
      <w:r>
        <w:t>rný rozmer jej politík, okrem iného vrátane nadchádzajúceho strategického komunikačného plánu na podporu úlohy EÚ v južnom susedstve;</w:t>
      </w:r>
    </w:p>
    <w:p w:rsidR="000010F8" w:rsidRDefault="002B71AE">
      <w:pPr>
        <w:pStyle w:val="NormalHanging12a"/>
      </w:pPr>
      <w:r>
        <w:t>46.</w:t>
      </w:r>
      <w:r>
        <w:tab/>
        <w:t xml:space="preserve">víta historický pád </w:t>
      </w:r>
      <w:proofErr w:type="spellStart"/>
      <w:r>
        <w:t>Asadovho</w:t>
      </w:r>
      <w:proofErr w:type="spellEnd"/>
      <w:r>
        <w:t xml:space="preserve"> režimu v Sýrii; pripomína, že tak dlho prežil iba vďaka podpore ruských a iránskych spoje</w:t>
      </w:r>
      <w:r>
        <w:t>ncov a že jeho kolaps ukazuje, že sú oslabení; víta nový začiatok vzťahov medzi EÚ a Sýriou v podobe vymenovania chargé d’affaires EÚ v Damasku, diplomatickej angažovanosti a stretnutí na vysokej úrovni, na ktorých sa zúčastňujú členské štáty a lídri EÚ, a</w:t>
      </w:r>
      <w:r>
        <w:t xml:space="preserve">ko aj deviatej bruselskej konferencie, ktorá sa konala 17. marca 2025 za účasti dočasne povereného ministra zahraničných vecí </w:t>
      </w:r>
      <w:proofErr w:type="spellStart"/>
      <w:r>
        <w:t>Asáda</w:t>
      </w:r>
      <w:proofErr w:type="spellEnd"/>
      <w:r>
        <w:t xml:space="preserve"> </w:t>
      </w:r>
      <w:proofErr w:type="spellStart"/>
      <w:r>
        <w:t>al</w:t>
      </w:r>
      <w:proofErr w:type="spellEnd"/>
      <w:r>
        <w:t xml:space="preserve"> </w:t>
      </w:r>
      <w:proofErr w:type="spellStart"/>
      <w:r>
        <w:t>Šibáního</w:t>
      </w:r>
      <w:proofErr w:type="spellEnd"/>
      <w:r>
        <w:t>; domnieva sa, že nadviazanie diplomatických vzťahov s novými sýrskymi orgánmi by nemalo byť zámienkou na zhoviev</w:t>
      </w:r>
      <w:r>
        <w:t xml:space="preserve">avosť pre štátnych príslušníkov členských štátov, ktorí bojovali v rámci </w:t>
      </w:r>
      <w:proofErr w:type="spellStart"/>
      <w:r>
        <w:t>islamistických</w:t>
      </w:r>
      <w:proofErr w:type="spellEnd"/>
      <w:r>
        <w:t xml:space="preserve"> skupín v Sýrii; vyhlasuje, že títo bojovníci stále predstavujú hrozbu pre krajiny, ktorých sú štátnymi príslušníkmi, a pre všetky členské štáty EÚ; opakuje svoju neochv</w:t>
      </w:r>
      <w:r>
        <w:t>ejnú podporu územnej celistvosti Sýrie a zdôrazňuje, že je potrebné urýchlene zintenzívniť humanitárnu pomoc a ochranu pre 16,7 milióna ľudí v núdzi; na tento účel víta neobmedzené predlžovanie humanitárnych výnimiek a postupné, ale podmienené pozastavenie</w:t>
      </w:r>
      <w:r>
        <w:t xml:space="preserve"> sankcií pre celý rad hospodárskych odvetví s cieľom poskytnúť sýrskemu hospodárstvu veľmi potrebné záruky; zaväzuje sa, že bude pozorne sledovať proces politickej transformácie a vyzýva členské štáty, aby opätovne zaviedli sankcie, ak sýrske orgány nespln</w:t>
      </w:r>
      <w:r>
        <w:t>ia svoje stanovené záväzky; uznáva výzvu pre riadne budovanie štátu spojenú s rizikom rastu ozbrojených skupín lojálnych bývalému režimu a nabáda dočasné orgány, aby urýchlene zorganizovali polovojenské a civilné odzbrojenie, najmä po neprijateľnom odvetno</w:t>
      </w:r>
      <w:r>
        <w:t xml:space="preserve">m zacielení na </w:t>
      </w:r>
      <w:proofErr w:type="spellStart"/>
      <w:r>
        <w:t>alawitskú</w:t>
      </w:r>
      <w:proofErr w:type="spellEnd"/>
      <w:r>
        <w:t xml:space="preserve"> komunitu na základe jej vnímaného spojenia s </w:t>
      </w:r>
      <w:proofErr w:type="spellStart"/>
      <w:r>
        <w:t>Asadovým</w:t>
      </w:r>
      <w:proofErr w:type="spellEnd"/>
      <w:r>
        <w:t xml:space="preserve"> režimom; vyzýva EÚ a jej členské štáty, aby podporili proces vykonávania dohody medzi sýrskou prechodnou vládou a SDF pod kurdským vedením s cieľom zaručiť kurdskej komunite pln</w:t>
      </w:r>
      <w:r>
        <w:t xml:space="preserve">é uznanie a politickú účasť v Sýrii; vyzýva všetky strany, aby prispeli k mierovej politickej transformácii pod sýrskym vedením, k </w:t>
      </w:r>
      <w:proofErr w:type="spellStart"/>
      <w:r>
        <w:t>inkluzívnemu</w:t>
      </w:r>
      <w:proofErr w:type="spellEnd"/>
      <w:r>
        <w:t>, demokratickému modelu správy vecí verejných, ktorý zabezpečí zastúpenie, účasť a rovnaké práva žien, menšín a v</w:t>
      </w:r>
      <w:r>
        <w:t xml:space="preserve">šetkých členov </w:t>
      </w:r>
      <w:r>
        <w:lastRenderedPageBreak/>
        <w:t xml:space="preserve">sýrskej spoločnosti bez ohľadu na etnickú príslušnosť alebo náboženstvo a ktorý stavia do centra svojich činností dobré fungovanie štátnych inštitúcií a blaho sýrskeho ľudu; víta skutočnosť, že dočasný prezident </w:t>
      </w:r>
      <w:proofErr w:type="spellStart"/>
      <w:r>
        <w:t>aš-Šará</w:t>
      </w:r>
      <w:proofErr w:type="spellEnd"/>
      <w:r>
        <w:t xml:space="preserve"> uznal rozmanitosť Sýr</w:t>
      </w:r>
      <w:r>
        <w:t>ie a zároveň berie na vedomie nedostatky v tejto súvislosti, o ktorých svedčí zloženie súčasnej dočasnej vlády; je pevne presvedčený, že úspech politickej transformácie Sýrie, najmä zabezpečenie občianskeho mieru a budovanie dôvery v štátne inštitúcie, záv</w:t>
      </w:r>
      <w:r>
        <w:t>isí od spravodlivosti v prechodnom období a zmierenia ako cesty k boju proti beztrestnosti všetkých strán zodpovedných za porušovanie medzinárodného humanitárneho práva; zdôrazňuje, že boj proti beztrestnosti v Sýrii je pre medzinárodné spoločenstvo moráln</w:t>
      </w:r>
      <w:r>
        <w:t>ou a politickou nevyhnutnosťou; vyzýva EÚ a jej členské štáty, aby podporili prácu na vytvorení medzinárodného, nestranného a nezávislého mechanizmu na pomoc pri vyšetrovaní a stíhaní osôb zodpovedných za najzávažnejšie zločiny podľa medzinárodného práva s</w:t>
      </w:r>
      <w:r>
        <w:t>páchané v Sýrskej arabskej republike od marca 2011; nabáda Sýriu, aby ratifikovala Rímsky štatút Medzinárodného trestného súdu (MTS) a zodpovedajúcim spôsobom zosúladila vnútroštátne právne predpisy a prostredníctvom vyhlásenia priznala Medzinárodnému tres</w:t>
      </w:r>
      <w:r>
        <w:t xml:space="preserve">tnému súdu retroaktívnu právomoc; vyzýva EÚ a jej členské štáty, aby v spolupráci s medzinárodnými partnermi zvážili vytvorenie osobitnej misie na pomoc pri dokumentovaní prípadov závažných zločinov </w:t>
      </w:r>
      <w:proofErr w:type="spellStart"/>
      <w:r>
        <w:t>Asadovho</w:t>
      </w:r>
      <w:proofErr w:type="spellEnd"/>
      <w:r>
        <w:t xml:space="preserve"> režimu, ako aj všetkých ostatných frakcií; zdôra</w:t>
      </w:r>
      <w:r>
        <w:t>zňuje význam zachovania územnej celistvosti Sýrie, a to aj s cieľom pomôcť zachovať stabilitu v regióne; vyzýva PK/VP a členské štáty, aby podnikli okamžité kroky s cieľom zabrániť akémukoľvek opätovnému zriadeniu alebo posilneniu ruských síl, polovojenský</w:t>
      </w:r>
      <w:r>
        <w:t>ch jednotiek alebo spravodajských služieb v krajine;</w:t>
      </w:r>
    </w:p>
    <w:p w:rsidR="000010F8" w:rsidRDefault="002B71AE">
      <w:pPr>
        <w:pStyle w:val="NormalHanging12a"/>
        <w:rPr>
          <w:i/>
          <w:u w:val="single"/>
        </w:rPr>
      </w:pPr>
      <w:r>
        <w:rPr>
          <w:i/>
          <w:u w:val="single"/>
        </w:rPr>
        <w:t>Stimulovanie spolupráce s podobne zmýšľajúcimi partnermi</w:t>
      </w:r>
    </w:p>
    <w:p w:rsidR="000010F8" w:rsidRDefault="002B71AE">
      <w:pPr>
        <w:pStyle w:val="NormalHanging12a"/>
      </w:pPr>
      <w:r>
        <w:t>47.</w:t>
      </w:r>
      <w:r>
        <w:tab/>
        <w:t>uznáva, že požiadavka jednomyseľnosti núti členské štáty, aby neúnavne pracovali na dosiahnutí kompromisu a jednoty, čo je zdrojom politického</w:t>
      </w:r>
      <w:r>
        <w:t xml:space="preserve"> vplyvu EÚ na svetovej scéne; poukazuje však na to, že kompromis medzi ideálom jednoty a vysokými nákladmi na jednomyseľnosť z hľadiska dôveryhodnosti na svetovej scéne by sa mal posudzovať kriticky, najmä so zreteľom na účinné fungovanie rozšírenej Európs</w:t>
      </w:r>
      <w:r>
        <w:t xml:space="preserve">kej únie; </w:t>
      </w:r>
    </w:p>
    <w:p w:rsidR="000010F8" w:rsidRDefault="002B71AE">
      <w:pPr>
        <w:pStyle w:val="NormalHanging12a"/>
      </w:pPr>
      <w:r>
        <w:t>48.</w:t>
      </w:r>
      <w:r>
        <w:tab/>
        <w:t xml:space="preserve">v tejto súvislosti vyjadruje poľutovanie nad skutočnosťou, že jednotlivé členské štáty využili svoje právo veta na oslabenie dohôd, oddialenie rozhodovania alebo úplné zmarenie spoločnej politiky; vyjadruje poľutovanie nad tým, že potenciál </w:t>
      </w:r>
      <w:r>
        <w:t>rýchlych, účinných a efektívnych opatrení v oblasti zahraničnej, bezpečnostnej a obrannej politiky, ako sa stanovuje okrem iného v premosťovacích doložkách Zmluvy o EÚ, sa doteraz nikdy nevyužil;</w:t>
      </w:r>
    </w:p>
    <w:p w:rsidR="000010F8" w:rsidRDefault="002B71AE">
      <w:pPr>
        <w:pStyle w:val="NormalHanging12a"/>
      </w:pPr>
      <w:r>
        <w:t>49.</w:t>
      </w:r>
      <w:r>
        <w:tab/>
        <w:t>opakuje svoju výzvu Rade, aby postupne prešla na hlasova</w:t>
      </w:r>
      <w:r>
        <w:t>nie kvalifikovanou väčšinou, pokiaľ ide o rozhodnutia v oblastiach SZBP, ktoré nemajú vojenské ani obranné dôsledky; uznáva obavy niektorých členských štátov týkajúce sa zníženej schopnosti ovplyvňovať zahraničnú a bezpečnostnú politiku na úrovni EÚ; nabád</w:t>
      </w:r>
      <w:r>
        <w:t>a, aby sa až do úplného zavedenia hlasovania kvalifikovanou väčšinou na rozhodnutia bez vojenských alebo obranných dôsledkov v plnej miere využili všetky v súčasnosti existujúce možnosti na posilnenie rozhodnosti v tejto súvislosti vrátane využitia konštru</w:t>
      </w:r>
      <w:r>
        <w:t>ktívneho zdržania sa hlasovania v súlade s článkom 31 ods. 1 Zmluvy o EÚ; uznáva, že pokrok smerom k uplatňovaniu hlasovania kvalifikovanou väčšinou môže byť len postupný a vychádzať z vybudovania európskej strategickej kultúry;</w:t>
      </w:r>
    </w:p>
    <w:p w:rsidR="000010F8" w:rsidRDefault="002B71AE">
      <w:pPr>
        <w:pStyle w:val="NormalHanging12a"/>
      </w:pPr>
      <w:r>
        <w:lastRenderedPageBreak/>
        <w:t>50.</w:t>
      </w:r>
      <w:r>
        <w:tab/>
        <w:t xml:space="preserve">zdôrazňuje, že svet sa </w:t>
      </w:r>
      <w:r>
        <w:t xml:space="preserve">stáva čoraz </w:t>
      </w:r>
      <w:proofErr w:type="spellStart"/>
      <w:r>
        <w:t>multipolárnejším</w:t>
      </w:r>
      <w:proofErr w:type="spellEnd"/>
      <w:r>
        <w:t xml:space="preserve"> a menej multilaterálnym; zdôrazňuje, že multilaterálne fóra, predovšetkým OSN a jej agentúry, by sa mali považovať za preferovaný formát EÚ pre spoluprácu; vyzýva členské štáty, aby posilnili </w:t>
      </w:r>
      <w:proofErr w:type="spellStart"/>
      <w:r>
        <w:t>inkluzívne</w:t>
      </w:r>
      <w:proofErr w:type="spellEnd"/>
      <w:r>
        <w:t xml:space="preserve"> formy multilaterálneho r</w:t>
      </w:r>
      <w:r>
        <w:t xml:space="preserve">iadenia, a v tejto súvislosti nabáda Komisiu, ESVČ a Radu, aby zintenzívnili </w:t>
      </w:r>
      <w:proofErr w:type="spellStart"/>
      <w:r>
        <w:t>medziinštitucionálnu</w:t>
      </w:r>
      <w:proofErr w:type="spellEnd"/>
      <w:r>
        <w:t xml:space="preserve"> spoluprácu s multilaterálnymi organizáciami, ktoré sú neoddeliteľnou súčasťou medzinárodného poriadku založeného na pravidlách, a teda chránia multilaterálny </w:t>
      </w:r>
      <w:r>
        <w:t>systém OSN ako celok; v tejto súvislosti vyjadruje znepokojenie nad rastúcim významom exkluzívnych formátov spolupráce, pri ktorých dochádza k čoraz väčšej konkurencii; vyjadruje znepokojenie nad rastúcim počtom členov skupiny BRICS, ktorá v súčasnosti zah</w:t>
      </w:r>
      <w:r>
        <w:t>ŕňa 45 % svetovej populácie; zdôrazňuje, že takáto spolupráca poskytuje Rusku prostriedky na obchádzanie opatrení, ktorých účelom je politicky izolovať Rusko, a umožňuje Číne ďalej rozširovať jej vplyv prostredníctvom jej spôsobu financovania projektov inf</w:t>
      </w:r>
      <w:r>
        <w:t>raštruktúry; zdôrazňuje, že miera zapojenia Číny bude závisieť od jej ochoty urobiť ústupky s cieľom riešiť riadenie a reštrukturalizáciu dlhu krajín globálneho Juhu; zároveň konštatuje, že autokratické režimy čoraz viac využívajú a oslabujú medzinárodné i</w:t>
      </w:r>
      <w:r>
        <w:t xml:space="preserve">nštitúcie a normy; zdôrazňuje, že tento trend stavia EÚ do chúlostivej pozície, keď musí hľadať rovnováhu medzi potrebou apelovať na širokú a </w:t>
      </w:r>
      <w:proofErr w:type="spellStart"/>
      <w:r>
        <w:t>inkluzívnu</w:t>
      </w:r>
      <w:proofErr w:type="spellEnd"/>
      <w:r>
        <w:t xml:space="preserve"> koncepciu </w:t>
      </w:r>
      <w:proofErr w:type="spellStart"/>
      <w:r>
        <w:t>multilateralizmu</w:t>
      </w:r>
      <w:proofErr w:type="spellEnd"/>
      <w:r>
        <w:t xml:space="preserve"> a potrebou posilňovať spoluprácu s vybranými podobne zmýšľajúcimi partnermi;</w:t>
      </w:r>
    </w:p>
    <w:p w:rsidR="000010F8" w:rsidRDefault="002B71AE">
      <w:pPr>
        <w:pStyle w:val="NormalHanging12a"/>
      </w:pPr>
      <w:r>
        <w:t>51.</w:t>
      </w:r>
      <w:r>
        <w:tab/>
        <w:t>vyzýva Komisiu a Radu, aby prehodnotili a opätovne posúdili prístup EÚ k skupine BRICS a jej partnerom a vypracovali samostatnú politiku EÚ voči skupine BRICS+;</w:t>
      </w:r>
    </w:p>
    <w:p w:rsidR="000010F8" w:rsidRDefault="002B71AE">
      <w:pPr>
        <w:pStyle w:val="NormalHanging12a"/>
      </w:pPr>
      <w:r>
        <w:t>52.</w:t>
      </w:r>
      <w:r>
        <w:tab/>
        <w:t>dôrazne vyzýva na preskúmanie finančnej pomoci EÚ tretím krajinám s cieľom zabezpečiť,</w:t>
      </w:r>
      <w:r>
        <w:t xml:space="preserve"> aby nepodporovala vlády, ktoré spochybňujú európske hodnoty, šíria protizápadnú propagandu, podporujú útočnú vojnu Ruska proti Ukrajine a neoslabujú súčasný medzinárodný poriadok, ktorý presadzuje demokraciu, ľudské práva a boj proti korupcii;</w:t>
      </w:r>
    </w:p>
    <w:p w:rsidR="000010F8" w:rsidRDefault="002B71AE">
      <w:pPr>
        <w:pStyle w:val="NormalHanging12a"/>
      </w:pPr>
      <w:r>
        <w:t>53.</w:t>
      </w:r>
      <w:r>
        <w:tab/>
        <w:t>v tejto</w:t>
      </w:r>
      <w:r>
        <w:t xml:space="preserve"> súvislosti zdôrazňuje, že geopolitický kontext, v ktorom EÚ pôsobí, je naďalej poznačený radikálnou neistotou a prechodom od spolupráce ku konkurencii; so znepokojením sleduje, ako sa každý druh interakcie využíva ako zbraň, a konštatuje, že tento trend o</w:t>
      </w:r>
      <w:r>
        <w:t>slabuje medzinárodnú spoluprácu v čase, keď treba urýchliť globálnu transformáciu s cieľom účinne riešiť globálne výzvy; pripomína, že EÚ si nemôže dovoliť uzavrieť sa do seba a musí zostať otvorená a angažovať sa vo svete pri obrane svojich hodnôt a záujm</w:t>
      </w:r>
      <w:r>
        <w:t xml:space="preserve">ov; zdôrazňuje, že vzhľadom na zintenzívnené úsilie tretích krajín o destabilizáciu medzinárodného poriadku a oslabenie </w:t>
      </w:r>
      <w:proofErr w:type="spellStart"/>
      <w:r>
        <w:t>multilateralizmu</w:t>
      </w:r>
      <w:proofErr w:type="spellEnd"/>
      <w:r>
        <w:t xml:space="preserve"> šírením dezinformácií je nevyhnutná posilnená spolupráca a koordinácia s podobne zmýšľajúcimi partnermi;</w:t>
      </w:r>
    </w:p>
    <w:p w:rsidR="000010F8" w:rsidRDefault="002B71AE">
      <w:pPr>
        <w:pStyle w:val="NormalHanging12a"/>
      </w:pPr>
      <w:r>
        <w:t>54.</w:t>
      </w:r>
      <w:r>
        <w:tab/>
      </w:r>
      <w:r>
        <w:t>vyzýva inštitúcie EÚ a členské štáty, aby aktívne podporovali komplexnú inštitucionálnu reformu multilaterálnych inštitúcií, predovšetkým systému OSN, a najmä Bezpečnostnej rady OSN, ktorá by mala zahŕňať opatrenia zamerané na obmedzenie používania práva v</w:t>
      </w:r>
      <w:r>
        <w:t>eta, posilnenie regionálneho zastúpenia, zodpovednosť výkonných orgánov voči zhromaždeniu, ktoré ho volí, a nové vymedzenie zloženia členstva, aby lepšie odrážalo geopolitickú realitu, a to aj vytvorením stáleho kresla pre EÚ; zdôrazňuje, že takéto reformy</w:t>
      </w:r>
      <w:r>
        <w:t xml:space="preserve"> majú zásadný význam pre posilnenie </w:t>
      </w:r>
      <w:proofErr w:type="spellStart"/>
      <w:r>
        <w:t>multilateralizmu</w:t>
      </w:r>
      <w:proofErr w:type="spellEnd"/>
      <w:r>
        <w:t xml:space="preserve">, zlepšenie globálneho riadenia a rozhodovania založeného na hodnotách a </w:t>
      </w:r>
      <w:proofErr w:type="spellStart"/>
      <w:r>
        <w:t>inkluzívnejšie</w:t>
      </w:r>
      <w:proofErr w:type="spellEnd"/>
      <w:r>
        <w:t xml:space="preserve"> a pohotovejšie riešenie medzinárodných výziev;</w:t>
      </w:r>
    </w:p>
    <w:p w:rsidR="000010F8" w:rsidRDefault="002B71AE">
      <w:pPr>
        <w:pStyle w:val="NormalHanging12a"/>
      </w:pPr>
      <w:r>
        <w:t>55.</w:t>
      </w:r>
      <w:r>
        <w:tab/>
        <w:t>pripomína význam silného a konštruktívneho partnerstva so Spojený</w:t>
      </w:r>
      <w:r>
        <w:t xml:space="preserve">m kráľovstvom </w:t>
      </w:r>
      <w:r>
        <w:lastRenderedPageBreak/>
        <w:t xml:space="preserve">nielen vzhľadom na existenciu bezprecedentne komplexnej dohody o obchode a spolupráci, základ spoločných hodnôt, ako je demokracia, podpora </w:t>
      </w:r>
      <w:proofErr w:type="spellStart"/>
      <w:r>
        <w:t>multilateralizmu</w:t>
      </w:r>
      <w:proofErr w:type="spellEnd"/>
      <w:r>
        <w:t xml:space="preserve"> a ľudských práv, ale aj vzhľadom na rozsah otázok spoločného záujmu v oblastiach, ako</w:t>
      </w:r>
      <w:r>
        <w:t xml:space="preserve"> sú obrana, klíma a energetika, riadenie hraníc, boj proti terorizmu, organizovaná trestná činnosť a podpora mieru a stability; víta najmä obnovený impulz novej vlády Spojeného kráľovstva, aby spolu s EÚ zvážila možnosti užšej a trvalejšej spolupráce v obl</w:t>
      </w:r>
      <w:r>
        <w:t>asti zahraničnej politiky a bezpečnosti, ktorá sa opiera o konkrétne opatrenia a stavia na dobrej spolupráci na úrovni OSN, ako aj účinnú koordináciu medzi EÚ a Spojeným kráľovstvom pri prijímaní a monitorovaní vykonávania sankcií proti Rusku; domnieva sa,</w:t>
      </w:r>
      <w:r>
        <w:t xml:space="preserve"> že takáto koordinácia má pre EÚ aj Spojené kráľovstvo pridanú hodnotu, a preto víta dohodu o práci na vytvorení bezpečnostného partnerstva medzi EÚ a Spojeným kráľovstvom založeného na spoločnom záujme a kolektívnej zodpovednosti; domnieva sa, že v rámci </w:t>
      </w:r>
      <w:r>
        <w:t>takéhoto partnerstva by sa malo konzultovať o témach, ako je námorná bezpečnosť; žiada, aby bol Európsky parlament do týchto úvah riadne zapojený a aby bol náležite informovaný, a to ešte pred plánovaným samitom Spojeného kráľovstva a EÚ a po ňom;</w:t>
      </w:r>
    </w:p>
    <w:p w:rsidR="000010F8" w:rsidRDefault="002B71AE">
      <w:pPr>
        <w:pStyle w:val="NormalHanging12a"/>
      </w:pPr>
      <w:r>
        <w:t>56.</w:t>
      </w:r>
      <w:r>
        <w:tab/>
        <w:t>beri</w:t>
      </w:r>
      <w:r>
        <w:t xml:space="preserve">e na vedomie výsledok prezidentských a kongresových volieb v USA; vyjadruje znepokojenie nad rýchlym tempom, ktorým nová vláda USA ruší zavedené partnerstvá a diplomatickú tradíciu; vyjadruje vážne obavy nad súčasnou politikou zľahčovania politiky Ruska a </w:t>
      </w:r>
      <w:r>
        <w:t xml:space="preserve">útočenia na tradičných spojencov; vyjadruje poľutovanie nad nedávnymi pripomienkami viceprezidenta USA </w:t>
      </w:r>
      <w:proofErr w:type="spellStart"/>
      <w:r>
        <w:t>Vanceho</w:t>
      </w:r>
      <w:proofErr w:type="spellEnd"/>
      <w:r>
        <w:t xml:space="preserve">, ktoré spochybňujú spoločné hodnoty, ktoré sú základom transatlantického partnerstva; varuje, že prostredníctvom takejto nevyváženej politiky sa </w:t>
      </w:r>
      <w:proofErr w:type="spellStart"/>
      <w:r>
        <w:t>Trumpova</w:t>
      </w:r>
      <w:proofErr w:type="spellEnd"/>
      <w:r>
        <w:t xml:space="preserve"> vláda zahráva so vzácnym tovarom, a to s dôverou v USA; domnieva sa napriek tomu, že silné transatlantické vzťahy sú aj naďalej nevyhnutné pre bezpečnosť partnerov na oboch stranách Atlantiku, a hodno preto do nich investovať; považuje za dôležite</w:t>
      </w:r>
      <w:r>
        <w:t>jšie ako kedykoľvek predtým pokračovať v spolupráci s partnermi z USA na federálnej a štátnej úrovni; nabáda členské štáty, aby sa usilovali o dvojstranné diplomatické kanály s partnermi v USA ako formu spolupráce, ktorú uprednostňuje administratíva USA, č</w:t>
      </w:r>
      <w:r>
        <w:t>ím preukážu jednotu a odhodlanie dosiahnuť spoločnú pozíciu EÚ; zdôrazňuje dôležitosť toho, aby sa pravidelne konali samity EÚ – USA s cieľom poskytnúť podnety najvyšších predstaviteľov pre budúcu spoluprácu; plne podporuje prehĺbenie spolupráce v rámci tr</w:t>
      </w:r>
      <w:r>
        <w:t xml:space="preserve">ansatlantického dialógu medzi EÚ a USA, napríklad prostredníctvom transatlantickej parlamentnej diplomacie; </w:t>
      </w:r>
    </w:p>
    <w:p w:rsidR="000010F8" w:rsidRDefault="002B71AE">
      <w:pPr>
        <w:pStyle w:val="NormalHanging12a"/>
      </w:pPr>
      <w:r>
        <w:t>57.</w:t>
      </w:r>
      <w:r>
        <w:tab/>
        <w:t>vyjadruje poľutovanie nad rozhodnutím USA náhle zastaviť väčšinu humanitárnej a rozvojovej pomoci, okrem iného vrátane pomoci, ktorú doteraz po</w:t>
      </w:r>
      <w:r>
        <w:t>skytovala Agentúra Spojených štátov pre medzinárodný rozvoj (USAID), čo má ničivé účinky na nespočetné množstvo životov ľudí, ale z čoho vyplýva aj riziko vážnych dôsledkov na ľudské práva a globálnu bezpečnosť; uznáva, že EÚ nemôže nahradiť USAID, ale mus</w:t>
      </w:r>
      <w:r>
        <w:t>í strategicky a inteligentne prerozdeliť zdroje prostredníctvom prístupu Tímu Európa s cieľom zmierniť vplyvy v záujme dotknutých krajín aj vzhľadom na naše vlastné záujmy; víta oznámenie Komisie a ESVČ, že sa vyvíja úsilie o poskytnutie likvidity pre vážn</w:t>
      </w:r>
      <w:r>
        <w:t>e postihnuté oblasti prerozdelením a zvýšením predbežného financovania; oceňuje rozhodnutie začať mapovanie na úrovni EÚ, ktoré by malo zohľadňovať aj sekundárne účinky, a žiada, aby sa výsledky poskytli členským štátom a Parlamentu; žiada Komisiu, aby vyd</w:t>
      </w:r>
      <w:r>
        <w:t>ala vyhlásenie, v ktorom zhodnotí holistickú reakciu EÚ na túto krízu;</w:t>
      </w:r>
    </w:p>
    <w:p w:rsidR="000010F8" w:rsidRDefault="002B71AE">
      <w:pPr>
        <w:pStyle w:val="NormalHanging12a"/>
      </w:pPr>
      <w:r>
        <w:t>58.</w:t>
      </w:r>
      <w:r>
        <w:tab/>
        <w:t xml:space="preserve">vyzýva Komisiu, aby podporovala užšie vzťahy s Kanadou s cieľom čeliť globálnym výzvam, ktoré ovplyvňujú naše spoločné hodnoty, záujmy, bezpečnosť a prosperitu; </w:t>
      </w:r>
      <w:r>
        <w:lastRenderedPageBreak/>
        <w:t>domnieva sa, že dvoj</w:t>
      </w:r>
      <w:r>
        <w:t>stranný dialóg o bezpečnosti a obrane, ako aj nadchádzajúce partnerstvo v oblasti bezpečnosti a obrany poskytujú základ pre posilnenú spoluprácu v oblasti bezpečnosti a obrany, a to aj pokiaľ ide o príslušné iniciatívy na podporu produkcie obranného priemy</w:t>
      </w:r>
      <w:r>
        <w:t>slu;</w:t>
      </w:r>
    </w:p>
    <w:p w:rsidR="000010F8" w:rsidRDefault="002B71AE">
      <w:pPr>
        <w:pStyle w:val="NormalHanging12a"/>
      </w:pPr>
      <w:r>
        <w:t>59.</w:t>
      </w:r>
      <w:r>
        <w:tab/>
        <w:t>bez ohľadu na to opakuje, že je potrebné, aby členské štáty v plnom rozsahu zaviedli koncepciu strategickej autonómie EÚ a pripravenosti na obranu a na tento účel dobre koordinovaným spôsobom investovali do svojej bezpečnosti a obrany s cieľom dos</w:t>
      </w:r>
      <w:r>
        <w:t xml:space="preserve">iahnuť skutočnú európsku obrannú úniu, ktorá bude </w:t>
      </w:r>
      <w:proofErr w:type="spellStart"/>
      <w:r>
        <w:t>interoperabilná</w:t>
      </w:r>
      <w:proofErr w:type="spellEnd"/>
      <w:r>
        <w:t xml:space="preserve"> a doplnková k aliancii NATO a ktorá môže v prípade potreby konať nezávisle; domnieva sa, že EÚ musí urýchlene konať s cieľom znížiť svoju závislosť od tretích krajín, pokiaľ ide o jej obrann</w:t>
      </w:r>
      <w:r>
        <w:t>é spôsobilosti, najmä strategických poskytovateľov, a že musí zabezpečiť vlastnú autonómnu bezpečnosť; pripomína, že EDTIB je strategickou výhodou pre bezpečnosť a obranu Únie, ako aj pre jej zahraničnú politiku; vyzýva na jej výrazné posilnenie, na prehĺb</w:t>
      </w:r>
      <w:r>
        <w:t>enie partnerstiev v oblasti obranného priemyslu a na začlenenie priemyselných základní podobne zmýšľajúcich spoľahlivých partnerov do EDTIB, predovšetkým Ukrajiny;</w:t>
      </w:r>
    </w:p>
    <w:p w:rsidR="000010F8" w:rsidRDefault="002B71AE">
      <w:pPr>
        <w:pStyle w:val="NormalHanging12a"/>
      </w:pPr>
      <w:r>
        <w:t>60.</w:t>
      </w:r>
      <w:r>
        <w:tab/>
        <w:t>nabáda na úzke vzťahy so západoeurópskymi krajinami, ktoré nie sú členmi EÚ, a najmä spo</w:t>
      </w:r>
      <w:r>
        <w:t>luprácu v určitých oblastiach vonkajšej činnosti EÚ; v tejto súvislosti víta ukončenie rokovaní o rozsiahlom balíku opatrení pre budúce vzťahy medzi EÚ a Švajčiarskom, ktorý je významným míľnikom v napredovaní a prehlbovaní už aj tak úzkych vzťahov; nalieh</w:t>
      </w:r>
      <w:r>
        <w:t>avo vyzýva Komisiu, aby zmodernizovala a prehĺbila dvojstranné vzťahy medzi EÚ a Švajčiarskom; zdôrazňuje, že je dôležité podporovať silnejšie vzťahy s Nórskom, najmä pokiaľ ide o rozsah partnerstva v oblasti bezpečnosti a obrany, ako aj kooperatívne riade</w:t>
      </w:r>
      <w:r>
        <w:t>nie spoločných populácií a pokračovanie dlhodobých rybolovných činností; vyzýva na urýchlené podpísanie dohody o pridružení medzi EÚ a Andorrou a San Marínom;</w:t>
      </w:r>
    </w:p>
    <w:p w:rsidR="000010F8" w:rsidRDefault="002B71AE">
      <w:pPr>
        <w:pStyle w:val="NormalHanging12a"/>
      </w:pPr>
      <w:r>
        <w:t>61.</w:t>
      </w:r>
      <w:r>
        <w:tab/>
        <w:t>víta nový impulz v dvojstranných vzťahoch medzi EÚ a Arménskom, ktorý výrazne podporujú orgán</w:t>
      </w:r>
      <w:r>
        <w:t>y v Jerevane; vyzýva Komisiu a Radu, aby aktívne podporovali želanie Arménska zintenzívniť spoluprácu s EÚ; vyjadruje plnú podporu novému programu partnerstva medzi EÚ a Arménskom, v ktorom si stanovili ambicióznejšie spoločné priority spolupráce vo všetký</w:t>
      </w:r>
      <w:r>
        <w:t>ch dimenziách.</w:t>
      </w:r>
    </w:p>
    <w:p w:rsidR="000010F8" w:rsidRDefault="002B71AE">
      <w:pPr>
        <w:pStyle w:val="NormalHanging12a"/>
      </w:pPr>
      <w:r>
        <w:t>62.</w:t>
      </w:r>
      <w:r>
        <w:tab/>
        <w:t>vyjadruje silnú podporu činnostiam misie Európskej únie v Arménsku (EUMA) a zdôrazňuje dôležitú úlohu, ktorú zohráva; vyzýva EUMA, aby pozorne sledovala vývoj bezpečnostnej situácie na mieste, podávala Európskemu parlamentu transparentné</w:t>
      </w:r>
      <w:r>
        <w:t xml:space="preserve"> správy a aktívne prispievala k úsiliu o vyriešenie konfliktu; vyzýva EÚ a jej členské štáty, aby posilnili mandát EUMA, zvýšili rozsah misie a predĺžili jej trvanie; vyzýva azerbajdžanské orgány, aby súhlasili s pôsobením takejto civilnej misie aj na svoj</w:t>
      </w:r>
      <w:r>
        <w:t>ej strane hranice;</w:t>
      </w:r>
    </w:p>
    <w:p w:rsidR="000010F8" w:rsidRDefault="002B71AE">
      <w:pPr>
        <w:pStyle w:val="NormalHanging12a"/>
      </w:pPr>
      <w:r>
        <w:t>63.</w:t>
      </w:r>
      <w:r>
        <w:tab/>
        <w:t>zastáva názor, že ťažisko globálneho poriadku sa presúva k indicko-tichomorskému regiónu a že EÚ musí posilniť svoju aktívnu úlohu a prítomnosť v tomto regióne s cieľom chrániť svoje záujmy, podporovať stabilitu a presadzovať medziná</w:t>
      </w:r>
      <w:r>
        <w:t>rodný poriadok založený na pravidlách; opakuje, že mierový, slobodný a stabilný indicko-tichomorský región založený na pravidlách je životne dôležitým európskym záujmom; vyjadruje znepokojenie nad tým, že hospodárska súťaž s veľkými mocnosťami v regióne si</w:t>
      </w:r>
      <w:r>
        <w:t xml:space="preserve"> vynucuje parametre, pokiaľ ide o schopnosť EÚ podporovať </w:t>
      </w:r>
      <w:proofErr w:type="spellStart"/>
      <w:r>
        <w:t>multilateralizmus</w:t>
      </w:r>
      <w:proofErr w:type="spellEnd"/>
      <w:r>
        <w:t xml:space="preserve">; v tejto súvislosti poukazuje na to, že stretnutie Ázia – Európa je stále </w:t>
      </w:r>
      <w:r>
        <w:lastRenderedPageBreak/>
        <w:t>v slepej uličke z dôvodu geopolitického napätia s Ruskom; na tento účel podporuje užšie väzby v rámci zahr</w:t>
      </w:r>
      <w:r>
        <w:t xml:space="preserve">aničnej, bezpečnostnej a obrannej politiky s podobne zmýšľajúcimi partnermi v regióne v súlade so stratégiou EÚ pre spoluprácu v indicko-tichomorskom regióne; nabáda PK/VP, aby spoločne s našimi partnermi z indicko-tichomorského regiónu, najmä Austráliou, </w:t>
      </w:r>
      <w:r>
        <w:t>Indiou, Novým Zélandom, Južnou Kóreou, Japonskom a Taiwanom podporovala viditeľnosť a účinky vonkajšej činnosti EÚ;</w:t>
      </w:r>
    </w:p>
    <w:p w:rsidR="000010F8" w:rsidRDefault="002B71AE">
      <w:pPr>
        <w:pStyle w:val="NormalHanging12a"/>
      </w:pPr>
      <w:r>
        <w:t>64.</w:t>
      </w:r>
      <w:r>
        <w:tab/>
        <w:t>v tejto súvislosti pripomína strategické partnerstvo EÚ a Japonska, ktoré by malo slúžiť ako vzor plodného bilaterálneho partnerstva, kt</w:t>
      </w:r>
      <w:r>
        <w:t>oré umožňuje efektívne formovanie politiky v multilaterálnych kontextoch; konštatuje, že EÚ a Japonsko oslavujú v roku 2024 50 rokov svojich diplomatických misií, a zdôrazňuje záujem EÚ o obojstranné prehĺbenie a rozšírenie tohto partnerstva počas nasleduj</w:t>
      </w:r>
      <w:r>
        <w:t>úcich 50 rokov; na tento účel víta Dohodu o hospodárskom partnerstve medzi EÚ a Japonskom a Dohodu o strategickom partnerstve medzi EÚ a Japonskom, v ktorej sa okrem iného stanovujú konzultácie o rozvoji príslušných iniciatív v oblasti obrany vrátane výmen</w:t>
      </w:r>
      <w:r>
        <w:t>y informácií o záležitostiach súvisiacich s obranným priemyslom, ako aj preskúmanie možného vzájomného zapojenia do príslušných iniciatív v oblasti obrany;</w:t>
      </w:r>
    </w:p>
    <w:p w:rsidR="000010F8" w:rsidRDefault="002B71AE">
      <w:pPr>
        <w:pStyle w:val="NormalHanging12a"/>
      </w:pPr>
      <w:r>
        <w:t>65.</w:t>
      </w:r>
      <w:r>
        <w:tab/>
        <w:t xml:space="preserve">konštatuje, že geopolitické výzvy posilnili spoločný záujem EÚ a Indie na zaistení bezpečnosti, </w:t>
      </w:r>
      <w:r>
        <w:t>prosperity a udržateľného rozvoja; požaduje usporiadanie samitu medzi Indiou a EÚ, aby bilaterálne vzťahy patrili naďalej medzi priority; za kľúčové oblasti spolupráce považuje zmenu klímy a ekologický rast, digitalizáciu a nové technológie, výskum a vývoj</w:t>
      </w:r>
      <w:r>
        <w:t>, konektivitu, obchod a investície, zahraničnú, bezpečnostnú a obrannú politiku; v tejto súvislosti vyzýva členské štáty k väčšej účasti; rovnako vyzýva členské štáty, aby rozšírili a zintenzívnili spoluprácu medzi Indiou a EÚ v oblasti námornej bezpečnost</w:t>
      </w:r>
      <w:r>
        <w:t>i v reakcii na rastúcu prítomnosť Číny v indicko-tichomorskom regióne; zdôrazňuje potrebu zapojiť Indiu do riešenia jej veľkej vojenskej závislosti od Ruska a dodávok zakázaných kriticky dôležitých technológií do Ruska; vyzýva Indiu, aby odsúdila nezákonnú</w:t>
      </w:r>
      <w:r>
        <w:t xml:space="preserve"> útočnú vojnu Ruska proti Ukrajine a pridala sa k politike sankcií EÚ proti Rusku;</w:t>
      </w:r>
    </w:p>
    <w:p w:rsidR="000010F8" w:rsidRDefault="002B71AE">
      <w:pPr>
        <w:pStyle w:val="NormalHanging12a"/>
      </w:pPr>
      <w:r>
        <w:t>66.</w:t>
      </w:r>
      <w:r>
        <w:tab/>
        <w:t>považuje Indiu za dôležitého demokratického partnera a vyzýva EÚ, aby sa dôsledne angažovala v spolupráci s indickou vládou v oblasti dodržiavania ľudských práv a právne</w:t>
      </w:r>
      <w:r>
        <w:t>ho štátu, a to tak na vnútornej, ako aj na celosvetovej úrovni; vyzýva na úplné vykonávanie stratégie EÚ pre Indiu z roku 2018 a plánu EÚ – India do roku 2025 v úzkej koordinácii s vlastnými opatreniami členských štátov; zdôrazňuje najmä potrebu podporovať</w:t>
      </w:r>
      <w:r>
        <w:t xml:space="preserve"> väčšie synergie v zahraničnej a bezpečnostnej politike prostredníctvom existujúcich mechanizmov dialógu a ďalších fór vytvorených v rámci plánu EÚ – India do roku 2025; domnieva sa, že historická návšteva predsedníčky Komisie a kolégia komisárov v Indii 2</w:t>
      </w:r>
      <w:r>
        <w:t>7. a 28. februára 2025 znamenala začiatok novej kapitoly vo vývoji vzťahov medzi EÚ a Indiou a opätovne potvrdila strategické prepojenie a jeho nevyužitý potenciál; víta oznámenie nadchádzajúceho strategického programu EÚ – India;</w:t>
      </w:r>
    </w:p>
    <w:p w:rsidR="000010F8" w:rsidRDefault="002B71AE">
      <w:pPr>
        <w:pStyle w:val="NormalHanging12a"/>
      </w:pPr>
      <w:r>
        <w:t>67.</w:t>
      </w:r>
      <w:r>
        <w:tab/>
        <w:t xml:space="preserve">pripomína záväzok EÚ </w:t>
      </w:r>
      <w:r>
        <w:t>presadzovať politiku „jednej Číny“ ako jednu zo zásad vzťahov medzi EÚ a Čínou; opakuje, že Taiwan je kľúčovým demokratickým partnerom EÚ v indicko-tichomorskom regióne; uznáva význam Taiwanu pri zabezpečovaní globálnych dodávateľských reťazcov, najmä v od</w:t>
      </w:r>
      <w:r>
        <w:t xml:space="preserve">vetví špičkových technológií, a naliehavo vyzýva EÚ a jej členské štáty, aby nadviazali užšiu spoluprácu s Taiwanom s cieľom ďalej posilniť hospodárske, obchodné a investičné väzby; nabáda Komisiu, aby bezodkladne začala prípravné opatrenia na rokovania o </w:t>
      </w:r>
      <w:r>
        <w:t xml:space="preserve">investičnej dohode s Taiwanom; zdôrazňuje, </w:t>
      </w:r>
      <w:r>
        <w:lastRenderedPageBreak/>
        <w:t>že akýkoľvek pokus autoritárskych režimov obmedziť priaznivý vývoj vzťahov medzi EÚ a Taiwanom nie je prijateľný;</w:t>
      </w:r>
    </w:p>
    <w:p w:rsidR="000010F8" w:rsidRDefault="002B71AE">
      <w:pPr>
        <w:pStyle w:val="NormalHanging12a"/>
      </w:pPr>
      <w:r>
        <w:t>68.</w:t>
      </w:r>
      <w:r>
        <w:tab/>
        <w:t>dôrazne odsudzuje neustále vojenské provokácie Číny voči Taiwanu a znovu opakuje, že rozhodne o</w:t>
      </w:r>
      <w:r>
        <w:t xml:space="preserve">dmieta akúkoľvek jednostrannú zmenu statusu </w:t>
      </w:r>
      <w:proofErr w:type="spellStart"/>
      <w:r>
        <w:t>quo</w:t>
      </w:r>
      <w:proofErr w:type="spellEnd"/>
      <w:r>
        <w:t xml:space="preserve"> v Taiwanskom prielive; vyzýva EÚ a členské štáty, aby prostredníctvom jasného a konzistentného signálu zabezpečili, že akýkoľvek pokus o jednostrannú zmenu súčasného stavu v Taiwanskom prielive, najmä prostre</w:t>
      </w:r>
      <w:r>
        <w:t xml:space="preserve">dníctvom sily alebo nátlaku, nebude možné akceptovať a bude stáť veľa; zdôrazňuje, že územné nároky Číny nemajú žiadny základ v medzinárodnom práve a že len demokraticky zvolená vláda Taiwanu môže zastupovať taiwanský ľud; ďalej odsudzuje, že Čína blokuje </w:t>
      </w:r>
      <w:r>
        <w:t>zmysluplnú účasť Taiwanu v multilaterálnych organizáciách, ako sú WHO, Medzinárodná organizácia civilného letectva a Rámcový dohovor OSN o zmene klímy, tým, že neustále prekrúca rezolúciu Valného zhromaždenia OSN č. 2758; preto vyzýva EÚ a členské štáty, a</w:t>
      </w:r>
      <w:r>
        <w:t>by podporovali zmysluplnú účasť Taiwanu v príslušných medzinárodných organizáciách;</w:t>
      </w:r>
    </w:p>
    <w:p w:rsidR="000010F8" w:rsidRDefault="002B71AE">
      <w:pPr>
        <w:pStyle w:val="NormalHanging12a"/>
      </w:pPr>
      <w:r>
        <w:t>69.</w:t>
      </w:r>
      <w:r>
        <w:tab/>
        <w:t>vyjadruje hlboké znepokojenie nad najnovšími posunmi vo vnútropolitickom a vojenskom postoji Číny od 20. národného zjazdu Komunistickej strany Číny; zastáva názor, že Č</w:t>
      </w:r>
      <w:r>
        <w:t>ína preukazuje, že má zámer a čoraz viac aj hospodársku, diplomatickú, technologickú a vojenskú silu na nové vymedzenie svetového poriadku; zdôrazňuje, že stratégia vojensko-civilnej fúzie je dôkazom takýchto prostriedkov; v tejto súvislosti zdôrazňuje, že</w:t>
      </w:r>
      <w:r>
        <w:t xml:space="preserve"> EÚ musí byť asertívnejšia a jednotnejšia vo svojom prístupe k Číne, a preto vyzýva PK/VP a členské štáty, aby preskúmali stratégiu voči Číne tak, aby plne zohľadnila čoraz represívnejšie domáce politiky, asertívnu zahraničnú politiku, ako aj využívanie ho</w:t>
      </w:r>
      <w:r>
        <w:t>spodárskeho nátlaku ako prostriedku, ktorým sa Čína snaží dosiahnuť svoje ciele; sa domnieva, že výzvy vyplývajúce zo vzostupu Číny ako globálneho aktéra si vyžadujú vyváženú viacrozmernú reakciu v súlade so zásadou „spolupracovať tam, kde je to možné, súť</w:t>
      </w:r>
      <w:r>
        <w:t>ažiť tam, kde je to potrebné, a konfrontovať tam, kde je to nevyhnutné“, prostredníctvom ktorej EÚ udržiava selektívnu spoluprácu s Čínou ako stálym členom Bezpečnostnej rady OSN vo viacerých kľúčových otázkach;</w:t>
      </w:r>
    </w:p>
    <w:p w:rsidR="000010F8" w:rsidRDefault="002B71AE">
      <w:pPr>
        <w:pStyle w:val="NormalHanging12a"/>
      </w:pPr>
      <w:r>
        <w:t>70.</w:t>
      </w:r>
      <w:r>
        <w:tab/>
        <w:t>upozorňuje na to, že čoraz agresívnejšia</w:t>
      </w:r>
      <w:r>
        <w:t xml:space="preserve"> pozícia ČĽR predstavuje hrozbu pre slobodu plavby a ohrozuje stabilitu, ktorá je nevyhnutná pre svetový obchod; zdôrazňuje, že túto situáciu so znepokojením sleduje čoraz väčší počet podobne zmýšľajúcich partnerov odhodlaných presadzovať mier a stabilitu </w:t>
      </w:r>
      <w:r>
        <w:t xml:space="preserve">v regióne; kladie dôraz na potrebu posilniť odrádzanie od destabilizačného správania, a to aj prostredníctvom pravidelných operácií na presadzovanie slobody plavby v súvislosti s pokusmi ČĽR ovládnuť medzinárodné vody a vzdušný priestor; </w:t>
      </w:r>
    </w:p>
    <w:p w:rsidR="000010F8" w:rsidRDefault="002B71AE">
      <w:pPr>
        <w:pStyle w:val="NormalHanging12a"/>
      </w:pPr>
      <w:r>
        <w:t>71.</w:t>
      </w:r>
      <w:r>
        <w:tab/>
        <w:t>zastáva názor</w:t>
      </w:r>
      <w:r>
        <w:t>, že Čína posilňovaním čínsko-ruského strategického partnerstva aj v oblasti transferu technológií a vojenských spôsobilostí (nepriamo) umožňuje ruskú útočnú vojnu proti Ukrajine;</w:t>
      </w:r>
    </w:p>
    <w:p w:rsidR="000010F8" w:rsidRDefault="002B71AE">
      <w:pPr>
        <w:pStyle w:val="NormalHanging12a"/>
      </w:pPr>
      <w:r>
        <w:t>72.</w:t>
      </w:r>
      <w:r>
        <w:tab/>
        <w:t>opätovne odsudzuje porušovanie medzinárodných záväzkov Čínou, porušovani</w:t>
      </w:r>
      <w:r>
        <w:t>e čínsko-britských a čínsko-portugalských spoločných vyhlásení, Medzinárodného paktu o občianskych a politických právach, zásady „jedna krajina, dva systémy“ a hongkonského základného zákona, ako aj zásah proti autonómii osobitného administratívneho región</w:t>
      </w:r>
      <w:r>
        <w:t>u a predstaviteľom opozície vrátane členov občianskej spoločnosti a ich rodinných príslušníkov; vyzýva Komisiu, aby posúdila autonómny štatút Hongkongu a Macao vzhľadom na porušovanie čínsko-britskej a čínsko-portugalskej spoločnej deklarácie Čínou a potlá</w:t>
      </w:r>
      <w:r>
        <w:t>čanie autonómie Hongkongu;</w:t>
      </w:r>
    </w:p>
    <w:p w:rsidR="000010F8" w:rsidRDefault="002B71AE">
      <w:pPr>
        <w:pStyle w:val="NormalHanging12a"/>
      </w:pPr>
      <w:r>
        <w:lastRenderedPageBreak/>
        <w:t>73.</w:t>
      </w:r>
      <w:r>
        <w:tab/>
        <w:t>je znepokojený rastúcim hospodárskym prenikaním čínskych spoločností do EÚ, a to aj do strategických odvetví, ako je výroba batérií; zdôrazňuje naliehavú potrebu pokračovať v politike znižovania rizika tým, že sa bude pokračo</w:t>
      </w:r>
      <w:r>
        <w:t>vať v znižovaní hospodárskej závislosti v kritických odvetviach v súlade so stratégiou hospodárskej bezpečnosti EÚ;</w:t>
      </w:r>
    </w:p>
    <w:p w:rsidR="000010F8" w:rsidRDefault="002B71AE">
      <w:pPr>
        <w:pStyle w:val="NormalHanging12a"/>
      </w:pPr>
      <w:r>
        <w:t>74.</w:t>
      </w:r>
      <w:r>
        <w:tab/>
        <w:t xml:space="preserve">pripomína, že Združenie národov juhovýchodnej Ázie (ASEAN) je kľúčovým partnerom pri posilňovaní </w:t>
      </w:r>
      <w:proofErr w:type="spellStart"/>
      <w:r>
        <w:t>multilateralizmu</w:t>
      </w:r>
      <w:proofErr w:type="spellEnd"/>
      <w:r>
        <w:t xml:space="preserve"> založeného na pravidlá</w:t>
      </w:r>
      <w:r>
        <w:t>ch; podporuje úsilie združenia ASEAN o dokončenie rokovaní s Čínou o účinnom a vecnom kódexe správania v Juhočínskom mori; nabáda na posilnenie angažovanosti a spolupráce EÚ so združením ASEAN a na úsilie o komplexné strategické partnerstvo založené na hos</w:t>
      </w:r>
      <w:r>
        <w:t>podárskych väzbách a udržateľnom raste, a najmä na politickej spolupráci v oblasti ľudských práv a demokracie; vyzýva na zvýšenú podporu mjanmarskej vlády národnej jednoty a na vyvíjanie vyššieho tlaku na krajiny ASEAN-u, aby sa pripojili k medzinárodným s</w:t>
      </w:r>
      <w:r>
        <w:t>ankciám voči mjanmarskej vojenskej junte;</w:t>
      </w:r>
    </w:p>
    <w:p w:rsidR="000010F8" w:rsidRDefault="002B71AE">
      <w:pPr>
        <w:pStyle w:val="NormalHanging12a"/>
      </w:pPr>
      <w:r>
        <w:t>75.</w:t>
      </w:r>
      <w:r>
        <w:tab/>
        <w:t>naliehavo vyzýva PK/VP a členské štáty, aby sa zamerali na bilaterálne vzťahy s partnermi v Afrike, okrem iného s Juhoafrickou republikou, Ghanou, Marokom, Keňou, Senegalom a Mauritániou, s prihliadnutím na spo</w:t>
      </w:r>
      <w:r>
        <w:t>ločné potreby a záujmy s cieľom podporiť skutočné a vyvážené partnerstvá; sa domnieva, že zásada „viac za viac“ by sa mala plne začleniť do vzťahov s krajinami mimo EÚ, keďže na jej základe rozvíja EÚ silnejšie partnerstvá s tými krajinami, ktoré dodržiava</w:t>
      </w:r>
      <w:r>
        <w:t>jú zásady SZBP a spoločnej bezpečnostnej a obrannej politiky (SBOP), ako aj základné hodnoty EÚ; je presvedčený, že EÚ sa musí naďalej zameriavať na Afriku, ktorá je už teraz strategickým kontinentom a v budúcnosti bude čoraz dôležitejším aktérom;</w:t>
      </w:r>
    </w:p>
    <w:p w:rsidR="000010F8" w:rsidRDefault="002B71AE">
      <w:pPr>
        <w:pStyle w:val="NormalHanging12a"/>
      </w:pPr>
      <w:r>
        <w:t>76.</w:t>
      </w:r>
      <w:r>
        <w:tab/>
        <w:t>vyzý</w:t>
      </w:r>
      <w:r>
        <w:t>va EÚ, aby pozastavila svoje memorandum o porozumení o surovinách a všetku vojenskú spoluprácu s Rwandou, a to aj prostredníctvom Európskeho mierového nástroja alebo akéhokoľvek iného mechanizmu, kým Rwanda neukončí nezákonnú podporu ozbrojených skupín a n</w:t>
      </w:r>
      <w:r>
        <w:t xml:space="preserve">ebude plne rešpektovať zvrchovanosť a územnú celistvosť Konžskej demokratickej republiky (KDR); odsudzuje porušovanie zvrchovanosti a územnej celistvosti východnej KDR povstalcami z hnutia M23; odsudzuje obsadenie </w:t>
      </w:r>
      <w:proofErr w:type="spellStart"/>
      <w:r>
        <w:t>Gomy</w:t>
      </w:r>
      <w:proofErr w:type="spellEnd"/>
      <w:r>
        <w:t xml:space="preserve"> a </w:t>
      </w:r>
      <w:proofErr w:type="spellStart"/>
      <w:r>
        <w:t>Bukavu</w:t>
      </w:r>
      <w:proofErr w:type="spellEnd"/>
      <w:r>
        <w:t xml:space="preserve"> ozbrojenou skupinou M23 a je</w:t>
      </w:r>
      <w:r>
        <w:t>j pokračujúcu ofenzívu v Južnom Kivu, ktorá ešte viac zhoršila akútnu humanitárnu krízu a zvýšila riziko destabilizácie KDR a rozšírenia vojny do celého regiónu; podporuje mierový proces v Luande a Nairobi, aby sa dosiahlo politické riešenie konfliktu dipl</w:t>
      </w:r>
      <w:r>
        <w:t xml:space="preserve">omatickými prostriedkami, a naliehavo vyzýva PK/VP, aby pokračovala v diplomatických kontaktoch s konfliktom a s regionálnymi stranami a aby zvýšila tlak na strany, aby sa opätovne zapojili do mierových rokovaní, a to aj odložením konzultácií EÚ s Rwandou </w:t>
      </w:r>
      <w:r>
        <w:t>o bezpečnosti a obrane a prijatím sankcií v závislosti od situácie na mieste a pokroku dosiahnutého v prebiehajúcich regionálnych procesoch mediácie; je hlboko znepokojený humanitárnou situáciou tisícov vysídlených osôb v tejto oblasti; naliehavo vyzýva PK</w:t>
      </w:r>
      <w:r>
        <w:t>/VP, aby podnikla jasné kroky v súlade so stratégiou EÚ pre oblasť Veľkých jazier s cieľom obnoviť stabilitu a spolupracovať s stabilizačnou misiou OSN v Konžskej demokratickej republike (MONUSCO) na ochranu civilného obyvateľstva vo východnej časti KDR;</w:t>
      </w:r>
    </w:p>
    <w:p w:rsidR="000010F8" w:rsidRDefault="002B71AE">
      <w:pPr>
        <w:pStyle w:val="NormalHanging12a"/>
      </w:pPr>
      <w:r>
        <w:t>7</w:t>
      </w:r>
      <w:r>
        <w:t>7.</w:t>
      </w:r>
      <w:r>
        <w:tab/>
        <w:t>zdôrazňuje, že nedávny vývoj v Tunisku vyvolal obavy v súvislosti s ľudskými právami a demokratickými normami, pričom správy poukazujú na obmedzenú transparentnosť, účasť opozície a politickú súťaž v prezidentských voľbách; zdôrazňuje pokračujúci záväzo</w:t>
      </w:r>
      <w:r>
        <w:t xml:space="preserve">k a podporu EÚ pre Tunisko počas tohto politicky a sociálno-ekonomicky </w:t>
      </w:r>
      <w:r>
        <w:lastRenderedPageBreak/>
        <w:t>citlivého obdobia, pričom udržiava kontakty na rôznych úrovniach;</w:t>
      </w:r>
    </w:p>
    <w:p w:rsidR="000010F8" w:rsidRDefault="002B71AE">
      <w:pPr>
        <w:pStyle w:val="NormalHanging12a"/>
      </w:pPr>
      <w:r>
        <w:t>78.</w:t>
      </w:r>
      <w:r>
        <w:tab/>
        <w:t>zdôrazňuje, že EÚ má priamy a zásadný záujem o stabilitu, bezpečnosť a hospodársky rast oblasti Stredozemia, ako aj</w:t>
      </w:r>
      <w:r>
        <w:t xml:space="preserve"> širšieho južného susedstva; pripomína, že európska susedská politika bola spustená s chvályhodnými cieľmi podpory stability, prosperity a dobrej správy vecí verejných v južnom Stredozemí; uznáva však, že v súčasnosti je zrejmé, že jej nástroje, ciele a zá</w:t>
      </w:r>
      <w:r>
        <w:t>sady už nie sú v súlade so súčasnou realitou regiónu; vyjadruje poľutovanie nad tým, že takmer 30 rokov po spustení takzvaného barcelonského procesu sa nedokončil priestor spoločnej prosperity, stability a slobody so stredozemskými krajinami južného suseds</w:t>
      </w:r>
      <w:r>
        <w:t xml:space="preserve">tva; vyzýva Komisiu, aby predložila nový pakt pre Stredozemie; domnieva sa, že EÚ a krajiny južného susedstva by mali uzavrieť memorandá o porozumení zamerané na podporu stability, prosperity a ochrany ľudských práv, ktoré by boli podmienené spoluprácou v </w:t>
      </w:r>
      <w:r>
        <w:t>oblasti migrácie; pripomína, že nestabilita a neistota v južnom susedstve sú naďalej pretrvávajúcim problémom pre riadenie vonkajších európskych hraníc; tvrdí, že popri uprednostňovaní dvojstranných vzťahov s krajinami v regióne by EÚ mala naďalej podporov</w:t>
      </w:r>
      <w:r>
        <w:t>ať regionálnu spoluprácu prostredníctvom existujúcich rámcov, ako je Únia pre Stredozemie; víta vymenovanie európskeho komisára zodpovedného za Stredozemie;</w:t>
      </w:r>
    </w:p>
    <w:p w:rsidR="000010F8" w:rsidRDefault="002B71AE">
      <w:pPr>
        <w:pStyle w:val="NormalHanging12a"/>
      </w:pPr>
      <w:r>
        <w:t>79.</w:t>
      </w:r>
      <w:r>
        <w:tab/>
        <w:t>zdôrazňuje, že je potrebné, aby EÚ posilnila a prehĺbila spoluprácu s arabskými krajinami a kra</w:t>
      </w:r>
      <w:r>
        <w:t xml:space="preserve">jinami Perzského zálivu v reakcii na naliehavé geopolitické, sociálne a hospodárske výzvy, ktorým čelí tento región; zdôrazňuje, že posilnená spolupráca by sa mala prioritne zamerať na kľúčové oblasti, ako je migrácia, digitálna transformácia, bezpečnosť, </w:t>
      </w:r>
      <w:r>
        <w:t>ekologická transformácia a kultúrna výmena, s cieľom vybudovať odolné partnerstvo; požaduje strategický prístup, ktorý prispôsobí spoluprácu s každou krajinou s cieľom podporiť udržateľný rozvoj a vzájomné porozumenie;</w:t>
      </w:r>
    </w:p>
    <w:p w:rsidR="000010F8" w:rsidRDefault="002B71AE">
      <w:pPr>
        <w:pStyle w:val="NormalHanging12a"/>
      </w:pPr>
      <w:r>
        <w:t>80.</w:t>
      </w:r>
      <w:r>
        <w:tab/>
        <w:t>víta úspešné zavŕšenie prvého sam</w:t>
      </w:r>
      <w:r>
        <w:t xml:space="preserve">itu EÚ – Rada pre spoluprácu v Perzskom zálive (GCC) a domnieva sa, že tento samit bol kľúčovým momentom vo vzťahoch medzi EÚ a jej partnermi z GCC, pričom zdôrazňuje spoločný záväzok oboch strán posilniť väzby medzi kľúčovými strategickými, hospodárskymi </w:t>
      </w:r>
      <w:r>
        <w:t>a kultúrnymi oblasťami;</w:t>
      </w:r>
    </w:p>
    <w:p w:rsidR="000010F8" w:rsidRDefault="002B71AE">
      <w:pPr>
        <w:pStyle w:val="NormalHanging12a"/>
      </w:pPr>
      <w:r>
        <w:t>81.</w:t>
      </w:r>
      <w:r>
        <w:tab/>
        <w:t>zdôrazňuje význam dodržiavania a presadzovania demokratických hodnôt v regióne; odsudzuje nárast nenávistných prejavov, a to aj proti európskym inštitúciám, a útoky na slobody jednotlivcov a medzinárodný poriadok v členských štá</w:t>
      </w:r>
      <w:r>
        <w:t>toch a v zahraničí;</w:t>
      </w:r>
    </w:p>
    <w:p w:rsidR="000010F8" w:rsidRDefault="002B71AE">
      <w:pPr>
        <w:pStyle w:val="NormalHanging12a"/>
      </w:pPr>
      <w:r>
        <w:t>82.</w:t>
      </w:r>
      <w:r>
        <w:tab/>
        <w:t>zdôrazňuje, že krajiny EÚ, Latinskej Ameriky a Karibiku sú podobne zmýšľajúce a zdieľajú hodnoty, jazyky, históriu, kultúru a náboženstvo, čím by mali byť prirodzenými partnermi v dnešnom geopolitickom kontexte; konštatuje, že angaž</w:t>
      </w:r>
      <w:r>
        <w:t>ovanosť EÚ v tomto regióne v posledných desaťročiach zoslabla, v dôsledku čoho vzniklo vákuum pre rastúci vplyv Číny a Ruska; naliehavo vyzýva krajiny Latinskej Ameriky, aby zaujali pevnejší postoj k odsúdeniu ruskej agresie voči Ukrajine; vyzýva členské š</w:t>
      </w:r>
      <w:r>
        <w:t>táty a ESVČ, aby pokračovali v aktívnej diplomacii v regióne so silným dôrazom na obranu multilaterálneho globálneho poriadku, medzinárodného práva a dodržiavania demokracie a ľudských práv; naliehavo vyzýva na mnohostranné iniciatívy na riešenie politicke</w:t>
      </w:r>
      <w:r>
        <w:t>j nestability v najchudobnejších krajinách v regióne, napríklad na Haiti;</w:t>
      </w:r>
    </w:p>
    <w:p w:rsidR="000010F8" w:rsidRDefault="002B71AE">
      <w:pPr>
        <w:pStyle w:val="NormalHanging12a"/>
      </w:pPr>
      <w:r>
        <w:t>83.</w:t>
      </w:r>
      <w:r>
        <w:tab/>
        <w:t xml:space="preserve">víta podpísanie rozšírenej rámcovej dohody medzi EÚ a Čile a vyzýva na jej rýchlu a úplnú ratifikáciu; rovnako víta ukončenie rokovaní o modernizovanej globálnej dohode medzi EÚ </w:t>
      </w:r>
      <w:r>
        <w:t xml:space="preserve">a Mexikom, ako Komisia oznámila 17. januára 2025, a ktorá si ešte vyžaduje </w:t>
      </w:r>
      <w:r>
        <w:lastRenderedPageBreak/>
        <w:t>súhlas Európskeho parlamentu; zdôrazňuje, že táto dohoda by posilnila strategické partnerstvo EÚ s Mexikom a uznala kľúčovú úlohu tejto krajiny v Latinskej Amerike, a poukazuje na j</w:t>
      </w:r>
      <w:r>
        <w:t xml:space="preserve">ej ambíciu </w:t>
      </w:r>
      <w:proofErr w:type="spellStart"/>
      <w:r>
        <w:t>diverzifikovať</w:t>
      </w:r>
      <w:proofErr w:type="spellEnd"/>
      <w:r>
        <w:t xml:space="preserve"> obchodné a politické partnerstvá s cieľom znížiť hospodársku závislosť od USA;</w:t>
      </w:r>
    </w:p>
    <w:p w:rsidR="000010F8" w:rsidRDefault="002B71AE">
      <w:pPr>
        <w:pStyle w:val="NormalHanging12a"/>
      </w:pPr>
      <w:r>
        <w:t>84.</w:t>
      </w:r>
      <w:r>
        <w:tab/>
        <w:t xml:space="preserve">berie na vedomie uzavretie dohody s </w:t>
      </w:r>
      <w:proofErr w:type="spellStart"/>
      <w:r>
        <w:t>Mercosurom</w:t>
      </w:r>
      <w:proofErr w:type="spellEnd"/>
      <w:r>
        <w:t>; vyjadruje znepokojenie nad jej možným negatívnym vplyvom na normy EÚ v oblasti udržateľnosti a bezp</w:t>
      </w:r>
      <w:r>
        <w:t>ečnosti a na konkurencieschopnosť agropotravinárskeho odvetvia EÚ a zdôrazňuje, že Európsky parlament musí pred zvážením ratifikácie preskúmať, či dohoda spĺňa normy EÚ v oblasti udržateľnosti a či je v súlade so zásadou reciprocity;</w:t>
      </w:r>
    </w:p>
    <w:p w:rsidR="000010F8" w:rsidRDefault="002B71AE">
      <w:pPr>
        <w:pStyle w:val="NormalHanging12a"/>
      </w:pPr>
      <w:r>
        <w:t>85.</w:t>
      </w:r>
      <w:r>
        <w:tab/>
        <w:t>víta neformálne st</w:t>
      </w:r>
      <w:r>
        <w:t>retnutie EÚ – Spoločenstvo štátov Latinskej Ameriky a Karibiku (CELAC) a vykonávanie iniciatív v rámci plánu EÚ – CELAC na roky 2023 – 2025 a v tejto súvislosti zdôrazňuje potrebu prijať na samite v roku 2025 nový a ambiciózny plán, ktorý bude naďalej posi</w:t>
      </w:r>
      <w:r>
        <w:t>lňovať naše partnerstvo a zohľadňovať najlepšie postupy, ktoré sa doteraz dosiahli;</w:t>
      </w:r>
    </w:p>
    <w:p w:rsidR="000010F8" w:rsidRDefault="002B71AE">
      <w:pPr>
        <w:pStyle w:val="NormalHanging12a"/>
      </w:pPr>
      <w:r>
        <w:t>86.</w:t>
      </w:r>
      <w:r>
        <w:tab/>
        <w:t>zdôrazňuje potrebu prísnejšieho prístupu k riešeniu násilia páchaného na ochrancoch životného prostredia a zintenzívneniu úsilia EÚ o pomoc pri ochrane biodiverzity a p</w:t>
      </w:r>
      <w:r>
        <w:t>ri adaptácii na núdzovú situáciu v oblasti klímy; navrhuje ďalšie posilnenie spolupráce proti organizovanej trestnej činnosti a obchodovaniu s drogami v Latinskej Amerike, ktoré majú vplyv aj na EÚ; žiada výrazné posilnenie medziregionálnej spolupráce v bo</w:t>
      </w:r>
      <w:r>
        <w:t>ji proti týmto javom;</w:t>
      </w:r>
    </w:p>
    <w:p w:rsidR="000010F8" w:rsidRDefault="002B71AE">
      <w:pPr>
        <w:pStyle w:val="NormalHanging12a"/>
      </w:pPr>
      <w:r>
        <w:t>87.</w:t>
      </w:r>
      <w:r>
        <w:tab/>
        <w:t>vyzýva PK/VP, aby prácu s podobne zmýšľajúcimi demokraciami určila za prioritu svojho funkčného obdobia a systematizovala spoluprácu a konzultácie s demokratickými podobne zmýšľajúcimi partnermi s cieľom podporiť demokraciu a zlep</w:t>
      </w:r>
      <w:r>
        <w:t>šiť spoločnú pripravenosť a prístup k zdrojom na reakciu v krízovej situácii; v tejto súvislosti opakuje odporúčanie prehĺbiť vzťahy s regionálnymi organizáciami, ako sú ASEAN a Africká únia, s cieľom posilniť rámce spolupráce v oblasti bezpečnosti;</w:t>
      </w:r>
    </w:p>
    <w:p w:rsidR="000010F8" w:rsidRDefault="002B71AE">
      <w:pPr>
        <w:pStyle w:val="NormalHanging12a"/>
      </w:pPr>
      <w:r>
        <w:t>88.</w:t>
      </w:r>
      <w:r>
        <w:tab/>
        <w:t>op</w:t>
      </w:r>
      <w:r>
        <w:t>ätovne vyjadruje podporu Európskemu politickému spoločenstvu ako platforme na diskusiu, dialóg a spoluprácu s európskymi partnermi v oblasti zahraničnej politiky a bezpečnostných výziev, ktorým čelíme, s cieľom posilniť bezpečnosť a stabilitu v Európe a po</w:t>
      </w:r>
      <w:r>
        <w:t>kračovať v politickej a bezpečnostnej spolupráci založenej na spoločných záujmoch; žiada, aby sa Európsky parlament úzko zapojil do vyjasňovania rozsahu pôsobnosti a budúcej činnosti tohto spoločenstva; zdôrazňuje, že podmienkou budúceho úspechu a súdržnos</w:t>
      </w:r>
      <w:r>
        <w:t>ti tohto formátu je určité zosúladenie, pokiaľ ide o demokratické hodnoty a zásady; opakuje, že Európske politické spoločenstvo sa v žiadnom prípade nesmie stať zámienkou pre oneskorenie vstupu krajín zapojených do procesu rozširovania EÚ;</w:t>
      </w:r>
    </w:p>
    <w:p w:rsidR="000010F8" w:rsidRDefault="002B71AE">
      <w:pPr>
        <w:pStyle w:val="NormalHanging12a"/>
      </w:pPr>
      <w:r>
        <w:t>89.</w:t>
      </w:r>
      <w:r>
        <w:tab/>
        <w:t>je tiež pres</w:t>
      </w:r>
      <w:r>
        <w:t xml:space="preserve">vedčený, že je dôležité budovať nové spojenectvá, okrem iného s krajinami v našom susedstve, ako aj s krajinami globálneho Juhu, pričom treba zohľadniť spoločné potreby a záujmy s cieľom podporiť skutočné a vyvážené partnerstvá; zdôrazňuje, že je dôležité </w:t>
      </w:r>
      <w:r>
        <w:t>uzavrieť tieto politické dohody s tretími krajinami založené na spoločných európskych hodnotách a základných právach; vyzýva EÚ, aby reagovala na očakávania partnerských krajín a urýchlene plnila politické dohody s týmito krajinami s cieľom ukázať, že EÚ j</w:t>
      </w:r>
      <w:r>
        <w:t xml:space="preserve">e spoľahlivým a strategickým partnerom, a preukázať, že medzinárodný systém založený na pravidlách dokáže čeliť súčasným výzvam; vyzýva Komisiu, aby zabezpečila aktívne zapojenie Parlamentu do vytvárania, vykonávania a monitorovania </w:t>
      </w:r>
      <w:r>
        <w:lastRenderedPageBreak/>
        <w:t>budúcich čistých obchod</w:t>
      </w:r>
      <w:r>
        <w:t>ných a investičných partnerstiev; v tejto súvislosti vyzýva na iniciatívy spolupráce medzi EÚ a krajinami globálneho Juhu s cieľom posúdiť a riešiť dlhovú krízu; konštatuje, že dohody s krajinami globálneho Juhu, najmä v oblasti surovín, by mali prispievať</w:t>
      </w:r>
      <w:r>
        <w:t xml:space="preserve"> k miestnemu hospodárskemu rozvoju, a nie k prehlbovaniu závislosti a nadmerného využívania zdrojov; </w:t>
      </w:r>
    </w:p>
    <w:p w:rsidR="000010F8" w:rsidRDefault="002B71AE">
      <w:pPr>
        <w:pStyle w:val="NormalHanging12a"/>
        <w:rPr>
          <w:i/>
          <w:u w:val="single"/>
        </w:rPr>
      </w:pPr>
      <w:r>
        <w:rPr>
          <w:i/>
          <w:u w:val="single"/>
        </w:rPr>
        <w:t xml:space="preserve">Podpora činnosti EÚ v zahraničí </w:t>
      </w:r>
    </w:p>
    <w:p w:rsidR="000010F8" w:rsidRDefault="002B71AE">
      <w:pPr>
        <w:pStyle w:val="NormalHanging12a"/>
      </w:pPr>
      <w:r>
        <w:t>90.</w:t>
      </w:r>
      <w:r>
        <w:tab/>
        <w:t xml:space="preserve">zdôrazňuje úlohu PK/VP ako premostenia medzi SZBP a vonkajšími vzťahmi EÚ s cieľom zabezpečiť najvyššiu úroveň </w:t>
      </w:r>
      <w:r>
        <w:t>koordinácie a súdržnosti vo vonkajšej činnosti EÚ; zdôrazňuje, že je potrebné, aby EÚ podporovala viditeľnosť a účinnosť svojej vonkajšej činnosti a úsilia v oblasti rozvojovej spolupráce, vyjadruje však poľutovanie nad tým, že v niektorých prípadoch nie j</w:t>
      </w:r>
      <w:r>
        <w:t>e dostatočne jasné zastúpenie EÚ navonok, čo bráni strategickej komunikácii EÚ v zahraničí; zdôrazňuje, že treba jasne vymedziť právomoci PK/VP, predsedu Komisie a predsedu Európskej rady týkajúce sa vonkajšej činnosti a zastúpenia EÚ, aby bol hlas EÚ jedn</w:t>
      </w:r>
      <w:r>
        <w:t>otný a naši partneri ho tak vnímali; vyzýva Komisiu, aby posilnila svoju koordináciu s ESVČ vo vonkajšej činnosti, a to aj zabezpečením úplného súladu s článkom 3 ods. 2 a článkom 9 rozhodnutia o ESVČ</w:t>
      </w:r>
      <w:r>
        <w:rPr>
          <w:rStyle w:val="FootnoteReference"/>
        </w:rPr>
        <w:footnoteReference w:id="17"/>
      </w:r>
      <w:r>
        <w:t xml:space="preserve">, ktoré možno bude potrebné aktualizovať; </w:t>
      </w:r>
    </w:p>
    <w:p w:rsidR="000010F8" w:rsidRDefault="002B71AE">
      <w:pPr>
        <w:pStyle w:val="NormalHanging12a"/>
      </w:pPr>
      <w:r>
        <w:t>91.</w:t>
      </w:r>
      <w:r>
        <w:tab/>
        <w:t>žiada, a</w:t>
      </w:r>
      <w:r>
        <w:t xml:space="preserve">by sa ESVČ – jej ústredie aj delegácie EÚ – posilnila poskytnutím primeraných finančných a ľudských zdrojov, aby EÚ mohla byť lepšie pripravená na súčasné a vznikajúce globálne výzvy; žiada, aby ESVČ mohla vyberať a prijímať svojich stálych diplomatických </w:t>
      </w:r>
      <w:r>
        <w:t>zamestnancov EÚ a zabezpečila sa spravodlivá rodová a geografická rovnováha medzi členskými štátmi na všetkých úrovniach v rámci ESVČ; vyzýva PK/VP, aby urýchlene predložila návrhy budúcej operačnej štruktúry vonkajšej činnosti EÚ a aby na to v plnej miere</w:t>
      </w:r>
      <w:r>
        <w:t xml:space="preserve"> zohľadnila odporúčanie Európskeho parlamentu z 15. marca 2023 o hodnotení fungovania ESVČ a posilnení EÚ vo svete</w:t>
      </w:r>
      <w:r>
        <w:rPr>
          <w:rStyle w:val="FootnoteReference"/>
        </w:rPr>
        <w:footnoteReference w:id="18"/>
      </w:r>
      <w:r>
        <w:t>; zdôrazňuje, že je potrebné posilniť strategickú komunikáciu a činnosť EÚ v oblasti boja proti dezinformáciám prostredníctvom špecializovaný</w:t>
      </w:r>
      <w:r>
        <w:t>ch zdrojov a kancelárií v strategicky významných regiónoch a krajinách;</w:t>
      </w:r>
    </w:p>
    <w:p w:rsidR="000010F8" w:rsidRDefault="002B71AE">
      <w:pPr>
        <w:pStyle w:val="NormalHanging12a"/>
      </w:pPr>
      <w:r>
        <w:t>92.</w:t>
      </w:r>
      <w:r>
        <w:tab/>
        <w:t>pripomína, že EÚ má strategický záujem na podpore udržateľného rozvoja, znižovaní chudoby a rovnosti na celom svete, pretože toto úsilie prispieva k dlhodobému globálnemu mieru a b</w:t>
      </w:r>
      <w:r>
        <w:t xml:space="preserve">ezpečnosti; vyzýva Komisiu, aby účinne a urýchlene využila iniciatívu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ako udržateľnú alternatívu k čínskej iniciatíve Jedno pásmo, jedna cesta a ako nástroj na zvýšenie prítomnosti a viditeľnosti EÚ na celom svete; pripomína, že iniciatívu </w:t>
      </w:r>
      <w:proofErr w:type="spellStart"/>
      <w:r>
        <w:t>G</w:t>
      </w:r>
      <w:r>
        <w:t>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treba chápať ako strategickú koncepciu integrujúcu zahraničnú, hospodársku a rozvojovú politiku vrátane klimatickej a digitálnej transformácie, ako aj investície do infraštruktúry s cieľom posilniť úzke partnerstvo založené na vzájomných výho</w:t>
      </w:r>
      <w:r>
        <w:t xml:space="preserve">dách, hospodárskom rozvoji a odolných dodávateľských reťazcoch; v tejto súvislosti zdôrazňuje, že koordinácia s medzinárodnými finančnými inštitúciami, dobre vymedzené zapojenie súkromného </w:t>
      </w:r>
      <w:r>
        <w:lastRenderedPageBreak/>
        <w:t>sektora a prispôsobená strategická komunikácia aj v prijímajúcich k</w:t>
      </w:r>
      <w:r>
        <w:t xml:space="preserve">rajinách sú nevyhnutné na to, aby tento nástroj dosiahol želaný rozsah; je znepokojený správami, že viaceré projekty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realizujú čínske spoločnosti, čo je v priamom rozpore so zámermi a cieľmi iniciatívy, medzi ktoré patrí posilnenie hospodárs</w:t>
      </w:r>
      <w:r>
        <w:t xml:space="preserve">kej bezpečnosti EÚ a podpora hospodárskeho rozvoja a vzájomne prospešných partnerstiev s tretími krajinami; vyzýva preto na okamžité vyšetrenie a odstránenie všetkých čínskych spoločností zapojených do stratégie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>; zdôrazňuje, že podpora EÚ by</w:t>
      </w:r>
      <w:r>
        <w:t xml:space="preserve"> mala dopĺňať ďalšie iniciatívy, ako je Partnerstvo pre globálnu infraštruktúru a investície, Hospodársky koridor India – Blízky východ – Európa a koridor </w:t>
      </w:r>
      <w:proofErr w:type="spellStart"/>
      <w:r>
        <w:t>Lobito</w:t>
      </w:r>
      <w:proofErr w:type="spellEnd"/>
      <w:r>
        <w:t xml:space="preserve">, a mala by sa zameriavať najmä na dosiahnutie cieľov udržateľného rozvoja; </w:t>
      </w:r>
    </w:p>
    <w:p w:rsidR="000010F8" w:rsidRDefault="002B71AE">
      <w:pPr>
        <w:pStyle w:val="NormalHanging12a"/>
      </w:pPr>
      <w:r>
        <w:t>93.</w:t>
      </w:r>
      <w:r>
        <w:tab/>
        <w:t>opakuje, že Eu</w:t>
      </w:r>
      <w:r>
        <w:t>rópsky parlament zohráva zásadnú úlohu v SZBP a osobitne k nej prispieva prostredníctvom svojej parlamentnej diplomacie a svojich rôznych nástrojov, kanálov a kontaktov vrátane svojich programov na podporu demokracie, Výboru pre zahraničné veci, pravidelný</w:t>
      </w:r>
      <w:r>
        <w:t>ch parlamentných dialógov a oficiálnych delegácií; zdôrazňuje, že parlamentná diplomacia má veľký potenciál zapojiť kľúčové politické subjekty a uľahčiť demokratickú správu vecí verejných; zdôrazňuje najmä pridanú hodnotu parlamentnej diplomacie počas rusk</w:t>
      </w:r>
      <w:r>
        <w:t xml:space="preserve">ej útočnej vojny proti Ukrajine a v tejto súvislosti zdôrazňuje cennú spoluprácu na politickej a technickej úrovni medzi Najvyššou radou Ukrajiny a Európskym parlamentom; </w:t>
      </w:r>
    </w:p>
    <w:p w:rsidR="000010F8" w:rsidRDefault="002B71AE">
      <w:pPr>
        <w:pStyle w:val="NormalHanging12a"/>
      </w:pPr>
      <w:r>
        <w:t>94.</w:t>
      </w:r>
      <w:r>
        <w:tab/>
        <w:t>je pevne presvedčený, že diplomacia je významnou súčasťou činnosti EÚ; v tejto s</w:t>
      </w:r>
      <w:r>
        <w:t>úvislosti vyzýva na ďalší rozvoj preventívnej diplomacie EÚ ako proaktívneho nástroja vonkajšej politiky na predchádzanie konfliktom medzi stranami, ich mediáciu a mierové riešenie; vyzýva ESVČ, aby začlenila nástroje preventívnej diplomacie EÚ do štruktur</w:t>
      </w:r>
      <w:r>
        <w:t>álnych preventívnych mechanizmov a opatrení, ako sú politické dohody medzi rôznymi aktérmi zapojenými do konfliktov, národné dialógy o zmierení, budovaní mieru a spravodlivosti v prechodnom období, ako aj komisie pre pravdu a zmierenie; naliehavo vyzýva ES</w:t>
      </w:r>
      <w:r>
        <w:t>VČ, aby uskutočňovala hodnotenia získaných poznatkov s cieľom posúdiť diplomatické úsilie, určiť oblasti na zlepšenie a začleniť najlepšie postupy do budúcich iniciatív; žiada, aby sa zvýšili kapacity ESVČ v tejto oblasti, najmä pokiaľ ide o oddelenia prip</w:t>
      </w:r>
      <w:r>
        <w:t xml:space="preserve">ravenosti a reakcie na krízy; zdôrazňuje naliehavú potrebu zdvojnásobiť príslušný rozpočet EÚ v rámci Nástroja susedstva a rozvojovej a medzinárodnej spolupráce a výrazne zintenzívniť činnosť EÚ v oblasti mediácie, dialógu a zmierenia; </w:t>
      </w:r>
    </w:p>
    <w:p w:rsidR="000010F8" w:rsidRDefault="002B71AE">
      <w:pPr>
        <w:pStyle w:val="NormalHanging12a"/>
      </w:pPr>
      <w:r>
        <w:t>95.</w:t>
      </w:r>
      <w:r>
        <w:tab/>
        <w:t>opätovne potvrd</w:t>
      </w:r>
      <w:r>
        <w:t>zuje úlohu osobitných zástupcov EÚ (OZEÚ), ktorí presadzujú politiky a záujmy EÚ v konkrétnych regiónoch a krajinách a zohrávajú dôležitú úlohu pri rozvoji silnejšej a účinnejšej SZBP tým, že zabezpečujú aktívnu politickú prítomnosť EÚ v kľúčových krajinác</w:t>
      </w:r>
      <w:r>
        <w:t>h a regiónoch a pôsobia ako „hlas“ a „tvár“ EÚ a jej politík; zdôrazňuje, že je dôležité vybaviť OZEÚ dostatočnými zdrojmi, ktoré im umožnia účinne vykonávať tieto úlohy; zdôrazňuje, že je dôležité, aby OZEÚ mali široký a flexibilný mandát, ktorý by sa dok</w:t>
      </w:r>
      <w:r>
        <w:t xml:space="preserve">ázal prispôsobiť vyvíjajúcim sa geopolitickým okolnostiam s cieľom podporovať politiky a záujmy EÚ v konkrétnych regiónoch a krajinách a zohrávať aktívnu úlohu v úsilí o preventívnu diplomaciu; trvá na tom, aby sa vymenovanie nových OZEÚ uskutočnilo až po </w:t>
      </w:r>
      <w:r>
        <w:t>vypočutí v Európskom parlamente;</w:t>
      </w:r>
    </w:p>
    <w:p w:rsidR="000010F8" w:rsidRDefault="002B71AE">
      <w:pPr>
        <w:pStyle w:val="NormalHanging12a"/>
        <w:rPr>
          <w:bCs/>
        </w:rPr>
      </w:pPr>
      <w:r>
        <w:rPr>
          <w:bCs/>
        </w:rPr>
        <w:t>96.</w:t>
      </w:r>
      <w:r>
        <w:rPr>
          <w:bCs/>
        </w:rPr>
        <w:tab/>
        <w:t>zdôrazňuje, že korupcia umožňuje a zhoršuje porušovanie ľudských práv, zneužívanie a narúšanie demokratických zásad a zásad právneho štátu; žiada EÚ a jej členské štáty, aby riešili riziká, ktoré korupcia predstavuje pr</w:t>
      </w:r>
      <w:r>
        <w:rPr>
          <w:bCs/>
        </w:rPr>
        <w:t xml:space="preserve">e stabilitu, správu vecí verejných a mier, a aby týmto hrozbám pre záujmy EÚ a globálnu prosperitu a bezpečnosť predchádzali a bojovali proti nim, najmä vo východnom a južnom susedstve EÚ; nabáda na užšiu </w:t>
      </w:r>
      <w:r>
        <w:rPr>
          <w:bCs/>
        </w:rPr>
        <w:lastRenderedPageBreak/>
        <w:t>koordináciu medzi EÚ, jej členskými štátmi a spojen</w:t>
      </w:r>
      <w:r>
        <w:rPr>
          <w:bCs/>
        </w:rPr>
        <w:t>cami a partnermi vždy, keď je to možné, s cieľom bojovať proti systémovej korupcii, ktorá posilňuje autokratické režimy, uľahčuje šírenie škodlivého vplyvu, pripravuje spoločnosti o základné zdroje a oslabuje demokratické hodnoty, ľudské práva a právny štá</w:t>
      </w:r>
      <w:r>
        <w:rPr>
          <w:bCs/>
        </w:rPr>
        <w:t>t; zdôrazňuje kľúčovú úlohu občianskej spoločnosti a nezávislých novinárov v tretích krajinách pri monitorovaní a odhaľovaní korupcie; žiada preto EÚ, aby v rámci svojej zahraničnej politiky prijala komplexný a urýchlene implementovaný protikorupčný rámec,</w:t>
      </w:r>
      <w:r>
        <w:rPr>
          <w:bCs/>
        </w:rPr>
        <w:t xml:space="preserve"> ktorý bude zahŕňať sankčný režim EÚ, navrhovanú protikorupčnú smernicu a širšiu protikorupčnú stratégiu EÚ; naliehavo vyzýva PK/VP, aby v tejto súvislosti navrhla konkrétne a ďalekosiahle opatrenia, a podporuje začlenenie protikorupčných ustanovení do obc</w:t>
      </w:r>
      <w:r>
        <w:rPr>
          <w:bCs/>
        </w:rPr>
        <w:t>hodných dohôd EÚ s tretími krajinami;</w:t>
      </w:r>
    </w:p>
    <w:p w:rsidR="000010F8" w:rsidRDefault="002B71AE">
      <w:pPr>
        <w:pStyle w:val="NormalHanging12a"/>
      </w:pPr>
      <w:r>
        <w:t>97.</w:t>
      </w:r>
      <w:r>
        <w:tab/>
        <w:t>zdôrazňuje misie a operácie EÚ v zahraničí na podporu mieru, bezpečnosti a pokroku v Európe a vo svete; vyzýva PK/VP, aby: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pripravila návrhy potrebných misií SZBP, ktoré sa majú začať v roku 2025, s použitím </w:t>
      </w:r>
      <w:r>
        <w:t>kapacity rýchleho nasadenia EÚ ako preventívnej vojenskej posily; pripomína, že administratívne výdavky na tieto opatrenia vrátane výdavkov spojených s kapacitou rýchleho nasadenia v zálohe by sa mali hradiť z rozpočtu EÚ;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spolupracovala s Cyprom, Tureck</w:t>
      </w:r>
      <w:r>
        <w:t>om, Spojeným kráľovstvom a OSN na implementácii konkrétnych opatrení na demilitarizáciu nárazníkovej zóny na Cypre a zlepšení bezpečnosti na ostrove, a to tak spoločenstva cyperských Grékov, ako aj spoločenstva cyperských Turkov;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podporuje posilnenie úlo</w:t>
      </w:r>
      <w:r>
        <w:t xml:space="preserve">hy dvoch civilných misií EÚ v rámci SBOP, konkrétne EUPOL COPPS a EUBAM </w:t>
      </w:r>
      <w:proofErr w:type="spellStart"/>
      <w:r>
        <w:t>Rafah</w:t>
      </w:r>
      <w:proofErr w:type="spellEnd"/>
      <w:r>
        <w:t>, v súlade so závermi Európskej rady z 21. a 22. marca 2024, v ktorých sa pripomína, že môžu zohrávať dôležitú úlohu na základe princípu riešenia založeného na existencii dvoch št</w:t>
      </w:r>
      <w:r>
        <w:t xml:space="preserve">átov a životaschopnosti budúceho Palestínskeho štátu, a podieľať sa na uľahčovaní poskytovania humanitárnej pomoci do Pásma Gazy, zlepšiť efektívnosť palestínskeho orgánu v </w:t>
      </w:r>
      <w:proofErr w:type="spellStart"/>
      <w:r>
        <w:t>Predjordánsku</w:t>
      </w:r>
      <w:proofErr w:type="spellEnd"/>
      <w:r>
        <w:t xml:space="preserve"> a pripraviť sa na jeho návrat do Pásma Gazy;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vytvorila potrebné pod</w:t>
      </w:r>
      <w:r>
        <w:t xml:space="preserve">mienky na úplnú opätovnú aktiváciu misie EUBAM </w:t>
      </w:r>
      <w:proofErr w:type="spellStart"/>
      <w:r>
        <w:t>Rafah</w:t>
      </w:r>
      <w:proofErr w:type="spellEnd"/>
      <w:r>
        <w:t xml:space="preserve">, aby mohla pôsobiť ako neutrálna tretia strana na hraničnom priechode v </w:t>
      </w:r>
      <w:proofErr w:type="spellStart"/>
      <w:r>
        <w:t>Rafahu</w:t>
      </w:r>
      <w:proofErr w:type="spellEnd"/>
      <w:r>
        <w:t xml:space="preserve"> v koordinácii s Palestínskou samosprávou, ako aj izraelskými a egyptskými orgánmi; očakáva, že posilnenie rozsahu pôsobnosti</w:t>
      </w:r>
      <w:r>
        <w:t xml:space="preserve"> a mandátov misie EUPOL COPPS a misie EUBAM </w:t>
      </w:r>
      <w:proofErr w:type="spellStart"/>
      <w:r>
        <w:t>Rafah</w:t>
      </w:r>
      <w:proofErr w:type="spellEnd"/>
      <w:r>
        <w:t xml:space="preserve"> v teréne bude zahrnuté medzi kľúčové priority nadchádzajúcej stratégie EÚ vo vzťahu k Blízkemu východu;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ďalej zvýšila počet pozorovateľov nasadených v rámci civilnej misie EÚ v Arménsku na arménskej stran</w:t>
      </w:r>
      <w:r>
        <w:t>e medzinárodnej hranice s Azerbajdžanom a opätovne vyzvala Azerbajdžan, aby spolupracoval s misiou a zastavil očierňujúcu kampaň proti nej;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spolupracovala s Austráliou, Novým Zélandom, Kórejskou republikou, Japonskom, Taiwanom a členskými štátmi združeni</w:t>
      </w:r>
      <w:r>
        <w:t>a ASEAN s cieľom uľahčiť mier a bezpečnosť v indicko-tichomorskom regióne a v juhovýchodnej Ázii;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vypracovala stratégie na boj proti hybridným útokom na východnej hranici a v </w:t>
      </w:r>
      <w:r>
        <w:lastRenderedPageBreak/>
        <w:t>najvzdialenejších regiónoch EÚ, najmä tým, ktoré využívajú migráciu ako nástroj</w:t>
      </w:r>
      <w:r>
        <w:t xml:space="preserve"> na destabilizáciu členských štátov a vyvíjanie politického tlaku, podporovala solidaritu medzi členskými štátmi s krajinami, ktoré čelia takýmto útokom, ako je Poľsko a Litva, a navrhla odvetné opatrenia proti Komorám za využívanie migračných vĺn na Mayot</w:t>
      </w:r>
      <w:r>
        <w:t>te;</w:t>
      </w:r>
    </w:p>
    <w:p w:rsidR="000010F8" w:rsidRDefault="002B71AE">
      <w:pPr>
        <w:pStyle w:val="NormalHanging12a"/>
      </w:pPr>
      <w:r>
        <w:t>98.</w:t>
      </w:r>
      <w:r>
        <w:tab/>
        <w:t>vyzýva PK/VP, aby nadviazala na príklady úspešných evakuačných opatrení v Sudáne a posilnenej konzulárnej ochrany a pracovala na vytvorení komplexného systému ochrany pre občanov EÚ v zahraničí; zdôrazňuje, že vplyv pretrvávajúcich kríz a konflikto</w:t>
      </w:r>
      <w:r>
        <w:t>v na celom svete môže znamenať riziko preťaženia kapacít konzulárnej ochrany a/alebo pomoci členských štátov, a v tejto súvislosti vyzýva na posilnenie kapacít a zdrojov centra ESVČ pre reakciu na krízy a mechanizmu civilnej ochrany EÚ; pripomína svoju dlh</w:t>
      </w:r>
      <w:r>
        <w:t>odobú pozíciu uplatňovať podobnú úroveň ochrany na miestnych zamestnancov v delegáciách EÚ a misiách a operáciách SZBP;</w:t>
      </w:r>
    </w:p>
    <w:p w:rsidR="000010F8" w:rsidRDefault="002B71AE">
      <w:pPr>
        <w:pStyle w:val="NormalHanging12a"/>
        <w:rPr>
          <w:b/>
          <w:i/>
        </w:rPr>
      </w:pPr>
      <w:r>
        <w:rPr>
          <w:b/>
          <w:i/>
        </w:rPr>
        <w:t>III. Nasledujúci VFR a súvisiaci parlamentný dohľad</w:t>
      </w:r>
    </w:p>
    <w:p w:rsidR="000010F8" w:rsidRDefault="002B71AE">
      <w:pPr>
        <w:pStyle w:val="NormalHanging12a"/>
      </w:pPr>
      <w:r>
        <w:t>99.</w:t>
      </w:r>
      <w:r>
        <w:tab/>
        <w:t>sa domnieva, že je potrebný silnejší inštitucionalizovaný parlamentný dohľad nad</w:t>
      </w:r>
      <w:r>
        <w:t xml:space="preserve"> vonkajšou činnosťou EÚ vrátane pravidelného a včasného, no bezpečného prístupu k dôverným informáciám a brífingom v Európskom parlamente v súlade s článkom 36 Zmluvy o EÚ; zdôrazňuje, že je potrebné, aby PK/VP a ESVČ poskytovali väčšiu spätnú väzbu o opat</w:t>
      </w:r>
      <w:r>
        <w:t>reniach, ktoré prijali, ako aj o ich dosiahnutých účinkoch, s cieľom splniť odporúčania EP uvedené v uzneseniach o otázkach zahraničných vecí;</w:t>
      </w:r>
    </w:p>
    <w:p w:rsidR="000010F8" w:rsidRDefault="002B71AE">
      <w:pPr>
        <w:pStyle w:val="NormalHanging12a"/>
      </w:pPr>
      <w:r>
        <w:t>100.</w:t>
      </w:r>
      <w:r>
        <w:tab/>
        <w:t>zdôrazňuje, že v rámci SZBP, ktorá zahŕňa SBOP, vykonáva Európsky parlament svoju rozpočtovú funkciu spoločn</w:t>
      </w:r>
      <w:r>
        <w:t>e s Radou; pripomína, že Európsky parlament v súvislosti s týmito politikami vykonáva aj funkciu politickej kontroly a konzultácie, ako sa uvádza v článku 36 Zmluvy o EÚ;</w:t>
      </w:r>
    </w:p>
    <w:p w:rsidR="000010F8" w:rsidRDefault="002B71AE">
      <w:pPr>
        <w:pStyle w:val="NormalHanging12a"/>
      </w:pPr>
      <w:r>
        <w:t>101.</w:t>
      </w:r>
      <w:r>
        <w:tab/>
        <w:t>pripomína, že v súlade s článkom 41 Zmluvy o EÚ by sa všetky administratívne a p</w:t>
      </w:r>
      <w:r>
        <w:t>revádzkové výdavky SZBP a SBOP mali účtovať na ťarchu rozpočtu EÚ s výnimkou výdavkov vyplývajúcich z operácií s vojenskými alebo obrannými dôsledkami;</w:t>
      </w:r>
    </w:p>
    <w:p w:rsidR="000010F8" w:rsidRDefault="002B71AE">
      <w:pPr>
        <w:pStyle w:val="NormalHanging12a"/>
      </w:pPr>
      <w:r>
        <w:t>102.</w:t>
      </w:r>
      <w:r>
        <w:tab/>
        <w:t>zdôrazňuje, že rozhodnutia týkajúce sa SZBP alebo SBOP, ktoré zahŕňajú výdavky, predstavujú v prípa</w:t>
      </w:r>
      <w:r>
        <w:t>de týchto politík vždy základné rozhodnutia a musia podliehať parlamentnému dohľadu; vyzýva PK/VP, aby pred navrhnutím rozhodnutí v oblasti SZBP alebo SBOP konzultovala s Európskym parlamentom a zabezpečila tak transparentnosť a zodpovednosť v súlade s člá</w:t>
      </w:r>
      <w:r>
        <w:t xml:space="preserve">nkom 36 Zmluvy o EÚ; </w:t>
      </w:r>
    </w:p>
    <w:p w:rsidR="000010F8" w:rsidRDefault="002B71AE">
      <w:pPr>
        <w:pStyle w:val="NormalHanging12a"/>
      </w:pPr>
      <w:r>
        <w:t>103.</w:t>
      </w:r>
      <w:r>
        <w:tab/>
        <w:t>pripomína, že výkon rozpočtovej funkcie Európskeho parlamentu je neoddeliteľne spätý s jeho funkciou politickej kontroly a konzultácie; pripomína, že v článku 36 Zmluvy o EÚ sa stanovuje osobitný vzťah medzi PK/VP a Európskym par</w:t>
      </w:r>
      <w:r>
        <w:t>lamentom, ktorý je predpokladom na to, aby Európsky parlament tieto funkcie vykonával, a že PK/VP by mala v týchto súvislostiach Európsky parlament podporovať;</w:t>
      </w:r>
    </w:p>
    <w:p w:rsidR="000010F8" w:rsidRDefault="002B71AE">
      <w:pPr>
        <w:pStyle w:val="NormalHanging12a"/>
      </w:pPr>
      <w:r>
        <w:t>104.</w:t>
      </w:r>
      <w:r>
        <w:tab/>
        <w:t>vyjadruje poľutovanie nad tým, že rozpočet na civilné misie SBOP je nedostatočný; pripomína</w:t>
      </w:r>
      <w:r>
        <w:t>, že počet a úlohy takýchto misií sa zvýšili, bezpečnostné prostredie sa stalo náročnejším a náklady na operácie sa zvýšili; naliehavo vyzýva Európsku radu, aby zabezpečila podstatné zvýšenie financovania SZBP v rámci samostatného okruhu civilnej SZBP a kr</w:t>
      </w:r>
      <w:r>
        <w:t xml:space="preserve">ízového riadenia; žiada, aby sa zabezpečilo efektívne využívanie finančných prostriedkov vyčlenených na civilné misie SBOP s cieľom zabezpečiť, aby </w:t>
      </w:r>
      <w:r>
        <w:lastRenderedPageBreak/>
        <w:t>tieto misie boli schopné účinne reagovať na krízové situácie a nepredvídané udalosti; vyzýva PK/VP a Komisiu</w:t>
      </w:r>
      <w:r>
        <w:t>, aby na tieto účely predložili spoločné návrhy;</w:t>
      </w:r>
    </w:p>
    <w:p w:rsidR="000010F8" w:rsidRDefault="002B71AE">
      <w:pPr>
        <w:pStyle w:val="NormalHanging12a"/>
      </w:pPr>
      <w:r>
        <w:t>105.</w:t>
      </w:r>
      <w:r>
        <w:tab/>
        <w:t>je hlboko znepokojený štrukturálne nedostatočným financovaním ESVČ a konštatuje, že to už má vážne a ďalekosiahle negatívne dôsledky na vonkajšiu činnosť EÚ a výkonnosť inštitúcií EÚ v tejto oblasti; zd</w:t>
      </w:r>
      <w:r>
        <w:t>ôrazňuje, že je potrebný osobitný prístup k administratívnemu rozpočtu ESVČ, a pripomína, že absencia nápravných opatrení môže mať vážny vplyv na vzťahy EÚ s tretími krajinami;</w:t>
      </w:r>
    </w:p>
    <w:p w:rsidR="000010F8" w:rsidRDefault="002B71AE">
      <w:pPr>
        <w:pStyle w:val="NormalHanging12a"/>
      </w:pPr>
      <w:r>
        <w:t>106.</w:t>
      </w:r>
      <w:r>
        <w:tab/>
        <w:t>vyzýva Komisiu, aby vo svojom návrhu budúceho VFR v rámci okruhu vonkajšej</w:t>
      </w:r>
      <w:r>
        <w:t xml:space="preserve"> činnosti EÚ zvážila: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rozsiahle spôsobilosti a zdroje pre vonkajšiu činnosť EÚ, ktoré zohľadňujú čoraz náročnejšiu medzinárodnú oblasť, pričom v tejto súvislosti pripomína, že je nevyhnutné ďalej posilňovať podporu EÚ v oblasti ľudských práv, demokracie </w:t>
      </w:r>
      <w:r>
        <w:t>a rozvoja v tretích krajinách;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zdroje pre digitálnu diplomaciu EÚ, vzhľadom na súčasný kontext rýchleho technologického pokroku a geopolitickej konkurencie;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 xml:space="preserve">zdroje na zelenú diplomaciu; 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osobitný rozpočet na konkrétne činnosti zahraničnej politiky EÚ</w:t>
      </w:r>
      <w:r>
        <w:t xml:space="preserve"> v oblasti rodovej rovnosti a program zameraný na ženy, mier a bezpečnosť s cieľom začleniť rodové hľadisko do diplomatického úsilia a úsilia EÚ v oblasti bezpečnosti ľudí,</w:t>
      </w:r>
    </w:p>
    <w:p w:rsidR="000010F8" w:rsidRDefault="002B71AE">
      <w:pPr>
        <w:pStyle w:val="NormalHanging12a"/>
        <w:ind w:left="1134"/>
      </w:pPr>
      <w:r>
        <w:rPr>
          <w:szCs w:val="24"/>
        </w:rPr>
        <w:t>–</w:t>
      </w:r>
      <w:r>
        <w:tab/>
        <w:t>zdroje na preventívnu kontrolu potenciálnych príjemcov s cieľom zabezpečiť, aby f</w:t>
      </w:r>
      <w:r>
        <w:t>inančné prostriedky EÚ za žiadnych okolností priamo ani nepriamo nepodporovali činnosti, projekty alebo literatúru, ktoré podnecujú násilie a nenávisť vrátane antisemitizmu, a zabezpečiť, aby sa zodpovedajúcim spôsobom monitorovali všetci príjemcovia finan</w:t>
      </w:r>
      <w:r>
        <w:t>čných prostriedkov EÚ;</w:t>
      </w:r>
    </w:p>
    <w:p w:rsidR="000010F8" w:rsidRDefault="002B71AE">
      <w:pPr>
        <w:pStyle w:val="NormalHanging12a"/>
      </w:pPr>
      <w:r>
        <w:t>107.</w:t>
      </w:r>
      <w:r>
        <w:tab/>
        <w:t>vyzýva Komisiu, aby svoje návrhy budúceho VFR predložila v prvom polroku 2025 s cieľom poskytnúť dostatočný čas na rokovanie o programoch; zdôrazňuje potrebu podrobnejšej rozpočtovej nomenklatúry v Nástroji susedstva a rozvojove</w:t>
      </w:r>
      <w:r>
        <w:t>j a medzinárodnej spolupráce, Nástroji predvstupovej pomoci a rozpočte SZBP, ktorá rozpočtovému orgánu umožní stanoviť politické a geografické priority v rámci ročného rozpočtového postupu;</w:t>
      </w:r>
    </w:p>
    <w:p w:rsidR="000010F8" w:rsidRDefault="002B71AE">
      <w:pPr>
        <w:pStyle w:val="NormalHanging12a"/>
      </w:pPr>
      <w:r>
        <w:t>108.</w:t>
      </w:r>
      <w:r>
        <w:tab/>
        <w:t>zdôrazňuje, že každá z uvedených záležitostí si vyžaduje prim</w:t>
      </w:r>
      <w:r>
        <w:t>eranú reakciu zo strany výkonnej moci; vyzýva PK/VP, aby na výzvy, žiadosti a obavy Európskeho parlamentu reagovala rýchlo a písomne; sa domnieva, že ústne vyhlásenia vo výbore alebo v pléne môžu predstavovať dostatočnú reakciu len vo výnimočných alebo nal</w:t>
      </w:r>
      <w:r>
        <w:t>iehavých prípadoch; zdôrazňuje, že v súčasnom náročnom geopolitickom kontexte má úzka spolupráca a partnerstvo medzi Európskym parlamentom a PK/VP strategický význam; očakáva systematickejšie výmeny pred prijatím mandátov a stratégií SZBP a lepší tok infor</w:t>
      </w:r>
      <w:r>
        <w:t>mácií o rokovaniach a vykonávaní medzinárodných dohôd, ako aj memoránd o porozumení; okrem toho očakáva, že Európsky parlament bude účinne začlenený do všetkých vonkajších politík a činností EÚ, čím sa zmobilizuje parlamentná diplomacia na podporu úsilia P</w:t>
      </w:r>
      <w:r>
        <w:t>K/VP;</w:t>
      </w:r>
    </w:p>
    <w:p w:rsidR="000010F8" w:rsidRDefault="002B71AE">
      <w:pPr>
        <w:pStyle w:val="NormalHanging12a"/>
        <w:jc w:val="center"/>
      </w:pPr>
      <w:r>
        <w:t>°</w:t>
      </w:r>
    </w:p>
    <w:p w:rsidR="000010F8" w:rsidRDefault="002B71AE">
      <w:pPr>
        <w:pStyle w:val="NormalHanging12a"/>
        <w:jc w:val="center"/>
      </w:pPr>
      <w:r>
        <w:lastRenderedPageBreak/>
        <w:t>°</w:t>
      </w:r>
      <w:r>
        <w:tab/>
        <w:t>°</w:t>
      </w:r>
    </w:p>
    <w:p w:rsidR="000010F8" w:rsidRDefault="002B71AE">
      <w:pPr>
        <w:pStyle w:val="NormalHanging12a"/>
      </w:pPr>
      <w:r>
        <w:t>109.</w:t>
      </w:r>
      <w:r>
        <w:tab/>
        <w:t>poveruje svoju predsedníčku, aby postúpila toto uznesenie Európskej rade, Rade, Komisii, podpredsedníčke Komisie/vysokej predstaviteľke Únie pre zahraničné veci a bezpečnostnú politiku a vládam a parlamentom členských štátov.</w:t>
      </w:r>
    </w:p>
    <w:p w:rsidR="000010F8" w:rsidRDefault="000010F8"/>
    <w:sectPr w:rsidR="000010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0F8" w:rsidRDefault="002B71AE">
      <w:r>
        <w:separator/>
      </w:r>
    </w:p>
  </w:endnote>
  <w:endnote w:type="continuationSeparator" w:id="0">
    <w:p w:rsidR="000010F8" w:rsidRDefault="002B7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0F8" w:rsidRDefault="000010F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0F8" w:rsidRDefault="000010F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0F8" w:rsidRDefault="000010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0F8" w:rsidRDefault="002B71AE">
      <w:r>
        <w:separator/>
      </w:r>
    </w:p>
  </w:footnote>
  <w:footnote w:type="continuationSeparator" w:id="0">
    <w:p w:rsidR="000010F8" w:rsidRDefault="002B71AE">
      <w:r>
        <w:continuationSeparator/>
      </w:r>
    </w:p>
  </w:footnote>
  <w:footnote w:id="1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Ú. v. EÚ L 433 </w:t>
      </w:r>
      <w:r>
        <w:rPr>
          <w:rStyle w:val="Emphasis"/>
          <w:i w:val="0"/>
          <w:sz w:val="24"/>
          <w:shd w:val="clear" w:color="auto" w:fill="FFFFFF"/>
          <w:lang w:val="sk-SK"/>
        </w:rPr>
        <w:t>I, 22.12.2020, s. 28,</w:t>
      </w:r>
      <w:r>
        <w:rPr>
          <w:sz w:val="24"/>
          <w:shd w:val="clear" w:color="auto" w:fill="FFFFFF"/>
          <w:lang w:val="sk-SK"/>
        </w:rPr>
        <w:t xml:space="preserve"> ELI: </w:t>
      </w:r>
      <w:hyperlink r:id="rId1" w:tooltip="Umožňuje prístup k tomuto dokumentu prostredníctvom jednotného identifikátora zdroja ELI.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http://data.europa.eu/eli/agree_interinstit/2020/1222/oj</w:t>
        </w:r>
      </w:hyperlink>
      <w:r>
        <w:rPr>
          <w:sz w:val="24"/>
          <w:lang w:val="sk-SK"/>
        </w:rPr>
        <w:t>.</w:t>
      </w:r>
    </w:p>
  </w:footnote>
  <w:footnote w:id="2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>Ú. v. EÚ L 102, 24.3.2021, s.</w:t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i w:val="0"/>
          <w:sz w:val="24"/>
          <w:shd w:val="clear" w:color="auto" w:fill="FFFFFF"/>
          <w:lang w:val="sk-SK"/>
        </w:rPr>
        <w:t>14,</w:t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>ELI: </w:t>
      </w:r>
      <w:hyperlink r:id="rId2" w:tooltip="Umožňuje prístup k tomuto dokumentu prostredníctvom jednotného identifikátora zdroja ELI.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http://data.europa.eu/eli/dec/2021/509/2024-03-18</w:t>
        </w:r>
      </w:hyperlink>
      <w:r>
        <w:rPr>
          <w:sz w:val="24"/>
          <w:lang w:val="sk-SK"/>
        </w:rPr>
        <w:t>.</w:t>
      </w:r>
    </w:p>
  </w:footnote>
  <w:footnote w:id="3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Ú. v. </w:t>
      </w:r>
      <w:r>
        <w:rPr>
          <w:sz w:val="24"/>
          <w:shd w:val="clear" w:color="auto" w:fill="FFFFFF"/>
          <w:lang w:val="sk-SK"/>
        </w:rPr>
        <w:t xml:space="preserve">EÚ L, 2024/1449, </w:t>
      </w:r>
      <w:r>
        <w:rPr>
          <w:sz w:val="24"/>
          <w:shd w:val="clear" w:color="auto" w:fill="FFFFFF"/>
          <w:lang w:val="sk-SK"/>
        </w:rPr>
        <w:t>24.5.2024, ELI: </w:t>
      </w:r>
      <w:hyperlink r:id="rId3" w:tgtFrame="_blank" w:tooltip="Umožňuje prístup k tomuto dokumentu prostredníctvom jednotného identifikátora zdroja ELI." w:history="1">
        <w:r>
          <w:rPr>
            <w:rStyle w:val="Hyperlink"/>
            <w:szCs w:val="24"/>
            <w:shd w:val="clear" w:color="auto" w:fill="FFFFFF"/>
            <w:lang w:val="es-ES"/>
          </w:rPr>
          <w:t>http://data.europa.eu/eli/reg/2024/1449/oj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4">
    <w:p w:rsidR="000010F8" w:rsidRDefault="002B71AE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>
        <w:rPr>
          <w:lang w:val="fi-FI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fi-FI"/>
        </w:rPr>
        <w:t>Ú. v. EÚ L, 2025/535, 21.3.</w:t>
      </w:r>
      <w:r>
        <w:rPr>
          <w:sz w:val="24"/>
          <w:szCs w:val="24"/>
          <w:lang w:val="fi-FI"/>
        </w:rPr>
        <w:t xml:space="preserve">2025, ELI: </w:t>
      </w:r>
      <w:hyperlink r:id="rId4" w:history="1">
        <w:r>
          <w:rPr>
            <w:rStyle w:val="Hyperlink"/>
            <w:sz w:val="24"/>
            <w:szCs w:val="24"/>
            <w:lang w:val="fi-FI"/>
          </w:rPr>
          <w:t>http://data.europa.eu/eli/reg/2025/535/oj</w:t>
        </w:r>
      </w:hyperlink>
      <w:r>
        <w:rPr>
          <w:rStyle w:val="Hyperlink"/>
          <w:color w:val="auto"/>
          <w:lang w:val="fi-FI"/>
        </w:rPr>
        <w:t>.</w:t>
      </w:r>
    </w:p>
  </w:footnote>
  <w:footnote w:id="5">
    <w:p w:rsidR="000010F8" w:rsidRDefault="002B71AE">
      <w:pPr>
        <w:pStyle w:val="FootnoteText"/>
        <w:ind w:left="567" w:hanging="567"/>
        <w:rPr>
          <w:b/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Ú. v. </w:t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EÚ L 129 </w:t>
      </w:r>
      <w:r>
        <w:rPr>
          <w:rStyle w:val="Emphasis"/>
          <w:i w:val="0"/>
          <w:sz w:val="24"/>
          <w:shd w:val="clear" w:color="auto" w:fill="FFFFFF"/>
          <w:lang w:val="sk-SK"/>
        </w:rPr>
        <w:t>I, 17.5.2019, s. 13,</w:t>
      </w:r>
      <w:r>
        <w:rPr>
          <w:sz w:val="24"/>
          <w:shd w:val="clear" w:color="auto" w:fill="FFFFFF"/>
          <w:lang w:val="sk-SK"/>
        </w:rPr>
        <w:t xml:space="preserve"> ELI: </w:t>
      </w:r>
      <w:hyperlink r:id="rId5" w:tooltip="Umožňuje prístup k tomuto dokumentu prostredníctvom jednotného identifikátora zdroja ELI." w:history="1">
        <w:r>
          <w:rPr>
            <w:rStyle w:val="Hyperlink"/>
            <w:szCs w:val="24"/>
            <w:lang w:val="sk-SK"/>
          </w:rPr>
          <w:t>http://data.europa.eu/eli/dec/2019/797/oj</w:t>
        </w:r>
      </w:hyperlink>
      <w:r>
        <w:rPr>
          <w:sz w:val="24"/>
          <w:lang w:val="sk-SK"/>
        </w:rPr>
        <w:t>.</w:t>
      </w:r>
    </w:p>
  </w:footnote>
  <w:footnote w:id="6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Ú. v. </w:t>
      </w:r>
      <w:r>
        <w:rPr>
          <w:sz w:val="24"/>
          <w:shd w:val="clear" w:color="auto" w:fill="FFFFFF"/>
          <w:lang w:val="sk-SK"/>
        </w:rPr>
        <w:t>EÚ C, C/2023/1226, 21.12.2023, ELI: </w:t>
      </w:r>
      <w:hyperlink r:id="rId6" w:tgtFrame="_blank" w:tooltip="Umožňuje prístup k tomuto dokumentu prostredníctvom jednotného identifikátora zdroja ELI." w:history="1">
        <w:r>
          <w:rPr>
            <w:rStyle w:val="Hyperlink"/>
            <w:szCs w:val="24"/>
            <w:lang w:val="sk-SK"/>
          </w:rPr>
          <w:t>http://data.europa.eu/eli/C/2023/1226/oj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7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Ú. v. </w:t>
      </w:r>
      <w:r>
        <w:rPr>
          <w:sz w:val="24"/>
          <w:shd w:val="clear" w:color="auto" w:fill="FFFFFF"/>
          <w:lang w:val="sk-SK"/>
        </w:rPr>
        <w:t>EÚ C, C/2025/204, 14.1.2025, ELI: </w:t>
      </w:r>
      <w:hyperlink r:id="rId7" w:tgtFrame="_blank" w:tooltip="Umožňuje prístup k tomuto dokumentu prostredníctvom jednotného identifikátora zdroja ELI." w:history="1">
        <w:r>
          <w:rPr>
            <w:rStyle w:val="Hyperlink"/>
            <w:szCs w:val="24"/>
            <w:lang w:val="es-ES"/>
          </w:rPr>
          <w:t>http://data.europa.eu/eli/C/2025/204/oj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8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Ú. v. </w:t>
      </w:r>
      <w:r>
        <w:rPr>
          <w:sz w:val="24"/>
          <w:shd w:val="clear" w:color="auto" w:fill="FFFFFF"/>
          <w:lang w:val="sk-SK"/>
        </w:rPr>
        <w:t>EÚ C, C/2025/487, 29.1.2025, ELI: </w:t>
      </w:r>
      <w:hyperlink r:id="rId8" w:tgtFrame="_blank" w:tooltip="Umožňuje prístup k tomuto dokumentu prostredníctvom jednotného identifikátora zdroja ELI." w:history="1">
        <w:r>
          <w:rPr>
            <w:rStyle w:val="Hyperlink"/>
            <w:szCs w:val="24"/>
            <w:lang w:val="es-ES"/>
          </w:rPr>
          <w:t>http://data.europa.eu/eli/C/2025/487/oj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9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Ú. v. </w:t>
      </w:r>
      <w:r>
        <w:rPr>
          <w:sz w:val="24"/>
          <w:shd w:val="clear" w:color="auto" w:fill="FFFFFF"/>
          <w:lang w:val="sk-SK"/>
        </w:rPr>
        <w:t>EÚ C, C/2024/5719, 17.10.2024, ELI: </w:t>
      </w:r>
      <w:hyperlink r:id="rId9" w:tgtFrame="_blank" w:tooltip="Umožňuje prístup k tomuto dokumentu prostredníctvom jednotného identifikátora zdroja ELI." w:history="1">
        <w:r>
          <w:rPr>
            <w:rStyle w:val="Hyperlink"/>
            <w:szCs w:val="24"/>
            <w:lang w:val="es-ES"/>
          </w:rPr>
          <w:t>http://data.europa.eu/eli/C/2024/5719/oj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10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Ú. v. </w:t>
      </w:r>
      <w:r>
        <w:rPr>
          <w:sz w:val="24"/>
          <w:shd w:val="clear" w:color="auto" w:fill="FFFFFF"/>
          <w:lang w:val="sk-SK"/>
        </w:rPr>
        <w:t>EÚ C, C/2025/486, 29.1.2025, ELI: </w:t>
      </w:r>
      <w:hyperlink r:id="rId10" w:tgtFrame="_blank" w:tooltip="Umožňuje prístup k tomuto dokumentu prostredníctvom jednotného identifikátora zdroja ELI." w:history="1">
        <w:r>
          <w:rPr>
            <w:rStyle w:val="Hyperlink"/>
            <w:szCs w:val="24"/>
            <w:lang w:val="es-ES"/>
          </w:rPr>
          <w:t>http://data.europa.eu/eli/C/2025/486/oj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11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 xml:space="preserve">Ú. v. </w:t>
      </w:r>
      <w:r>
        <w:rPr>
          <w:sz w:val="24"/>
          <w:shd w:val="clear" w:color="auto" w:fill="FFFFFF"/>
          <w:lang w:val="sk-SK"/>
        </w:rPr>
        <w:t>EÚ C, C/2024/1188, 23.2.2024, ELI: </w:t>
      </w:r>
      <w:hyperlink r:id="rId11" w:tgtFrame="_blank" w:tooltip="Umožňuje prístup k tomuto dokumentu prostredníctvom jednotného identifikátora zdroja ELI." w:history="1">
        <w:r>
          <w:rPr>
            <w:rStyle w:val="Hyperlink"/>
            <w:szCs w:val="24"/>
            <w:lang w:val="es-ES"/>
          </w:rPr>
          <w:t>http://data.europa.eu/eli/C/2024/1188/oj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12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Ú. v. </w:t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EÚ C 137 </w:t>
      </w:r>
      <w:r>
        <w:rPr>
          <w:rStyle w:val="Emphasis"/>
          <w:i w:val="0"/>
          <w:sz w:val="24"/>
          <w:shd w:val="clear" w:color="auto" w:fill="FFFFFF"/>
          <w:lang w:val="sk-SK"/>
        </w:rPr>
        <w:t>E, 27.5.2010, s. 25.</w:t>
      </w:r>
    </w:p>
  </w:footnote>
  <w:footnote w:id="13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i w:val="0"/>
          <w:sz w:val="24"/>
          <w:shd w:val="clear" w:color="auto" w:fill="FFFFFF"/>
          <w:lang w:val="sk-SK"/>
        </w:rPr>
        <w:tab/>
        <w:t>Ú. v. EÚ C 171, 6.5.2021, s. 25.</w:t>
      </w:r>
    </w:p>
  </w:footnote>
  <w:footnote w:id="14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i w:val="0"/>
          <w:sz w:val="24"/>
          <w:shd w:val="clear" w:color="auto" w:fill="FFFFFF"/>
          <w:lang w:val="sk-SK"/>
        </w:rPr>
        <w:tab/>
        <w:t xml:space="preserve">Ú. v. EÚ C 177, 17.5.2023, </w:t>
      </w:r>
      <w:r>
        <w:rPr>
          <w:rStyle w:val="Emphasis"/>
          <w:i w:val="0"/>
          <w:sz w:val="24"/>
          <w:shd w:val="clear" w:color="auto" w:fill="FFFFFF"/>
          <w:lang w:val="sk-SK"/>
        </w:rPr>
        <w:t>s. 112.</w:t>
      </w:r>
    </w:p>
  </w:footnote>
  <w:footnote w:id="15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Ú. v. </w:t>
      </w:r>
      <w:r>
        <w:rPr>
          <w:sz w:val="24"/>
          <w:shd w:val="clear" w:color="auto" w:fill="FFFFFF"/>
          <w:lang w:val="sk-SK"/>
        </w:rPr>
        <w:t>EÚ C, C/2024/5721, 17.10.2024, ELI: </w:t>
      </w:r>
      <w:hyperlink r:id="rId12" w:tgtFrame="_blank" w:tooltip="Umožňuje prístup k tomuto dokumentu prostredníctvom jednotného identifikátora zdroja ELI." w:history="1">
        <w:r>
          <w:rPr>
            <w:rStyle w:val="Hyperlink"/>
            <w:szCs w:val="24"/>
            <w:lang w:val="es-ES"/>
          </w:rPr>
          <w:t>http://data.europa.eu/eli/C/2024/5721/oj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16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Ú. v. EÚ L 115, 28.4.2006, s. </w:t>
      </w:r>
      <w:r>
        <w:rPr>
          <w:rStyle w:val="Emphasis"/>
          <w:i w:val="0"/>
          <w:sz w:val="24"/>
          <w:shd w:val="clear" w:color="auto" w:fill="FFFFFF"/>
          <w:lang w:val="sk-SK"/>
        </w:rPr>
        <w:t>50,</w:t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>ELI: </w:t>
      </w:r>
      <w:hyperlink r:id="rId13" w:tooltip="Umožňuje prístup k tomuto dokumentu prostredníctvom jednotného identifikátora zdroja ELI." w:history="1">
        <w:r>
          <w:rPr>
            <w:rStyle w:val="Hyperlink"/>
            <w:szCs w:val="24"/>
            <w:lang w:val="es-ES"/>
          </w:rPr>
          <w:t>http:</w:t>
        </w:r>
        <w:r>
          <w:rPr>
            <w:rStyle w:val="Hyperlink"/>
            <w:szCs w:val="24"/>
            <w:lang w:val="es-ES"/>
          </w:rPr>
          <w:t>//data.europa.eu/eli/agree_internation/2006/313/oj</w:t>
        </w:r>
      </w:hyperlink>
      <w:r>
        <w:rPr>
          <w:sz w:val="24"/>
          <w:lang w:val="sk-SK"/>
        </w:rPr>
        <w:t>.</w:t>
      </w:r>
    </w:p>
  </w:footnote>
  <w:footnote w:id="17">
    <w:p w:rsidR="000010F8" w:rsidRDefault="002B71AE">
      <w:pPr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Rozhodnutie Rady 2010/427/EÚ z 26. júla 2010 o organizácii a fungovaní Európskej služby pre vonkajšiu činnosť (Ú. v. </w:t>
      </w:r>
      <w:r>
        <w:t xml:space="preserve">EÚ L </w:t>
      </w:r>
      <w:bookmarkStart w:id="9" w:name="_GoBack"/>
      <w:bookmarkEnd w:id="9"/>
      <w:r>
        <w:t>201</w:t>
      </w:r>
      <w:r>
        <w:t xml:space="preserve">, 3.8.2010, s. 30, ELI: </w:t>
      </w:r>
      <w:hyperlink r:id="rId14" w:history="1">
        <w:r>
          <w:rPr>
            <w:rStyle w:val="Hyperlink"/>
          </w:rPr>
          <w:t>http://data.europa.eu/eli/dec/2010/427/oj</w:t>
        </w:r>
      </w:hyperlink>
      <w:r>
        <w:rPr>
          <w:rStyle w:val="Hyperlink"/>
          <w:color w:val="auto"/>
          <w:u w:val="none"/>
        </w:rPr>
        <w:t>)</w:t>
      </w:r>
      <w:r>
        <w:t>.</w:t>
      </w:r>
    </w:p>
  </w:footnote>
  <w:footnote w:id="18">
    <w:p w:rsidR="000010F8" w:rsidRDefault="002B71A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Odporúčanie Európskeho parlamentu z 15. marca 2023 Rade a podpredsedovi Komisie/vysokému predstaviteľovi Únie pre zahraničné veci a bezpečnostnú politiku o zhodnotení fungovania ESVČ a o posilnení postavenia</w:t>
      </w:r>
      <w:r>
        <w:rPr>
          <w:sz w:val="24"/>
          <w:lang w:val="sk-SK"/>
        </w:rPr>
        <w:t xml:space="preserve"> EÚ vo svete (Ú. v. </w:t>
      </w:r>
      <w:r>
        <w:rPr>
          <w:sz w:val="24"/>
          <w:lang w:val="sk-SK"/>
        </w:rPr>
        <w:t xml:space="preserve">EÚ C, C/2023/410, 23.11.2023, ELI: </w:t>
      </w:r>
      <w:hyperlink r:id="rId15" w:history="1">
        <w:r>
          <w:rPr>
            <w:rStyle w:val="Hyperlink"/>
            <w:sz w:val="24"/>
            <w:lang w:val="sk-SK"/>
          </w:rPr>
          <w:t>http://data.europa.eu/eli/C/2023/410/oj</w:t>
        </w:r>
      </w:hyperlink>
      <w:r>
        <w:rPr>
          <w:rStyle w:val="Hyperlink"/>
          <w:color w:val="auto"/>
          <w:sz w:val="24"/>
          <w:u w:val="none"/>
          <w:lang w:val="sk-SK"/>
        </w:rPr>
        <w:t>)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0F8" w:rsidRDefault="000010F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0F8" w:rsidRDefault="000010F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0F8" w:rsidRDefault="000010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0/2025"/>
    <w:docVar w:name="dvlangue" w:val="SK"/>
    <w:docVar w:name="dvnumam" w:val="0"/>
    <w:docVar w:name="dvpe" w:val="765.084"/>
    <w:docVar w:name="dvrapporteur" w:val="Spravodajca: "/>
    <w:docVar w:name="dvtitre" w:val="Uznesenie Európskeho parlamentu z xx. marca 2025 o vykonávaní spoločnej zahraničnej a bezpečnostnej politiky – výročná správa za rok 2024(2024/2080(INI))"/>
  </w:docVars>
  <w:rsids>
    <w:rsidRoot w:val="000010F8"/>
    <w:rsid w:val="000010F8"/>
    <w:rsid w:val="002B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D7F0C"/>
  <w15:chartTrackingRefBased/>
  <w15:docId w15:val="{7BA6C8D2-772E-415D-9393-0E087BDC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487/oj" TargetMode="External"/><Relationship Id="rId13" Type="http://schemas.openxmlformats.org/officeDocument/2006/relationships/hyperlink" Target="http://data.europa.eu/eli/agree_internation/2006/313/oj" TargetMode="External"/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C/2025/204/oj" TargetMode="External"/><Relationship Id="rId12" Type="http://schemas.openxmlformats.org/officeDocument/2006/relationships/hyperlink" Target="http://data.europa.eu/eli/C/2024/5721/oj" TargetMode="External"/><Relationship Id="rId2" Type="http://schemas.openxmlformats.org/officeDocument/2006/relationships/hyperlink" Target="http://data.europa.eu/eli/dec/2021/509/2024-03-18" TargetMode="External"/><Relationship Id="rId1" Type="http://schemas.openxmlformats.org/officeDocument/2006/relationships/hyperlink" Target="http://data.europa.eu/eli/agree_interinstit/2020/1222/oj" TargetMode="External"/><Relationship Id="rId6" Type="http://schemas.openxmlformats.org/officeDocument/2006/relationships/hyperlink" Target="http://data.europa.eu/eli/C/2023/1226/oj." TargetMode="External"/><Relationship Id="rId11" Type="http://schemas.openxmlformats.org/officeDocument/2006/relationships/hyperlink" Target="http://data.europa.eu/eli/C/2024/1188/oj" TargetMode="External"/><Relationship Id="rId5" Type="http://schemas.openxmlformats.org/officeDocument/2006/relationships/hyperlink" Target="http://data.europa.eu/eli/dec/2019/797/oj" TargetMode="External"/><Relationship Id="rId15" Type="http://schemas.openxmlformats.org/officeDocument/2006/relationships/hyperlink" Target="http://data.europa.eu/eli/C/2023/410/oj" TargetMode="External"/><Relationship Id="rId10" Type="http://schemas.openxmlformats.org/officeDocument/2006/relationships/hyperlink" Target="http://data.europa.eu/eli/C/2025/486/oj" TargetMode="External"/><Relationship Id="rId4" Type="http://schemas.openxmlformats.org/officeDocument/2006/relationships/hyperlink" Target="http://data.europa.eu/eli/reg/2025/535/oj" TargetMode="External"/><Relationship Id="rId9" Type="http://schemas.openxmlformats.org/officeDocument/2006/relationships/hyperlink" Target="http://data.europa.eu/eli/C/2024/5719/oj" TargetMode="External"/><Relationship Id="rId14" Type="http://schemas.openxmlformats.org/officeDocument/2006/relationships/hyperlink" Target="http://data.europa.eu/eli/dec/2010/42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9F322-9BDB-4A1A-9032-8D99BB0DA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46</Pages>
  <Words>20798</Words>
  <Characters>129323</Characters>
  <Application>Microsoft Office Word</Application>
  <DocSecurity>0</DocSecurity>
  <Lines>3918</Lines>
  <Paragraphs>2460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2025-05-12T08:31:00Z</dcterms:created>
  <dcterms:modified xsi:type="dcterms:W3CDTF">2025-05-12T08:31:00Z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A10-0010/2025</vt:lpwstr>
  </property>
  <property fmtid="{D5CDD505-2E9C-101B-9397-08002B2CF9AE}" pid="4" name="&lt;Type&gt;">
    <vt:lpwstr>RR</vt:lpwstr>
  </property>
</Properties>
</file>