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D93" w14:paraId="0221D63A" w14:textId="77777777" w:rsidTr="0010095E">
        <w:trPr>
          <w:trHeight w:hRule="exact" w:val="1418"/>
        </w:trPr>
        <w:tc>
          <w:tcPr>
            <w:tcW w:w="6804" w:type="dxa"/>
            <w:shd w:val="clear" w:color="auto" w:fill="auto"/>
            <w:vAlign w:val="center"/>
          </w:tcPr>
          <w:p w14:paraId="5D8EAE35" w14:textId="77777777" w:rsidR="00751A4A" w:rsidRPr="00D80D93" w:rsidRDefault="007B02CB" w:rsidP="0010095E">
            <w:pPr>
              <w:pStyle w:val="EPName"/>
            </w:pPr>
            <w:r w:rsidRPr="00D80D93">
              <w:t>Европейски</w:t>
            </w:r>
            <w:r w:rsidR="000979C6" w:rsidRPr="00D80D93">
              <w:t xml:space="preserve"> парламент</w:t>
            </w:r>
          </w:p>
          <w:p w14:paraId="45BE0849" w14:textId="77777777" w:rsidR="00751A4A" w:rsidRPr="00D80D93" w:rsidRDefault="005F1B17" w:rsidP="005F1B17">
            <w:pPr>
              <w:pStyle w:val="EPTerm"/>
              <w:rPr>
                <w:rStyle w:val="HideTWBExt"/>
                <w:noProof w:val="0"/>
                <w:vanish w:val="0"/>
                <w:color w:val="auto"/>
              </w:rPr>
            </w:pPr>
            <w:r w:rsidRPr="00D80D93">
              <w:t>2024</w:t>
            </w:r>
            <w:r w:rsidR="007B02CB">
              <w:rPr>
                <w:lang w:val="en-GB"/>
              </w:rPr>
              <w:t> – </w:t>
            </w:r>
            <w:r w:rsidR="00817416" w:rsidRPr="00D80D93">
              <w:t>202</w:t>
            </w:r>
            <w:r w:rsidRPr="00D80D93">
              <w:t>9</w:t>
            </w:r>
          </w:p>
        </w:tc>
        <w:tc>
          <w:tcPr>
            <w:tcW w:w="2268" w:type="dxa"/>
            <w:shd w:val="clear" w:color="auto" w:fill="auto"/>
          </w:tcPr>
          <w:p w14:paraId="2650BAFA" w14:textId="77777777" w:rsidR="00751A4A" w:rsidRPr="00D80D93" w:rsidRDefault="00187494" w:rsidP="0010095E">
            <w:pPr>
              <w:pStyle w:val="EPLogo"/>
            </w:pPr>
            <w:r w:rsidRPr="00D80D93">
              <w:rPr>
                <w:noProof/>
                <w:lang w:val="en-GB"/>
              </w:rPr>
              <w:drawing>
                <wp:inline distT="0" distB="0" distL="0" distR="0" wp14:anchorId="6A1ABFA3" wp14:editId="1F36B1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241488" w14:textId="77777777" w:rsidR="00D058B8" w:rsidRPr="00D80D93" w:rsidRDefault="00D058B8" w:rsidP="004C5D52">
      <w:pPr>
        <w:pStyle w:val="LineTop"/>
      </w:pPr>
    </w:p>
    <w:p w14:paraId="6E349EB7" w14:textId="77777777" w:rsidR="00680577" w:rsidRPr="00D80D93" w:rsidRDefault="000979C6" w:rsidP="00680577">
      <w:pPr>
        <w:pStyle w:val="EPBodyTA1"/>
      </w:pPr>
      <w:r w:rsidRPr="00D80D93">
        <w:t>ПРИЕТИ ТЕКСТОВЕ</w:t>
      </w:r>
    </w:p>
    <w:p w14:paraId="73B9C63E" w14:textId="77777777" w:rsidR="00D058B8" w:rsidRPr="00D80D93" w:rsidRDefault="00D058B8" w:rsidP="00D058B8">
      <w:pPr>
        <w:pStyle w:val="LineBottom"/>
      </w:pPr>
    </w:p>
    <w:p w14:paraId="38F72ACA" w14:textId="77777777" w:rsidR="000979C6" w:rsidRPr="00D80D93" w:rsidRDefault="000979C6" w:rsidP="000979C6">
      <w:pPr>
        <w:pStyle w:val="ATHeading1"/>
      </w:pPr>
      <w:bookmarkStart w:id="0" w:name="TANumber"/>
      <w:r w:rsidRPr="00D80D93">
        <w:t>P10_TA(2025)00</w:t>
      </w:r>
      <w:r w:rsidR="006F7A71">
        <w:rPr>
          <w:lang w:val="en-GB"/>
        </w:rPr>
        <w:t>6</w:t>
      </w:r>
      <w:r w:rsidRPr="00D80D93">
        <w:t>0</w:t>
      </w:r>
      <w:bookmarkEnd w:id="0"/>
    </w:p>
    <w:p w14:paraId="7D31615E" w14:textId="77777777" w:rsidR="000979C6" w:rsidRPr="00D80D93" w:rsidRDefault="000979C6" w:rsidP="000979C6">
      <w:pPr>
        <w:pStyle w:val="ATHeading2"/>
      </w:pPr>
      <w:bookmarkStart w:id="1" w:name="title"/>
      <w:r w:rsidRPr="00D80D93">
        <w:t>Бюджетна прогноза за приходите и разходите за финансовата 2026 година – Раздел I – Европейски парламент</w:t>
      </w:r>
    </w:p>
    <w:p w14:paraId="6A71591E" w14:textId="77777777" w:rsidR="000979C6" w:rsidRPr="00D80D93" w:rsidRDefault="000979C6" w:rsidP="000979C6">
      <w:pPr>
        <w:rPr>
          <w:i/>
          <w:vanish/>
        </w:rPr>
      </w:pPr>
      <w:r w:rsidRPr="00D80D93">
        <w:rPr>
          <w:i/>
        </w:rPr>
        <w:fldChar w:fldCharType="begin"/>
      </w:r>
      <w:r w:rsidRPr="00D80D93">
        <w:rPr>
          <w:i/>
        </w:rPr>
        <w:instrText xml:space="preserve"> TC"(</w:instrText>
      </w:r>
      <w:bookmarkStart w:id="2" w:name="DocNumber"/>
      <w:r w:rsidRPr="00D80D93">
        <w:rPr>
          <w:i/>
        </w:rPr>
        <w:instrText>A10-0048/2025</w:instrText>
      </w:r>
      <w:bookmarkEnd w:id="2"/>
      <w:r w:rsidRPr="00D80D93">
        <w:rPr>
          <w:i/>
        </w:rPr>
        <w:instrText xml:space="preserve"> - Докладчик: </w:instrText>
      </w:r>
      <w:proofErr w:type="spellStart"/>
      <w:r w:rsidRPr="00D80D93">
        <w:rPr>
          <w:i/>
        </w:rPr>
        <w:instrText>Матяж</w:instrText>
      </w:r>
      <w:proofErr w:type="spellEnd"/>
      <w:r w:rsidRPr="00D80D93">
        <w:rPr>
          <w:i/>
        </w:rPr>
        <w:instrText xml:space="preserve"> Немец)"\l3 \n&gt; \* MERGEFORMAT </w:instrText>
      </w:r>
      <w:r w:rsidRPr="00D80D93">
        <w:rPr>
          <w:i/>
        </w:rPr>
        <w:fldChar w:fldCharType="end"/>
      </w:r>
    </w:p>
    <w:p w14:paraId="1974CB69" w14:textId="77777777" w:rsidR="000979C6" w:rsidRPr="00D80D93" w:rsidRDefault="000979C6" w:rsidP="000979C6">
      <w:pPr>
        <w:rPr>
          <w:vanish/>
        </w:rPr>
      </w:pPr>
      <w:bookmarkStart w:id="3" w:name="Commission"/>
      <w:r w:rsidRPr="00D80D93">
        <w:rPr>
          <w:vanish/>
        </w:rPr>
        <w:t>Комисия по бюджети</w:t>
      </w:r>
      <w:bookmarkEnd w:id="3"/>
    </w:p>
    <w:p w14:paraId="30AC4A1F" w14:textId="77777777" w:rsidR="000979C6" w:rsidRPr="00D80D93" w:rsidRDefault="000979C6" w:rsidP="000979C6">
      <w:pPr>
        <w:rPr>
          <w:vanish/>
        </w:rPr>
      </w:pPr>
      <w:bookmarkStart w:id="4" w:name="PE"/>
      <w:r w:rsidRPr="00D80D93">
        <w:rPr>
          <w:vanish/>
        </w:rPr>
        <w:t>PE770.074</w:t>
      </w:r>
      <w:bookmarkEnd w:id="4"/>
    </w:p>
    <w:p w14:paraId="5CA44BF8" w14:textId="77777777" w:rsidR="000979C6" w:rsidRPr="00D80D93" w:rsidRDefault="000979C6" w:rsidP="007B02CB">
      <w:pPr>
        <w:pStyle w:val="ATHeading3"/>
      </w:pPr>
      <w:bookmarkStart w:id="5" w:name="Sujet"/>
      <w:r w:rsidRPr="00D80D93">
        <w:t>Резолюция</w:t>
      </w:r>
      <w:r w:rsidR="007B02CB">
        <w:t xml:space="preserve"> на Европейския парламент от </w:t>
      </w:r>
      <w:r w:rsidR="007B02CB">
        <w:rPr>
          <w:lang w:val="en-GB"/>
        </w:rPr>
        <w:t xml:space="preserve">3 </w:t>
      </w:r>
      <w:r w:rsidR="007B02CB">
        <w:t>април</w:t>
      </w:r>
      <w:r w:rsidRPr="00D80D93">
        <w:t xml:space="preserve"> 2025 г. относно бюджетната прогноза за приходите и разходите на Европейския парламент за финансовата 2026 година</w:t>
      </w:r>
      <w:bookmarkEnd w:id="5"/>
      <w:r w:rsidRPr="00D80D93">
        <w:t xml:space="preserve"> </w:t>
      </w:r>
      <w:bookmarkStart w:id="6" w:name="References"/>
      <w:r w:rsidRPr="00D80D93">
        <w:t>(2024/2111(BUI))</w:t>
      </w:r>
      <w:bookmarkEnd w:id="6"/>
    </w:p>
    <w:p w14:paraId="26035897" w14:textId="77777777" w:rsidR="006F1D59" w:rsidRPr="00D80D93" w:rsidRDefault="006F1D59" w:rsidP="006F1D59">
      <w:pPr>
        <w:keepNext/>
        <w:spacing w:before="480" w:after="240"/>
        <w:rPr>
          <w:color w:val="000000"/>
        </w:rPr>
      </w:pPr>
      <w:bookmarkStart w:id="7" w:name="TextBodyBegin"/>
      <w:bookmarkEnd w:id="1"/>
      <w:bookmarkEnd w:id="7"/>
      <w:r w:rsidRPr="00D80D93">
        <w:rPr>
          <w:i/>
          <w:color w:val="000000"/>
        </w:rPr>
        <w:t>Европейският парламент</w:t>
      </w:r>
      <w:r w:rsidRPr="00D80D93">
        <w:rPr>
          <w:color w:val="000000"/>
        </w:rPr>
        <w:t>,</w:t>
      </w:r>
    </w:p>
    <w:p w14:paraId="696A571E"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член 314 от Договора за функционирането на Европейския съюз,</w:t>
      </w:r>
    </w:p>
    <w:p w14:paraId="2F9D17EE"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Регламент (EC, Евратом) 2020/2093 на Съвета от 17 декември 2020 г. за определяне на многогодишната финансова рамка за годините 2021 – 2027</w:t>
      </w:r>
      <w:r w:rsidRPr="00D80D93">
        <w:rPr>
          <w:color w:val="000000"/>
          <w:vertAlign w:val="superscript"/>
        </w:rPr>
        <w:footnoteReference w:id="1"/>
      </w:r>
      <w:r w:rsidRPr="00D80D93">
        <w:rPr>
          <w:color w:val="000000"/>
        </w:rPr>
        <w:t xml:space="preserve"> и съвместната декларация, договорена между Парламента, Съвета и Комисията в този контекст</w:t>
      </w:r>
      <w:r w:rsidRPr="00D80D93">
        <w:rPr>
          <w:color w:val="000000"/>
          <w:vertAlign w:val="superscript"/>
        </w:rPr>
        <w:footnoteReference w:id="2"/>
      </w:r>
      <w:r w:rsidRPr="00D80D93">
        <w:rPr>
          <w:color w:val="000000"/>
        </w:rPr>
        <w:t>, както и съответните едностранни декларации</w:t>
      </w:r>
      <w:r w:rsidRPr="00D80D93">
        <w:rPr>
          <w:color w:val="000000"/>
          <w:vertAlign w:val="superscript"/>
        </w:rPr>
        <w:footnoteReference w:id="3"/>
      </w:r>
      <w:r w:rsidRPr="00D80D93">
        <w:rPr>
          <w:color w:val="000000"/>
        </w:rPr>
        <w:t>,</w:t>
      </w:r>
    </w:p>
    <w:p w14:paraId="38ABCCDE" w14:textId="77777777" w:rsidR="006F1D59" w:rsidRPr="00D80D93" w:rsidRDefault="006F1D59" w:rsidP="007B02CB">
      <w:pPr>
        <w:spacing w:after="240"/>
        <w:ind w:left="567" w:hanging="567"/>
        <w:rPr>
          <w:color w:val="000000" w:themeColor="text1"/>
        </w:rPr>
      </w:pPr>
      <w:r w:rsidRPr="00D80D93">
        <w:rPr>
          <w:color w:val="000000"/>
        </w:rPr>
        <w:t>–</w:t>
      </w:r>
      <w:r w:rsidRPr="00D80D93">
        <w:rPr>
          <w:color w:val="000000"/>
        </w:rPr>
        <w:tab/>
        <w:t>като взе предвид Регламент (ЕС, Евратом) 2022/2496 на Съвета от 15 декември 2022 г. за изменение на Регламент (ЕС, Евратом) 2020/2093 за определяне на многогодишната финансова рамка за годините 2021 – 2027</w:t>
      </w:r>
      <w:r w:rsidRPr="00D80D93">
        <w:rPr>
          <w:color w:val="000000"/>
          <w:vertAlign w:val="superscript"/>
        </w:rPr>
        <w:footnoteReference w:id="4"/>
      </w:r>
      <w:r w:rsidRPr="00D80D93">
        <w:rPr>
          <w:color w:val="000000"/>
        </w:rPr>
        <w:t>,</w:t>
      </w:r>
    </w:p>
    <w:p w14:paraId="31DF3E76" w14:textId="77777777" w:rsidR="006F1D59" w:rsidRPr="00D80D93" w:rsidRDefault="006F1D59" w:rsidP="007B02CB">
      <w:pPr>
        <w:spacing w:after="240"/>
        <w:ind w:left="567" w:hanging="567"/>
      </w:pPr>
      <w:r w:rsidRPr="00D80D93">
        <w:t>–</w:t>
      </w:r>
      <w:r w:rsidRPr="00D80D93">
        <w:tab/>
      </w:r>
      <w:r w:rsidRPr="00D80D93">
        <w:rPr>
          <w:color w:val="000000"/>
        </w:rPr>
        <w:t>като взе предвид Регламент (ЕС, Евратом) 2024/765 на Съвета за изменение на Регламент (ЕС, Евратом) 2020/2093 за определяне на многогодишната финансова рамка за годините 2021 – 2027</w:t>
      </w:r>
      <w:r w:rsidRPr="00D80D93">
        <w:rPr>
          <w:rStyle w:val="FootnoteReference"/>
          <w:color w:val="000000"/>
        </w:rPr>
        <w:footnoteReference w:id="5"/>
      </w:r>
      <w:r w:rsidRPr="00D80D93">
        <w:rPr>
          <w:color w:val="000000"/>
        </w:rPr>
        <w:t xml:space="preserve"> (преразглеждане на МФР),</w:t>
      </w:r>
    </w:p>
    <w:p w14:paraId="5C6BF83A" w14:textId="77777777" w:rsidR="006F1D59" w:rsidRPr="00D80D93" w:rsidRDefault="006F1D59" w:rsidP="007B02CB">
      <w:pPr>
        <w:spacing w:after="240"/>
        <w:ind w:left="567" w:hanging="567"/>
      </w:pPr>
      <w:r w:rsidRPr="00D80D93">
        <w:t>–</w:t>
      </w:r>
      <w:r w:rsidRPr="00D80D93">
        <w:tab/>
        <w:t>като взе предвид своята резолюция от 16 декември 2020 г. относно проекта за регламент на Съвета за определяне на многогодишната финансова рамка за годините 2021 – 2027</w:t>
      </w:r>
      <w:r w:rsidRPr="00D80D93">
        <w:rPr>
          <w:vertAlign w:val="superscript"/>
        </w:rPr>
        <w:footnoteReference w:id="6"/>
      </w:r>
      <w:r w:rsidRPr="00D80D93">
        <w:t>,</w:t>
      </w:r>
    </w:p>
    <w:p w14:paraId="351EAE39" w14:textId="77777777" w:rsidR="006F1D59" w:rsidRPr="00D80D93" w:rsidRDefault="006F1D59" w:rsidP="007B02CB">
      <w:pPr>
        <w:spacing w:after="240"/>
        <w:ind w:left="567" w:hanging="567"/>
        <w:rPr>
          <w:color w:val="000000"/>
        </w:rPr>
      </w:pPr>
      <w:r w:rsidRPr="00D80D93">
        <w:rPr>
          <w:color w:val="000000"/>
        </w:rPr>
        <w:lastRenderedPageBreak/>
        <w:t>–</w:t>
      </w:r>
      <w:r w:rsidRPr="00D80D93">
        <w:rPr>
          <w:color w:val="000000"/>
        </w:rPr>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D80D93">
        <w:rPr>
          <w:color w:val="000000"/>
          <w:vertAlign w:val="superscript"/>
        </w:rPr>
        <w:footnoteReference w:id="7"/>
      </w:r>
      <w:r w:rsidRPr="00D80D93">
        <w:rPr>
          <w:color w:val="000000"/>
        </w:rPr>
        <w:t>,</w:t>
      </w:r>
    </w:p>
    <w:p w14:paraId="750EA2C9" w14:textId="77777777" w:rsidR="006F1D59" w:rsidRPr="00D80D93" w:rsidRDefault="006F1D59" w:rsidP="007B02CB">
      <w:pPr>
        <w:spacing w:after="240"/>
        <w:ind w:left="567" w:hanging="567"/>
      </w:pPr>
      <w:r w:rsidRPr="00D80D93">
        <w:t>–</w:t>
      </w:r>
      <w:r w:rsidRPr="00D80D93">
        <w:tab/>
        <w:t>като взе предвид своята резолюция от 3 октомври 2023 г. относно предложението за междинно преразглеждане на многогодишната финансова рамка за периода 2021 – 2027 г.</w:t>
      </w:r>
      <w:r w:rsidRPr="00D80D93">
        <w:rPr>
          <w:vertAlign w:val="superscript"/>
        </w:rPr>
        <w:footnoteReference w:id="8"/>
      </w:r>
      <w:r w:rsidRPr="00D80D93">
        <w:t>,</w:t>
      </w:r>
    </w:p>
    <w:p w14:paraId="4D87F04E"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своята резолюция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 – 2027</w:t>
      </w:r>
      <w:r w:rsidRPr="00D80D93">
        <w:rPr>
          <w:color w:val="000000"/>
          <w:vertAlign w:val="superscript"/>
        </w:rPr>
        <w:footnoteReference w:id="9"/>
      </w:r>
      <w:r w:rsidRPr="00D80D93">
        <w:rPr>
          <w:color w:val="000000"/>
        </w:rPr>
        <w:t>,</w:t>
      </w:r>
    </w:p>
    <w:p w14:paraId="731AC0C4" w14:textId="77777777" w:rsidR="006F1D59" w:rsidRPr="00D80D93" w:rsidRDefault="006F1D59" w:rsidP="007B02CB">
      <w:pPr>
        <w:widowControl/>
        <w:spacing w:after="240"/>
        <w:ind w:left="567" w:hanging="567"/>
        <w:rPr>
          <w:color w:val="000000"/>
        </w:rPr>
      </w:pPr>
      <w:r w:rsidRPr="00D80D93">
        <w:rPr>
          <w:color w:val="000000"/>
        </w:rPr>
        <w:t>–</w:t>
      </w:r>
      <w:r w:rsidRPr="00D80D93">
        <w:rPr>
          <w:color w:val="000000"/>
        </w:rPr>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 (преработен текст)</w:t>
      </w:r>
      <w:r w:rsidRPr="00D80D93">
        <w:rPr>
          <w:color w:val="000000"/>
          <w:vertAlign w:val="superscript"/>
        </w:rPr>
        <w:footnoteReference w:id="10"/>
      </w:r>
      <w:r w:rsidRPr="00D80D93">
        <w:rPr>
          <w:color w:val="000000"/>
        </w:rPr>
        <w:t xml:space="preserve"> („Финансовия регламент“),</w:t>
      </w:r>
    </w:p>
    <w:p w14:paraId="646216A3"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D80D93">
        <w:rPr>
          <w:color w:val="000000"/>
          <w:vertAlign w:val="superscript"/>
        </w:rPr>
        <w:footnoteReference w:id="11"/>
      </w:r>
      <w:r w:rsidRPr="00D80D93">
        <w:rPr>
          <w:color w:val="000000"/>
        </w:rPr>
        <w:t>,</w:t>
      </w:r>
    </w:p>
    <w:p w14:paraId="220B59BC"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общия бюджет на Европейския съюз за финансовата 2025 година</w:t>
      </w:r>
      <w:r w:rsidRPr="00D80D93">
        <w:rPr>
          <w:color w:val="000000"/>
          <w:vertAlign w:val="superscript"/>
        </w:rPr>
        <w:footnoteReference w:id="12"/>
      </w:r>
      <w:r w:rsidRPr="00D80D93">
        <w:rPr>
          <w:color w:val="000000"/>
        </w:rPr>
        <w:t xml:space="preserve"> и съвместните декларации, договорени между Парламента, Съвета и Комисията, които са поместени в приложение,</w:t>
      </w:r>
    </w:p>
    <w:p w14:paraId="287E5811" w14:textId="77777777" w:rsidR="006F1D59" w:rsidRPr="00D80D93" w:rsidRDefault="006F1D59" w:rsidP="007B02CB">
      <w:pPr>
        <w:spacing w:after="240"/>
        <w:ind w:left="567" w:hanging="567"/>
        <w:rPr>
          <w:color w:val="000000"/>
        </w:rPr>
      </w:pPr>
      <w:r w:rsidRPr="00D80D93">
        <w:rPr>
          <w:color w:val="000000"/>
        </w:rPr>
        <w:t>–</w:t>
      </w:r>
      <w:r w:rsidRPr="00D80D93">
        <w:rPr>
          <w:color w:val="000000"/>
        </w:rPr>
        <w:tab/>
        <w:t>като взе предвид доклада на генералния секретар до Бюрото относно изготвянето на предварителния проект на бюджетна прогноза на Европейския парламент за финансовата 2026 година,</w:t>
      </w:r>
    </w:p>
    <w:p w14:paraId="120544B1" w14:textId="77777777" w:rsidR="006F1D59" w:rsidRPr="00D80D93" w:rsidRDefault="006F1D59" w:rsidP="007B02CB">
      <w:pPr>
        <w:tabs>
          <w:tab w:val="left" w:pos="357"/>
        </w:tabs>
        <w:spacing w:after="240"/>
        <w:ind w:left="567" w:hanging="567"/>
        <w:rPr>
          <w:color w:val="000000"/>
        </w:rPr>
      </w:pPr>
      <w:r w:rsidRPr="00D80D93">
        <w:rPr>
          <w:color w:val="000000"/>
        </w:rPr>
        <w:t>–</w:t>
      </w:r>
      <w:r w:rsidRPr="00D80D93">
        <w:rPr>
          <w:color w:val="000000"/>
        </w:rPr>
        <w:tab/>
      </w:r>
      <w:r w:rsidRPr="00D80D93">
        <w:rPr>
          <w:color w:val="000000"/>
        </w:rPr>
        <w:tab/>
        <w:t>като взе предвид предварителния проект на бюджетна прогноза, изготвен от Бюрото на 10 март 2025 г. съгласно член 25, параграф 7 и член 104, параграф 1 от Правилника за дейността на Парламента,</w:t>
      </w:r>
    </w:p>
    <w:p w14:paraId="6F28FCD6" w14:textId="77777777" w:rsidR="006F1D59" w:rsidRPr="00D80D93" w:rsidRDefault="006F1D59" w:rsidP="007B02CB">
      <w:pPr>
        <w:tabs>
          <w:tab w:val="left" w:pos="357"/>
        </w:tabs>
        <w:spacing w:after="240"/>
        <w:ind w:left="567" w:hanging="567"/>
        <w:rPr>
          <w:color w:val="000000"/>
        </w:rPr>
      </w:pPr>
      <w:r w:rsidRPr="00D80D93">
        <w:rPr>
          <w:color w:val="000000"/>
        </w:rPr>
        <w:t>–</w:t>
      </w:r>
      <w:r w:rsidRPr="00D80D93">
        <w:rPr>
          <w:color w:val="000000"/>
        </w:rPr>
        <w:tab/>
      </w:r>
      <w:r w:rsidRPr="00D80D93">
        <w:rPr>
          <w:color w:val="000000"/>
        </w:rPr>
        <w:tab/>
        <w:t>като взе предвид проекта на бюджетна прогноза, изготвен от комисията по бюджети съгласно член 104, параграф 2 от Правилника за дейността на Парламента,</w:t>
      </w:r>
    </w:p>
    <w:p w14:paraId="127882F9" w14:textId="77777777" w:rsidR="006F1D59" w:rsidRPr="00D80D93" w:rsidRDefault="006F1D59" w:rsidP="007B02CB">
      <w:pPr>
        <w:tabs>
          <w:tab w:val="left" w:pos="357"/>
        </w:tabs>
        <w:spacing w:after="240"/>
        <w:ind w:left="567" w:hanging="567"/>
        <w:rPr>
          <w:color w:val="000000"/>
        </w:rPr>
      </w:pPr>
      <w:r w:rsidRPr="00D80D93">
        <w:rPr>
          <w:color w:val="000000"/>
        </w:rPr>
        <w:t>–</w:t>
      </w:r>
      <w:r w:rsidRPr="00D80D93">
        <w:rPr>
          <w:color w:val="000000"/>
        </w:rPr>
        <w:tab/>
      </w:r>
      <w:r w:rsidRPr="00D80D93">
        <w:rPr>
          <w:color w:val="000000"/>
        </w:rPr>
        <w:tab/>
        <w:t>като взе предвид член 104 от своя Правилник за дейността,</w:t>
      </w:r>
    </w:p>
    <w:p w14:paraId="34454D38" w14:textId="77777777" w:rsidR="006F1D59" w:rsidRPr="00D80D93" w:rsidRDefault="006F1D59" w:rsidP="007B02CB">
      <w:pPr>
        <w:tabs>
          <w:tab w:val="left" w:pos="357"/>
        </w:tabs>
        <w:spacing w:after="240"/>
        <w:ind w:left="567" w:hanging="567"/>
        <w:rPr>
          <w:color w:val="000000"/>
        </w:rPr>
      </w:pPr>
      <w:r w:rsidRPr="00D80D93">
        <w:rPr>
          <w:color w:val="000000"/>
        </w:rPr>
        <w:t>–</w:t>
      </w:r>
      <w:r w:rsidRPr="00D80D93">
        <w:rPr>
          <w:color w:val="000000"/>
        </w:rPr>
        <w:tab/>
      </w:r>
      <w:r w:rsidRPr="00D80D93">
        <w:rPr>
          <w:color w:val="000000"/>
        </w:rPr>
        <w:tab/>
        <w:t>като взе предвид доклада на комисията по бюджети (A10-0048/2025),</w:t>
      </w:r>
    </w:p>
    <w:p w14:paraId="61B0311D" w14:textId="77777777" w:rsidR="006F1D59" w:rsidRPr="00D80D93" w:rsidRDefault="006F1D59" w:rsidP="007B02CB">
      <w:pPr>
        <w:widowControl/>
        <w:tabs>
          <w:tab w:val="left" w:pos="357"/>
        </w:tabs>
        <w:spacing w:after="240"/>
        <w:ind w:left="567" w:hanging="567"/>
        <w:rPr>
          <w:color w:val="000000"/>
        </w:rPr>
      </w:pPr>
      <w:r w:rsidRPr="00D80D93">
        <w:rPr>
          <w:color w:val="000000"/>
        </w:rPr>
        <w:t>А.</w:t>
      </w:r>
      <w:r w:rsidRPr="00D80D93">
        <w:rPr>
          <w:color w:val="000000"/>
        </w:rPr>
        <w:tab/>
      </w:r>
      <w:r w:rsidRPr="00D80D93">
        <w:rPr>
          <w:color w:val="000000"/>
        </w:rPr>
        <w:tab/>
        <w:t xml:space="preserve">като има предвид, че бюджетът, предложен на 10 февруари 2025 г. от генералния секретар за предварителния проект на бюджетна прогноза на Парламента за </w:t>
      </w:r>
      <w:r w:rsidRPr="00D80D93">
        <w:rPr>
          <w:color w:val="000000"/>
        </w:rPr>
        <w:lastRenderedPageBreak/>
        <w:t xml:space="preserve">2026 г., възлиза на 2 641 609 620 EUR и представлява увеличение с 4,30%, или 108 914 512 EUR, спрямо бюджета за 2025 г.; </w:t>
      </w:r>
    </w:p>
    <w:p w14:paraId="3F590239" w14:textId="77777777" w:rsidR="006F1D59" w:rsidRPr="00D80D93" w:rsidRDefault="006F1D59" w:rsidP="007B02CB">
      <w:pPr>
        <w:widowControl/>
        <w:tabs>
          <w:tab w:val="left" w:pos="357"/>
        </w:tabs>
        <w:spacing w:after="240"/>
        <w:ind w:left="567" w:hanging="567"/>
        <w:rPr>
          <w:color w:val="000000"/>
        </w:rPr>
      </w:pPr>
      <w:r w:rsidRPr="00D80D93">
        <w:rPr>
          <w:color w:val="000000"/>
        </w:rPr>
        <w:t>Б.</w:t>
      </w:r>
      <w:r w:rsidRPr="00D80D93">
        <w:rPr>
          <w:color w:val="000000"/>
        </w:rPr>
        <w:tab/>
      </w:r>
      <w:r w:rsidRPr="00D80D93">
        <w:rPr>
          <w:color w:val="000000"/>
        </w:rPr>
        <w:tab/>
        <w:t>като има предвид, че според Евростат годишната инфлация в Съюза е била 2,8% през януари 2025 г., спрямо 2,7% през декември 2024 г.; като има предвид, че равнището на разходите по функция 7 от многогодишната финансова рамка (МФР) за периода 2021 – 2027 г. се основава на годишно увеличение от 2%;</w:t>
      </w:r>
    </w:p>
    <w:p w14:paraId="54B712A2" w14:textId="77777777" w:rsidR="006F1D59" w:rsidRPr="00D80D93" w:rsidRDefault="006F1D59" w:rsidP="007B02CB">
      <w:pPr>
        <w:widowControl/>
        <w:tabs>
          <w:tab w:val="left" w:pos="357"/>
        </w:tabs>
        <w:spacing w:after="240"/>
        <w:ind w:left="567" w:hanging="567"/>
        <w:rPr>
          <w:color w:val="000000"/>
        </w:rPr>
      </w:pPr>
      <w:r w:rsidRPr="00D80D93">
        <w:rPr>
          <w:color w:val="000000"/>
        </w:rPr>
        <w:t>В.</w:t>
      </w:r>
      <w:r w:rsidRPr="00D80D93">
        <w:rPr>
          <w:color w:val="000000"/>
        </w:rPr>
        <w:tab/>
      </w:r>
      <w:r w:rsidRPr="00D80D93">
        <w:rPr>
          <w:color w:val="000000"/>
        </w:rPr>
        <w:tab/>
        <w:t xml:space="preserve">като има предвид, че доверието в Парламента зависи от способността му да изпълнява основните си бюджетни, законодателни и контролни функции, придържайки се към най-високите стандарти, като същевременно дава пример на другите институции на Съюза за внимателно и ефикасно планиране на разходите и тяхното изпълнение, както и за съобразяване с преобладаващите икономически реалности; </w:t>
      </w:r>
    </w:p>
    <w:p w14:paraId="0E52A719" w14:textId="77777777" w:rsidR="006F1D59" w:rsidRPr="00D80D93" w:rsidRDefault="006F1D59" w:rsidP="006F1D59">
      <w:pPr>
        <w:widowControl/>
        <w:spacing w:after="240"/>
        <w:ind w:left="567" w:hanging="567"/>
        <w:rPr>
          <w:b/>
          <w:i/>
          <w:color w:val="000000"/>
        </w:rPr>
      </w:pPr>
      <w:r w:rsidRPr="00D80D93">
        <w:rPr>
          <w:b/>
          <w:i/>
          <w:color w:val="000000"/>
        </w:rPr>
        <w:t>Обща рамка</w:t>
      </w:r>
    </w:p>
    <w:p w14:paraId="13E1202F" w14:textId="77777777" w:rsidR="006F1D59" w:rsidRPr="00D80D93" w:rsidRDefault="006F1D59" w:rsidP="007B02CB">
      <w:pPr>
        <w:widowControl/>
        <w:spacing w:after="240"/>
        <w:ind w:left="567" w:hanging="567"/>
        <w:rPr>
          <w:color w:val="000000"/>
        </w:rPr>
      </w:pPr>
      <w:r w:rsidRPr="00D80D93">
        <w:rPr>
          <w:color w:val="000000"/>
        </w:rPr>
        <w:t>1.</w:t>
      </w:r>
      <w:r w:rsidRPr="00D80D93">
        <w:rPr>
          <w:color w:val="000000"/>
        </w:rPr>
        <w:tab/>
        <w:t>изразява загриженост относно положението по функция 7 в настоящата МФР; припомня, че ограниченията са резултат от съкращенията, които Съветът приложи към и без това много ниското първоначално предложение на Комисията при договарянето на настоящата МФР за периода 2021 – 2027 г.; изразява съжаление, че Съветът се противопоставя на предложението на Комисията за увеличаване на тавана на функция 7 при преразглеждането на МФР, считано от 2024 г.; посочва, че въпросът за тавана на функция 7 не е разгледан при преразглеждането на МФР; подчертава, че прогнозираният отрицателен марж за 2026 г. предполага използване на специални инструменти по функция 7 за тази цел;</w:t>
      </w:r>
    </w:p>
    <w:p w14:paraId="3E9C6418" w14:textId="77777777" w:rsidR="006F1D59" w:rsidRPr="00D80D93" w:rsidRDefault="006F1D59" w:rsidP="007B02CB">
      <w:pPr>
        <w:widowControl/>
        <w:spacing w:after="240"/>
        <w:ind w:left="567" w:hanging="567"/>
        <w:rPr>
          <w:color w:val="000000"/>
        </w:rPr>
      </w:pPr>
      <w:r w:rsidRPr="00D80D93">
        <w:rPr>
          <w:color w:val="000000"/>
        </w:rPr>
        <w:t>2.</w:t>
      </w:r>
      <w:r w:rsidRPr="00D80D93">
        <w:rPr>
          <w:color w:val="000000"/>
        </w:rPr>
        <w:tab/>
        <w:t>одобрява споразумението, постигнато по време на помирителната процедура между Бюрото и комисията по бюджети, проведена на 18 март 2025 г., за определяне на увеличението спрямо бюджета за 2025 г. на 4,09%, което съответства на общо равнище на бюджетната прогноза от 2 636 241 620 EUR за 2026 г., и за съответно намаляване на бюджетните кредити, предложени по следните бюджетни редове, с общо 12 378 000 EUR:</w:t>
      </w:r>
    </w:p>
    <w:p w14:paraId="10B8CF54" w14:textId="77777777" w:rsidR="006F1D59" w:rsidRPr="00D80D93" w:rsidRDefault="006F1D59" w:rsidP="007B02CB">
      <w:pPr>
        <w:widowControl/>
        <w:spacing w:after="240"/>
        <w:ind w:left="567"/>
        <w:rPr>
          <w:color w:val="000000"/>
        </w:rPr>
      </w:pPr>
      <w:r w:rsidRPr="00D80D93">
        <w:rPr>
          <w:color w:val="000000"/>
        </w:rPr>
        <w:t>1 0 0 6 — Надбавка за общи разходи, 1 4 2 — Външни преводачески услуги, 2 0 0 0 — Наеми, 2 0 0 7 — Строителство на сгради и оборудване на помещения, 2 0 2 4 — Потребление на енергия, 2 1 0 1 — Управление на бизнес приложения, 3 2 0 — Придобиване на експертен опит, 3 2 4 3 — Центрове за посетители на Европейския парламент, 3 2 4 8 — Разходи за аудиовизуална информация, 4 4 — Заседания и други дейности на настоящи и бивши членове на ЕП;</w:t>
      </w:r>
    </w:p>
    <w:p w14:paraId="1CF67E7E" w14:textId="77777777" w:rsidR="006F1D59" w:rsidRPr="00D80D93" w:rsidRDefault="006F1D59" w:rsidP="007B02CB">
      <w:pPr>
        <w:widowControl/>
        <w:spacing w:after="240"/>
        <w:ind w:left="567"/>
        <w:rPr>
          <w:color w:val="000000"/>
        </w:rPr>
      </w:pPr>
      <w:r w:rsidRPr="00D80D93">
        <w:rPr>
          <w:color w:val="000000"/>
        </w:rPr>
        <w:t>освен това беше взето решение за повишаване на равнището на разходите в предварителния проект на бюджетна прогноза, одобрен от Бюрото на 10 март 2025 г., със 7 010 000 EUR, както и за съответно увеличение на бюджетните кредити, предложени по следните бюджетни редове:</w:t>
      </w:r>
    </w:p>
    <w:p w14:paraId="375F6B5C" w14:textId="77777777" w:rsidR="006F1D59" w:rsidRPr="00D80D93" w:rsidRDefault="006F1D59" w:rsidP="007B02CB">
      <w:pPr>
        <w:widowControl/>
        <w:spacing w:after="240"/>
        <w:ind w:left="567"/>
        <w:rPr>
          <w:color w:val="000000"/>
        </w:rPr>
      </w:pPr>
      <w:r w:rsidRPr="00D80D93">
        <w:rPr>
          <w:color w:val="000000"/>
        </w:rPr>
        <w:t xml:space="preserve">1 2 0 0 — Възнаграждения и надбавки, 1 6 3 0 — Социално обслужване: социални разходи, 4 0 0 — Текущи административни разходи и разходи, свързани с политическите и информационните дейности на политическите групи и </w:t>
      </w:r>
      <w:r w:rsidRPr="00D80D93">
        <w:rPr>
          <w:color w:val="000000"/>
        </w:rPr>
        <w:lastRenderedPageBreak/>
        <w:t>независимите членове, и 4 0 3 — Финансиране на европейските политически фондации;</w:t>
      </w:r>
    </w:p>
    <w:p w14:paraId="62A67C1D" w14:textId="77777777" w:rsidR="006F1D59" w:rsidRPr="00D80D93" w:rsidRDefault="006F1D59" w:rsidP="007B02CB">
      <w:pPr>
        <w:widowControl/>
        <w:spacing w:after="240"/>
        <w:ind w:left="567"/>
        <w:rPr>
          <w:color w:val="000000"/>
        </w:rPr>
      </w:pPr>
      <w:r w:rsidRPr="00D80D93">
        <w:rPr>
          <w:color w:val="000000"/>
        </w:rPr>
        <w:t>накрая беше постигнато съгласие за промяна на бюджетните забележки по позиция 1 6 3 0 — Социално обслужване: социални разходи, за да се включи позоваване на Комитета на акредитираните парламентарни сътрудници;</w:t>
      </w:r>
    </w:p>
    <w:p w14:paraId="27F4609E" w14:textId="77777777" w:rsidR="006F1D59" w:rsidRPr="00D80D93" w:rsidRDefault="006F1D59" w:rsidP="007B02CB">
      <w:pPr>
        <w:widowControl/>
        <w:spacing w:after="240"/>
        <w:ind w:left="567" w:hanging="567"/>
        <w:rPr>
          <w:color w:val="000000"/>
        </w:rPr>
      </w:pPr>
      <w:r w:rsidRPr="00D80D93">
        <w:rPr>
          <w:color w:val="000000"/>
        </w:rPr>
        <w:t>3.</w:t>
      </w:r>
      <w:r w:rsidRPr="00D80D93">
        <w:rPr>
          <w:color w:val="000000"/>
        </w:rPr>
        <w:tab/>
        <w:t>припомня, че почти две трети от бюджета се определят от нормативно установени задължения; отбелязва, че в рамките на увеличението със 103,5 милиона евро спрямо бюджета за 2025 г. увеличението от 85,3 милиона евро се дължи на нормативно установени финансови задължения, главно за актуализиране на заплатите на длъжностните лица и срочно наетите служители (52,7 милиона евро), на договорно наетите служители (9,2 милиона евро) и на акредитираните парламентарни сътрудници (15,1 милиона евро); припомня, че в съответствие с Правилника за длъжностните лица и Устава на членовете на Европейския парламент, настоящата прогноза на Комисията за индексацията на заплатите за април 2025 г., юли 2025 г., април 2026 г. и юли 2026 г. е тя да бъде съответно 1,2%, 4,6%, 0,6% и 3,4%;</w:t>
      </w:r>
    </w:p>
    <w:p w14:paraId="652B5F71" w14:textId="77777777" w:rsidR="006F1D59" w:rsidRPr="00D80D93" w:rsidRDefault="006F1D59" w:rsidP="007B02CB">
      <w:pPr>
        <w:widowControl/>
        <w:spacing w:after="240"/>
        <w:ind w:left="567" w:hanging="567"/>
        <w:rPr>
          <w:color w:val="000000"/>
        </w:rPr>
      </w:pPr>
      <w:r w:rsidRPr="00D80D93">
        <w:rPr>
          <w:color w:val="000000"/>
        </w:rPr>
        <w:t>4.</w:t>
      </w:r>
      <w:r w:rsidRPr="00D80D93">
        <w:rPr>
          <w:color w:val="000000"/>
        </w:rPr>
        <w:tab/>
        <w:t>отбелязва, че за трета поредна година Парламентът не е заявил никакви допълнителни длъжности за 2026 г.;</w:t>
      </w:r>
    </w:p>
    <w:p w14:paraId="4BF96E48" w14:textId="77777777" w:rsidR="006F1D59" w:rsidRPr="00D80D93" w:rsidRDefault="006F1D59" w:rsidP="007B02CB">
      <w:pPr>
        <w:widowControl/>
        <w:spacing w:after="240"/>
        <w:ind w:left="567" w:hanging="567"/>
        <w:rPr>
          <w:color w:val="000000"/>
        </w:rPr>
      </w:pPr>
      <w:r w:rsidRPr="00D80D93">
        <w:rPr>
          <w:color w:val="000000"/>
        </w:rPr>
        <w:t>5.</w:t>
      </w:r>
      <w:r w:rsidRPr="00D80D93">
        <w:rPr>
          <w:color w:val="000000"/>
        </w:rPr>
        <w:tab/>
        <w:t>отбелязва, че за периода 2025 – 2026 г. увеличението на разходите, които не са нормативно установени, е 1,96%;</w:t>
      </w:r>
    </w:p>
    <w:p w14:paraId="3B08A024" w14:textId="77777777" w:rsidR="006F1D59" w:rsidRPr="00D80D93" w:rsidRDefault="006F1D59" w:rsidP="007B02CB">
      <w:pPr>
        <w:widowControl/>
        <w:spacing w:after="240"/>
        <w:ind w:left="567" w:hanging="567"/>
        <w:rPr>
          <w:color w:val="000000"/>
        </w:rPr>
      </w:pPr>
      <w:r w:rsidRPr="00D80D93">
        <w:rPr>
          <w:color w:val="000000"/>
        </w:rPr>
        <w:t>6.</w:t>
      </w:r>
      <w:r w:rsidRPr="00D80D93">
        <w:rPr>
          <w:color w:val="000000"/>
        </w:rPr>
        <w:tab/>
        <w:t>приветства инициативата на генералния секретар за извършване на мащабна проверка, целяща да се установят възможностите за опростяване на административните процедури, премахване на неефективността и осигуряване на осезаемо намаляване на разходите, като по този начин се повиши ефективността и се гарантира интелигентно използване на ресурсите; изисква от генералния секретар веднъж на всеки шест месеца да предоставя на комисията по бюджети актуална информация за предприетите мерки и за плана за действие за опростяване, както и за тяхното въздействие върху бюджета и персонала; подчертава, че административните процедури и управлението на човешките ресурси представляват голяма тежест за членовете на ЕП, по-специално при наемането на местни сътрудници, и призовава за опростяване в това отношение;</w:t>
      </w:r>
    </w:p>
    <w:p w14:paraId="54F452B4" w14:textId="77777777" w:rsidR="006F1D59" w:rsidRPr="00D80D93" w:rsidRDefault="006F1D59" w:rsidP="007B02CB">
      <w:pPr>
        <w:pStyle w:val="NormalHanging12a"/>
      </w:pPr>
      <w:r w:rsidRPr="00D80D93">
        <w:t>7.</w:t>
      </w:r>
      <w:r w:rsidRPr="00D80D93">
        <w:tab/>
        <w:t>отбелязва, че бюджетът на Парламента следва да се определя на реалистична основа, в съответствие с принципите за бюджетна дисциплина и добро финансово управление; подчертава, че е важно да се гарантира, че финансовата предпазливост и сигурност си остават ключови приоритети, като същевременно се гарантира, че тези мерки не възпрепятстват ефикасността, ефективността и оперативния капацитет на институцията и на нейните служители с основни функции за успешното изпълнение на техните задължения; подчертава, че предвид геополитическия контекст и инвестициите, които Съюзът ще трябва да направи за своята стратегическа автономност, Парламентът трябва да даде пример при управлението на своя бюджет;</w:t>
      </w:r>
    </w:p>
    <w:p w14:paraId="3C15A420" w14:textId="77777777" w:rsidR="006F1D59" w:rsidRPr="00D80D93" w:rsidRDefault="006F1D59" w:rsidP="007B02CB">
      <w:pPr>
        <w:pStyle w:val="NormalHanging12a"/>
      </w:pPr>
      <w:r w:rsidRPr="00D80D93">
        <w:t>8.</w:t>
      </w:r>
      <w:r w:rsidRPr="00D80D93">
        <w:tab/>
        <w:t xml:space="preserve">подчертава ролята на Парламента за формирането на европейско политическо съзнание и за популяризиране на ценностите и политиките на Съюза, като например цифровия и екологичния преход; подчертава, че прозрачността, </w:t>
      </w:r>
      <w:r w:rsidRPr="00D80D93">
        <w:lastRenderedPageBreak/>
        <w:t>отчетността, равенството между половете и почтеността са основни принципи в рамките на европейските институции, и по-специално за Парламента, като дом на европейската демокрация;</w:t>
      </w:r>
    </w:p>
    <w:p w14:paraId="25462636" w14:textId="77777777" w:rsidR="006F1D59" w:rsidRPr="00D80D93" w:rsidRDefault="006F1D59" w:rsidP="006F1D59">
      <w:pPr>
        <w:widowControl/>
        <w:spacing w:after="240"/>
        <w:rPr>
          <w:b/>
          <w:i/>
          <w:color w:val="000000"/>
        </w:rPr>
      </w:pPr>
      <w:r w:rsidRPr="00D80D93">
        <w:rPr>
          <w:b/>
          <w:i/>
          <w:color w:val="000000"/>
        </w:rPr>
        <w:t>Укрепване на основните функции на Парламента</w:t>
      </w:r>
    </w:p>
    <w:p w14:paraId="0F349D24" w14:textId="77777777" w:rsidR="006F1D59" w:rsidRPr="00D80D93" w:rsidRDefault="006F1D59" w:rsidP="007B02CB">
      <w:pPr>
        <w:pStyle w:val="NormalHanging12a"/>
      </w:pPr>
      <w:r w:rsidRPr="00D80D93">
        <w:t>9.</w:t>
      </w:r>
      <w:r w:rsidRPr="00D80D93">
        <w:tab/>
        <w:t xml:space="preserve">отбелязва четирите нови тематични генерални дирекции, отговарящи за законодателните, бюджетните и контролните дейности, които бяха създадени от предишната Генерална дирекция за вътрешни политики на ЕС през септември 2024 г. с цел подобряване на функционирането на Парламента като </w:t>
      </w:r>
      <w:proofErr w:type="spellStart"/>
      <w:r w:rsidRPr="00D80D93">
        <w:t>съзаконодател</w:t>
      </w:r>
      <w:proofErr w:type="spellEnd"/>
      <w:r w:rsidRPr="00D80D93">
        <w:t>, като едно от подразделенията на бюджетния орган и като орган по освобождаване от отговорност във връзка с изпълнението на бюджета; изисква от генералния секретар да предоставя редовно на комисията по бюджети актуална информация за промените в работата и персонала на тези генерални дирекции;</w:t>
      </w:r>
    </w:p>
    <w:p w14:paraId="707D3868" w14:textId="77777777" w:rsidR="006F1D59" w:rsidRPr="00D80D93" w:rsidRDefault="006F1D59" w:rsidP="007B02CB">
      <w:pPr>
        <w:pStyle w:val="NormalHanging12a"/>
        <w:spacing w:after="0"/>
      </w:pPr>
      <w:r w:rsidRPr="00D80D93">
        <w:t>10.</w:t>
      </w:r>
      <w:r w:rsidRPr="00D80D93">
        <w:tab/>
        <w:t>признава, политическите решения трябва да се основават в по-голяма степен на доказателства и факти; отбелязва бюджета от 16,75 милиона евро, предназначен за укрепване на административния капацитет на Парламента, с цел подпомагане на членовете на ЕП в тяхната парламентарна дейност и подобряване на капацитета на институцията да се справя с възникващите сложности и несигурност;</w:t>
      </w:r>
    </w:p>
    <w:p w14:paraId="0EE9CED1" w14:textId="77777777" w:rsidR="006F1D59" w:rsidRPr="00D80D93" w:rsidRDefault="006F1D59" w:rsidP="007B02CB">
      <w:pPr>
        <w:widowControl/>
        <w:ind w:left="567" w:hanging="567"/>
        <w:rPr>
          <w:color w:val="000000"/>
        </w:rPr>
      </w:pPr>
    </w:p>
    <w:p w14:paraId="3AAFE418" w14:textId="77777777" w:rsidR="006F1D59" w:rsidRPr="00D80D93" w:rsidRDefault="006F1D59" w:rsidP="007B02CB">
      <w:pPr>
        <w:widowControl/>
        <w:spacing w:after="240"/>
        <w:ind w:left="567" w:hanging="567"/>
        <w:rPr>
          <w:color w:val="000000"/>
        </w:rPr>
      </w:pPr>
      <w:r w:rsidRPr="00D80D93">
        <w:rPr>
          <w:color w:val="000000"/>
        </w:rPr>
        <w:t>11.</w:t>
      </w:r>
      <w:r w:rsidRPr="00D80D93">
        <w:rPr>
          <w:color w:val="000000"/>
        </w:rPr>
        <w:tab/>
        <w:t>подчертава решаващата роля на политическите групи за предоставяне на експертен опит и политическа подкрепа на членовете на ЕП в тяхната законодателна и парламентарна дейност; подчертава необходимостта да се гарантира изпълнението на важната цел за укрепване на капацитета на Парламента, за да се подпомогне работата на членовете на ЕП;</w:t>
      </w:r>
    </w:p>
    <w:p w14:paraId="08CE4117" w14:textId="77777777" w:rsidR="006F1D59" w:rsidRPr="00D80D93" w:rsidRDefault="006F1D59" w:rsidP="006F1D59">
      <w:pPr>
        <w:widowControl/>
        <w:spacing w:after="240"/>
        <w:ind w:left="567" w:hanging="567"/>
        <w:jc w:val="both"/>
        <w:rPr>
          <w:b/>
          <w:i/>
          <w:color w:val="000000"/>
        </w:rPr>
      </w:pPr>
      <w:r w:rsidRPr="00D80D93">
        <w:rPr>
          <w:b/>
          <w:i/>
          <w:color w:val="000000"/>
        </w:rPr>
        <w:t xml:space="preserve">Цифров преход </w:t>
      </w:r>
    </w:p>
    <w:p w14:paraId="6BA3D70F" w14:textId="77777777" w:rsidR="006F1D59" w:rsidRPr="00D80D93" w:rsidRDefault="006F1D59" w:rsidP="007B02CB">
      <w:pPr>
        <w:widowControl/>
        <w:spacing w:after="240"/>
        <w:ind w:left="567" w:hanging="567"/>
        <w:rPr>
          <w:color w:val="000000"/>
        </w:rPr>
      </w:pPr>
      <w:r w:rsidRPr="00D80D93">
        <w:rPr>
          <w:color w:val="000000"/>
        </w:rPr>
        <w:t>12.</w:t>
      </w:r>
      <w:r w:rsidRPr="00D80D93">
        <w:rPr>
          <w:color w:val="000000"/>
        </w:rPr>
        <w:tab/>
        <w:t>подчертава, че киберсигурността на Парламента е ключов приоритет; отбелязва, че общият бюджет за ИТ представлява 7,40% от общия бюджет в бюджетната прогноза за 2026 г.; подчертава значението на една стабилна инфраструктура за киберсигурност в тези бурни геополитически времена и приветства увеличаването на бюджетните кредити, предназначени за киберсигурност; подкрепя планираното постепенно увеличение на бюджетните кредити за киберсигурност до 10% от бюджета на Парламента за ИКТ до 2027 г.;</w:t>
      </w:r>
    </w:p>
    <w:p w14:paraId="077E5423" w14:textId="77777777" w:rsidR="006F1D59" w:rsidRPr="00D80D93" w:rsidRDefault="006F1D59" w:rsidP="007B02CB">
      <w:pPr>
        <w:widowControl/>
        <w:spacing w:after="240"/>
        <w:ind w:left="567" w:hanging="567"/>
        <w:rPr>
          <w:color w:val="000000"/>
        </w:rPr>
      </w:pPr>
      <w:r w:rsidRPr="00D80D93">
        <w:rPr>
          <w:color w:val="000000"/>
        </w:rPr>
        <w:t>13.</w:t>
      </w:r>
      <w:r w:rsidRPr="00D80D93">
        <w:rPr>
          <w:color w:val="000000"/>
        </w:rPr>
        <w:tab/>
        <w:t xml:space="preserve">приветства приемането от Бюрото на 10 февруари 2025 г. на вътрешна рамка за управление, ръководство и контрол на рисковете за киберсигурността; припомня, че инвестициите в киберсигурността са от ключово значение за защитата на демократичния глас на Парламента и на Съюза; </w:t>
      </w:r>
    </w:p>
    <w:p w14:paraId="146E7598" w14:textId="77777777" w:rsidR="006F1D59" w:rsidRPr="00D80D93" w:rsidRDefault="006F1D59" w:rsidP="007B02CB">
      <w:pPr>
        <w:widowControl/>
        <w:spacing w:after="240"/>
        <w:ind w:left="567" w:hanging="567"/>
        <w:rPr>
          <w:color w:val="000000"/>
        </w:rPr>
      </w:pPr>
      <w:r w:rsidRPr="00D80D93">
        <w:rPr>
          <w:color w:val="000000"/>
        </w:rPr>
        <w:t>14.</w:t>
      </w:r>
      <w:r w:rsidRPr="00D80D93">
        <w:rPr>
          <w:color w:val="000000"/>
        </w:rPr>
        <w:tab/>
        <w:t xml:space="preserve">приветства инвестициите в изкуствен интелект (ИИ), възлизащи на 1 милион евро; призовава за по-засилено използване на ИИ, за да се повиши ефективността, като същевременно се вземат предвид свързаните с това рискове, включително в областта на етиката и защитата на данните; подчертава потенциала на ИИ за рационализиране на административните процеси; подчертава, че при внедряването на ИИ иновациите трябва да се балансират с необходимите предпазни мерки; отбелязва, че развитието на ИИ ще се следи отблизо в съответствие с принципите, установени от Бюрото, които включват, наред с </w:t>
      </w:r>
      <w:r w:rsidRPr="00D80D93">
        <w:rPr>
          <w:color w:val="000000"/>
        </w:rPr>
        <w:lastRenderedPageBreak/>
        <w:t>другото, задълбочена оценка на риска за използването на новите технологии; призовава Генералния секретариат да осигури решения, като например приложения и инструменти, които да бъдат предоставени възможно най-скоро на членовете и служителите на ЕП;</w:t>
      </w:r>
    </w:p>
    <w:p w14:paraId="6CA20881" w14:textId="77777777" w:rsidR="006F1D59" w:rsidRPr="00D80D93" w:rsidRDefault="006F1D59" w:rsidP="007B02CB">
      <w:pPr>
        <w:keepNext/>
        <w:widowControl/>
        <w:ind w:left="567" w:hanging="567"/>
        <w:rPr>
          <w:b/>
          <w:i/>
          <w:color w:val="000000"/>
        </w:rPr>
      </w:pPr>
      <w:r w:rsidRPr="00D80D93">
        <w:rPr>
          <w:b/>
          <w:i/>
          <w:color w:val="000000"/>
        </w:rPr>
        <w:t>Екологичен преход</w:t>
      </w:r>
    </w:p>
    <w:p w14:paraId="1F2D3739" w14:textId="77777777" w:rsidR="006F1D59" w:rsidRPr="00D80D93" w:rsidRDefault="006F1D59" w:rsidP="007B02CB">
      <w:pPr>
        <w:widowControl/>
        <w:ind w:left="567" w:hanging="567"/>
        <w:rPr>
          <w:color w:val="000000"/>
        </w:rPr>
      </w:pPr>
    </w:p>
    <w:p w14:paraId="24AC5103" w14:textId="77777777" w:rsidR="006F1D59" w:rsidRPr="00D80D93" w:rsidRDefault="006F1D59" w:rsidP="007B02CB">
      <w:pPr>
        <w:widowControl/>
        <w:ind w:left="567" w:hanging="567"/>
        <w:rPr>
          <w:color w:val="000000"/>
        </w:rPr>
      </w:pPr>
      <w:r w:rsidRPr="00D80D93">
        <w:rPr>
          <w:color w:val="000000"/>
        </w:rPr>
        <w:t>15.</w:t>
      </w:r>
      <w:r w:rsidRPr="00D80D93">
        <w:rPr>
          <w:color w:val="000000"/>
        </w:rPr>
        <w:tab/>
        <w:t>приветства целите на системата на Парламента за управление на околната среда (EMAS) за периода 2025 – 2029 г.; припомня, че подобни инвестиции в енергийна ефективност са добър метод за постигане на икономическа ефективност; отбелязва бюджета от 8,45 милиона евро за инвестиции в енергийна ефективност и околна среда в прогнозите за 2026 г., с цел допълнително подобряване на екологичните характеристики на сградите на Парламента; отбелязва, че това съответства на увеличение от 74% спрямо бюджета за 2025 г.; признава обаче, че тези екологични действия са част от бюджетния ред 2007 „Строителство на сгради и оборудване на помещения“, чийто общ размер е намалял с 3,7 милиона евро през 2026 г., спрямо 2025 г.;</w:t>
      </w:r>
    </w:p>
    <w:p w14:paraId="01ACA8A0" w14:textId="77777777" w:rsidR="006F1D59" w:rsidRPr="00D80D93" w:rsidRDefault="006F1D59" w:rsidP="007B02CB">
      <w:pPr>
        <w:widowControl/>
        <w:ind w:left="567" w:hanging="567"/>
        <w:rPr>
          <w:color w:val="000000"/>
        </w:rPr>
      </w:pPr>
    </w:p>
    <w:p w14:paraId="57CDAF02" w14:textId="77777777" w:rsidR="006F1D59" w:rsidRPr="00D80D93" w:rsidRDefault="006F1D59" w:rsidP="007B02CB">
      <w:pPr>
        <w:widowControl/>
        <w:ind w:left="567" w:hanging="567"/>
        <w:rPr>
          <w:color w:val="000000"/>
        </w:rPr>
      </w:pPr>
      <w:r w:rsidRPr="00D80D93">
        <w:rPr>
          <w:color w:val="000000"/>
        </w:rPr>
        <w:t>16.</w:t>
      </w:r>
      <w:r w:rsidRPr="00D80D93">
        <w:rPr>
          <w:color w:val="000000"/>
        </w:rPr>
        <w:tab/>
        <w:t>припомня, че близо две трети от въглеродния отпечатък на Парламента се дължи на превоза на хора; призовава за разумно намаляване на пътуванията за участие в заседания, за които има възможност да се провеждат ефективно от дистанция или в хибриден режим, и за насърчаване на преминаването към нисковъглеродни алтернативи за всички останали пътувания, доколкото това не засяга качеството на законодателната и политическата работа;</w:t>
      </w:r>
    </w:p>
    <w:p w14:paraId="08BFB201" w14:textId="77777777" w:rsidR="006F1D59" w:rsidRPr="00D80D93" w:rsidRDefault="006F1D59" w:rsidP="007B02CB">
      <w:pPr>
        <w:widowControl/>
        <w:ind w:left="567" w:hanging="567"/>
        <w:rPr>
          <w:color w:val="000000"/>
        </w:rPr>
      </w:pPr>
      <w:r w:rsidRPr="00D80D93">
        <w:rPr>
          <w:color w:val="000000"/>
        </w:rPr>
        <w:t xml:space="preserve"> </w:t>
      </w:r>
    </w:p>
    <w:p w14:paraId="3D1C856A" w14:textId="77777777" w:rsidR="006F1D59" w:rsidRPr="00D80D93" w:rsidRDefault="006F1D59" w:rsidP="007B02CB">
      <w:pPr>
        <w:widowControl/>
        <w:ind w:left="567" w:hanging="567"/>
        <w:rPr>
          <w:color w:val="000000"/>
        </w:rPr>
      </w:pPr>
      <w:r w:rsidRPr="00D80D93">
        <w:rPr>
          <w:color w:val="000000"/>
        </w:rPr>
        <w:t>17.</w:t>
      </w:r>
      <w:r w:rsidRPr="00D80D93">
        <w:rPr>
          <w:color w:val="000000"/>
        </w:rPr>
        <w:tab/>
        <w:t>отбелязва прогнозираното увеличение на цените на въглеродните кредити, като при настоящите нива на емисии ще са необходими около 900 000 EUR за 2026 г.; призовава администрацията, в съответствие с принципа за стабилно финансово управление, да продължи да намалява емисиите на Парламента, вместо да се закупуват въглеродни кредити; приветства въвеждането на подобрена оферта за пътуване с влак във връзка с командировките до Страсбург, считано от юли 2025 г., като положителна стъпка за намаляване на емисиите на CO2;</w:t>
      </w:r>
    </w:p>
    <w:p w14:paraId="0A36FE11" w14:textId="77777777" w:rsidR="006F1D59" w:rsidRPr="00D80D93" w:rsidRDefault="006F1D59" w:rsidP="007B02CB">
      <w:pPr>
        <w:widowControl/>
        <w:ind w:left="567" w:hanging="567"/>
        <w:rPr>
          <w:color w:val="000000"/>
        </w:rPr>
      </w:pPr>
    </w:p>
    <w:p w14:paraId="7ABD7B62" w14:textId="77777777" w:rsidR="006F1D59" w:rsidRPr="00D80D93" w:rsidRDefault="006F1D59" w:rsidP="007B02CB">
      <w:pPr>
        <w:widowControl/>
        <w:spacing w:after="240"/>
        <w:ind w:left="567" w:hanging="567"/>
        <w:rPr>
          <w:color w:val="000000"/>
        </w:rPr>
      </w:pPr>
      <w:r w:rsidRPr="00D80D93">
        <w:rPr>
          <w:color w:val="000000"/>
        </w:rPr>
        <w:t>18.</w:t>
      </w:r>
      <w:r w:rsidRPr="00D80D93">
        <w:rPr>
          <w:color w:val="000000"/>
        </w:rPr>
        <w:tab/>
        <w:t>отбелязва, че Парламентът инсталира и продължава да инсталира фотоволтаични слънчеви панели, за да увеличи още повече дела на произведената на място енергия от възобновяеми източници и да постигне целта от 25%; отбелязва отговорите, предоставени от генералния секретар във връзка с бюджетната прогноза за приходите и разходите на Парламента за финансовата 2024 година, в които се посочва, че през 2022 г. е било проведено проучване за използването на фотоволтаични панели за сградите на Парламента в Страсбург, което е приключило през 2023 г., и че през 2024 г. е трябвало да бъдат проведени допълнителни проучвания за намиране на надеждни решения, по-специално за сградата „ВАЙС“;</w:t>
      </w:r>
    </w:p>
    <w:p w14:paraId="52335B0F" w14:textId="77777777" w:rsidR="006F1D59" w:rsidRPr="00D80D93" w:rsidRDefault="006F1D59" w:rsidP="007B02CB">
      <w:pPr>
        <w:ind w:left="567" w:hanging="567"/>
        <w:rPr>
          <w:b/>
          <w:i/>
          <w:color w:val="000000"/>
        </w:rPr>
      </w:pPr>
      <w:r w:rsidRPr="00D80D93">
        <w:rPr>
          <w:b/>
          <w:i/>
          <w:color w:val="000000"/>
        </w:rPr>
        <w:t>Многоезичие, комуникация и дезинформация</w:t>
      </w:r>
    </w:p>
    <w:p w14:paraId="17391D0D" w14:textId="77777777" w:rsidR="006F1D59" w:rsidRPr="00D80D93" w:rsidRDefault="006F1D59" w:rsidP="007B02CB">
      <w:pPr>
        <w:widowControl/>
        <w:ind w:left="567" w:hanging="567"/>
        <w:rPr>
          <w:color w:val="000000"/>
        </w:rPr>
      </w:pPr>
    </w:p>
    <w:p w14:paraId="051C43F5" w14:textId="77777777" w:rsidR="006F1D59" w:rsidRPr="00D80D93" w:rsidRDefault="006F1D59" w:rsidP="007B02CB">
      <w:pPr>
        <w:widowControl/>
        <w:ind w:left="567" w:hanging="567"/>
        <w:rPr>
          <w:color w:val="000000"/>
        </w:rPr>
      </w:pPr>
      <w:r w:rsidRPr="00D80D93">
        <w:rPr>
          <w:color w:val="000000"/>
        </w:rPr>
        <w:t>19.</w:t>
      </w:r>
      <w:r w:rsidRPr="00D80D93">
        <w:rPr>
          <w:color w:val="000000"/>
        </w:rPr>
        <w:tab/>
        <w:t xml:space="preserve">подчертава, че многоезичието е ключов принцип, на който се основава работата на Парламента; отбелязва преразглеждането на Кодекса за поведение относно езиковото многообразие, планирано за пролетта на 2025 г.; изисква, когато е целесъобразно, Парламентът да се възползва от основните технологични промени в областта на услугите, свързани с многоезичието, включително разработването и </w:t>
      </w:r>
      <w:r w:rsidRPr="00D80D93">
        <w:rPr>
          <w:color w:val="000000"/>
        </w:rPr>
        <w:lastRenderedPageBreak/>
        <w:t>използването на ИИ; изисква от генералния секретар да информира своевременно комисията по бюджети за евентуално отражение върху бюджета вследствие на това преразглеждане;</w:t>
      </w:r>
    </w:p>
    <w:p w14:paraId="2867C561" w14:textId="77777777" w:rsidR="006F1D59" w:rsidRPr="00D80D93" w:rsidRDefault="006F1D59" w:rsidP="007B02CB">
      <w:pPr>
        <w:widowControl/>
        <w:ind w:left="567" w:hanging="567"/>
        <w:rPr>
          <w:color w:val="000000"/>
        </w:rPr>
      </w:pPr>
    </w:p>
    <w:p w14:paraId="300BD6A2" w14:textId="77777777" w:rsidR="006F1D59" w:rsidRPr="00D80D93" w:rsidRDefault="006F1D59" w:rsidP="007B02CB">
      <w:pPr>
        <w:widowControl/>
        <w:ind w:left="567" w:hanging="567"/>
        <w:rPr>
          <w:color w:val="000000"/>
        </w:rPr>
      </w:pPr>
      <w:r w:rsidRPr="00D80D93">
        <w:rPr>
          <w:color w:val="000000"/>
        </w:rPr>
        <w:t>20.</w:t>
      </w:r>
      <w:r w:rsidRPr="00D80D93">
        <w:rPr>
          <w:color w:val="000000"/>
        </w:rPr>
        <w:tab/>
        <w:t>подчертава ролята, която бюрата за връзка на Европейския парламент играят в противодействието на външната намеса и дезинформацията; във връзка с това отбелязва работата на бюрата за връзка на Европейския парламент, които проактивно популяризират работата на Парламента на техните местни езици по множество канали; подчертава ролята на бюрото за връзка на Европейския парламент в Обединеното кралство като основно звено за контакт за пребиваващите в Обединеното кралство граждани на Съюза, което им предоставя информация относно Парламента и ги насърчава да гласуват на изборите за Европейски парламент; изисква от Бюрото да разшири изготвянето и разпространението на комуникационни материали по достъпен и приобщаващ начин;</w:t>
      </w:r>
    </w:p>
    <w:p w14:paraId="5135C7C3" w14:textId="77777777" w:rsidR="006F1D59" w:rsidRPr="00D80D93" w:rsidRDefault="006F1D59" w:rsidP="007B02CB">
      <w:pPr>
        <w:widowControl/>
        <w:ind w:left="567" w:hanging="567"/>
        <w:rPr>
          <w:color w:val="000000"/>
        </w:rPr>
      </w:pPr>
    </w:p>
    <w:p w14:paraId="173D658D" w14:textId="77777777" w:rsidR="006F1D59" w:rsidRPr="00D80D93" w:rsidRDefault="006F1D59" w:rsidP="007B02CB">
      <w:pPr>
        <w:widowControl/>
        <w:ind w:left="567" w:hanging="567"/>
        <w:rPr>
          <w:color w:val="000000"/>
        </w:rPr>
      </w:pPr>
      <w:r w:rsidRPr="00D80D93">
        <w:rPr>
          <w:color w:val="000000"/>
        </w:rPr>
        <w:t>21.</w:t>
      </w:r>
      <w:r w:rsidRPr="00D80D93">
        <w:rPr>
          <w:color w:val="000000"/>
        </w:rPr>
        <w:tab/>
        <w:t>подчертава ниския процент на участие на младите хора в неотдавнашните избори за Европейски парламент в някои региони на Съюза и ролята на Парламента за укрепване на образованието в областта на гражданството на ЕС;</w:t>
      </w:r>
    </w:p>
    <w:p w14:paraId="296D804E" w14:textId="77777777" w:rsidR="006F1D59" w:rsidRPr="00D80D93" w:rsidRDefault="006F1D59" w:rsidP="007B02CB">
      <w:pPr>
        <w:widowControl/>
        <w:ind w:left="567" w:hanging="567"/>
        <w:rPr>
          <w:color w:val="000000"/>
        </w:rPr>
      </w:pPr>
    </w:p>
    <w:p w14:paraId="68DFFF02" w14:textId="77777777" w:rsidR="006F1D59" w:rsidRPr="00D80D93" w:rsidRDefault="006F1D59" w:rsidP="007B02CB">
      <w:pPr>
        <w:widowControl/>
        <w:ind w:left="567" w:hanging="567"/>
        <w:rPr>
          <w:color w:val="000000"/>
        </w:rPr>
      </w:pPr>
      <w:r w:rsidRPr="00D80D93">
        <w:rPr>
          <w:color w:val="000000"/>
        </w:rPr>
        <w:t>22.</w:t>
      </w:r>
      <w:r w:rsidRPr="00D80D93">
        <w:rPr>
          <w:color w:val="000000"/>
        </w:rPr>
        <w:tab/>
        <w:t xml:space="preserve">припомня значението на програмата „Училища – посланици на Европейския парламент“ за насърчаване на активната ангажираност сред младите европейци и на програмата за обучение на млади журналисти, именувана в чест на Давид </w:t>
      </w:r>
      <w:proofErr w:type="spellStart"/>
      <w:r w:rsidRPr="00D80D93">
        <w:rPr>
          <w:color w:val="000000"/>
        </w:rPr>
        <w:t>Сасоли</w:t>
      </w:r>
      <w:proofErr w:type="spellEnd"/>
      <w:r w:rsidRPr="00D80D93">
        <w:rPr>
          <w:color w:val="000000"/>
        </w:rPr>
        <w:t>, за укрепване на разбирането за Съюза и неговото функциониране сред журналистите, като най-добрата противоотрова срещу дезинформацията, с оглед на последните тенденции, които показват тревожен спад в свободата и независимостта на медиите в целия Съюз;</w:t>
      </w:r>
    </w:p>
    <w:p w14:paraId="7446E549" w14:textId="77777777" w:rsidR="006F1D59" w:rsidRPr="00D80D93" w:rsidRDefault="006F1D59" w:rsidP="007B02CB">
      <w:pPr>
        <w:widowControl/>
        <w:ind w:left="567" w:hanging="567"/>
        <w:rPr>
          <w:color w:val="000000"/>
        </w:rPr>
      </w:pPr>
    </w:p>
    <w:p w14:paraId="5ED7217F" w14:textId="77777777" w:rsidR="006F1D59" w:rsidRPr="00D80D93" w:rsidRDefault="006F1D59" w:rsidP="007B02CB">
      <w:pPr>
        <w:widowControl/>
        <w:ind w:left="567" w:hanging="567"/>
        <w:rPr>
          <w:color w:val="000000"/>
        </w:rPr>
      </w:pPr>
      <w:r w:rsidRPr="00D80D93">
        <w:rPr>
          <w:color w:val="000000"/>
        </w:rPr>
        <w:t>23.</w:t>
      </w:r>
      <w:r w:rsidRPr="00D80D93">
        <w:rPr>
          <w:color w:val="000000"/>
        </w:rPr>
        <w:tab/>
        <w:t>признава значението на групите посетители като важен инструмент за свързване на гражданите с работата на членовете на ЕП; във връзка с това приветства увеличението на таваните и разходните фактори за изчисляване на финансовото участие за посетителите под патронаж, считано от 1 януари 2025 г.;</w:t>
      </w:r>
      <w:r w:rsidRPr="00D80D93">
        <w:t xml:space="preserve"> </w:t>
      </w:r>
      <w:r w:rsidRPr="00D80D93">
        <w:rPr>
          <w:color w:val="000000"/>
        </w:rPr>
        <w:t>изисква от Бюрото да направи оценка на въздействието на преразгледаните правила относно групите посетители по отношение на пътните разходи, вземайки предвид колебанията на пазара, и да избягва непряката географска дискриминация на посетителите; отбелязва, че в исторически план около 15% от квотата за посетители не се използва от членовете на ЕП; призовава генералния секретар да предложи на Бюрото неизползваната квота да бъде предоставена на разположение на заинтересовани членове на ЕП; отбелязва, че бюджетът за групите посетители представлява 22% от общия бюджет на Генералната дирекция за комуникация;</w:t>
      </w:r>
    </w:p>
    <w:p w14:paraId="7E2CE843" w14:textId="77777777" w:rsidR="006F1D59" w:rsidRPr="00D80D93" w:rsidRDefault="006F1D59" w:rsidP="007B02CB">
      <w:pPr>
        <w:widowControl/>
        <w:ind w:left="567" w:hanging="567"/>
        <w:rPr>
          <w:color w:val="000000"/>
        </w:rPr>
      </w:pPr>
    </w:p>
    <w:p w14:paraId="1BD75E75" w14:textId="77777777" w:rsidR="006F1D59" w:rsidRPr="00D80D93" w:rsidRDefault="006F1D59" w:rsidP="007B02CB">
      <w:pPr>
        <w:widowControl/>
        <w:spacing w:after="240"/>
        <w:ind w:left="567" w:hanging="567"/>
        <w:rPr>
          <w:color w:val="000000"/>
        </w:rPr>
      </w:pPr>
      <w:r w:rsidRPr="00D80D93">
        <w:rPr>
          <w:color w:val="000000"/>
        </w:rPr>
        <w:t>24.</w:t>
      </w:r>
      <w:r w:rsidRPr="00D80D93">
        <w:rPr>
          <w:color w:val="000000"/>
        </w:rPr>
        <w:tab/>
        <w:t xml:space="preserve">отбелязва със загриженост вътрешните правила, уреждащи групите посетители на членовете на ЕП, в резултат на които при определени обстоятелства 30% от първоначалните разходи трябва да бъдат поети от акредитираните парламентарни сътрудници (АПС); подчертава неприложимостта на тези правила на практика и финансовата тежест, която това създава за акредитираните парламентарни сътрудници; отбелязва предоставените от генералния секретар отговори на бюджетната прогноза за приходите и разходите на Парламента за финансовата 2024 година по отношение на обосновката на двуетапния подход; разбира обосновката, но подчертава нарастващите предизвикателства, които това поражда </w:t>
      </w:r>
      <w:r w:rsidRPr="00D80D93">
        <w:rPr>
          <w:color w:val="000000"/>
        </w:rPr>
        <w:lastRenderedPageBreak/>
        <w:t>за акредитираните парламентарни сътрудници, особено с продължаващото преминаване към по-строги правила;</w:t>
      </w:r>
    </w:p>
    <w:p w14:paraId="304F7BC2" w14:textId="77777777" w:rsidR="006F1D59" w:rsidRPr="00D80D93" w:rsidRDefault="006F1D59" w:rsidP="007B02CB">
      <w:pPr>
        <w:widowControl/>
        <w:spacing w:after="240"/>
        <w:ind w:left="567" w:hanging="567"/>
        <w:rPr>
          <w:color w:val="000000"/>
        </w:rPr>
      </w:pPr>
      <w:r w:rsidRPr="00D80D93">
        <w:rPr>
          <w:color w:val="000000"/>
        </w:rPr>
        <w:t>25.</w:t>
      </w:r>
      <w:r w:rsidRPr="00D80D93">
        <w:rPr>
          <w:color w:val="000000"/>
        </w:rPr>
        <w:tab/>
        <w:t>подчертава усложнената комуникационна среда и множеството начини, по които следва да се осъществява политическата комуникация, включително чрез участие в различни платформи на социалните медии и други медии; подчертава необходимостта политическите групи да изразяват и предават посланието си във всички държави членки като ключов принцип за една добре функционираща европейска демокрация;</w:t>
      </w:r>
    </w:p>
    <w:p w14:paraId="744B7F5D" w14:textId="77777777" w:rsidR="006F1D59" w:rsidRPr="00D80D93" w:rsidRDefault="006F1D59" w:rsidP="007B02CB">
      <w:pPr>
        <w:ind w:left="567" w:hanging="567"/>
        <w:rPr>
          <w:b/>
          <w:i/>
          <w:color w:val="000000"/>
        </w:rPr>
      </w:pPr>
      <w:r w:rsidRPr="00D80D93">
        <w:rPr>
          <w:b/>
          <w:i/>
          <w:color w:val="000000"/>
        </w:rPr>
        <w:t>Инфраструктура</w:t>
      </w:r>
    </w:p>
    <w:p w14:paraId="0F621457" w14:textId="77777777" w:rsidR="006F1D59" w:rsidRPr="00D80D93" w:rsidRDefault="006F1D59" w:rsidP="007B02CB">
      <w:pPr>
        <w:widowControl/>
        <w:ind w:left="567" w:hanging="567"/>
        <w:rPr>
          <w:color w:val="000000"/>
        </w:rPr>
      </w:pPr>
      <w:r w:rsidRPr="00D80D93">
        <w:rPr>
          <w:color w:val="000000"/>
        </w:rPr>
        <w:t xml:space="preserve"> </w:t>
      </w:r>
    </w:p>
    <w:p w14:paraId="40B30354" w14:textId="77777777" w:rsidR="006F1D59" w:rsidRPr="00D80D93" w:rsidRDefault="006F1D59" w:rsidP="007B02CB">
      <w:pPr>
        <w:widowControl/>
        <w:ind w:left="567" w:hanging="567"/>
        <w:rPr>
          <w:color w:val="000000"/>
        </w:rPr>
      </w:pPr>
      <w:r w:rsidRPr="00D80D93">
        <w:rPr>
          <w:color w:val="000000"/>
        </w:rPr>
        <w:t>26.</w:t>
      </w:r>
      <w:r w:rsidRPr="00D80D93">
        <w:rPr>
          <w:color w:val="000000"/>
        </w:rPr>
        <w:tab/>
        <w:t>отбелязва новия подход по отношение на сградите, при който след периода на придобиване Парламентът навлезе в период на консолидация на сградния фонд, при която се вземат предвид устойчивостта, достъпността и мобилността на членовете и служителите на ЕП;</w:t>
      </w:r>
    </w:p>
    <w:p w14:paraId="2E93906C" w14:textId="77777777" w:rsidR="006F1D59" w:rsidRPr="00D80D93" w:rsidRDefault="006F1D59" w:rsidP="007B02CB">
      <w:pPr>
        <w:widowControl/>
        <w:ind w:left="567" w:hanging="567"/>
        <w:rPr>
          <w:color w:val="000000"/>
        </w:rPr>
      </w:pPr>
    </w:p>
    <w:p w14:paraId="6E185014" w14:textId="77777777" w:rsidR="006F1D59" w:rsidRPr="00D80D93" w:rsidRDefault="006F1D59" w:rsidP="007B02CB">
      <w:pPr>
        <w:widowControl/>
        <w:ind w:left="567" w:hanging="567"/>
        <w:rPr>
          <w:color w:val="000000"/>
        </w:rPr>
      </w:pPr>
      <w:r w:rsidRPr="00D80D93">
        <w:rPr>
          <w:color w:val="000000"/>
        </w:rPr>
        <w:t>27.</w:t>
      </w:r>
      <w:r w:rsidRPr="00D80D93">
        <w:rPr>
          <w:color w:val="000000"/>
        </w:rPr>
        <w:tab/>
        <w:t>отбелязва, че в бюджетната прогноза за 2026 г. са включени 4 милиона евро за проучвания и подготвителни работи на изпълнителя във връзка с обновяването на сградата „СПАК“, а общите разходи се оценяват на 36 милиона евро; следователно отбелязва, че в бюджетната прогноза за 2026 г. не са включени разходите за обновяването на сградата „СПАК“ в размер на 32 милиона евро; отбелязва, че генералният секретар възнамерява да покрие тези разходи чрез сборен трансфер или чрез ползването на заем; изисква от генералния секретар да предостави на комисията по бюджети възможно най-скоро подробна информация за евентуалния заем за покриване на тези разходи, в съответствие с член 272, параграф 6 от Финансовия регламент, както и пълното планиране на строителните работи, включително планирането на разходите; настоява разходите, които не са пряко свързани със строителните работи във връзка с обновяването, да бъдат ясно посочени и включени в бюджета; отбелязва, че към декември 2024 г. преките разходи за проекта „СПАК“ възлизаха на 14,12 милиона евро;</w:t>
      </w:r>
    </w:p>
    <w:p w14:paraId="35C50F18" w14:textId="77777777" w:rsidR="006F1D59" w:rsidRPr="00D80D93" w:rsidRDefault="006F1D59" w:rsidP="007B02CB">
      <w:pPr>
        <w:widowControl/>
        <w:ind w:left="567" w:hanging="567"/>
        <w:rPr>
          <w:color w:val="000000"/>
        </w:rPr>
      </w:pPr>
    </w:p>
    <w:p w14:paraId="63E0E10F" w14:textId="77777777" w:rsidR="006F1D59" w:rsidRPr="00D80D93" w:rsidRDefault="006F1D59" w:rsidP="007B02CB">
      <w:pPr>
        <w:widowControl/>
        <w:ind w:left="567" w:hanging="567"/>
        <w:rPr>
          <w:color w:val="000000"/>
        </w:rPr>
      </w:pPr>
      <w:r w:rsidRPr="00D80D93">
        <w:rPr>
          <w:color w:val="000000"/>
        </w:rPr>
        <w:t>28.</w:t>
      </w:r>
      <w:r w:rsidRPr="00D80D93">
        <w:rPr>
          <w:color w:val="000000"/>
        </w:rPr>
        <w:tab/>
        <w:t xml:space="preserve">приветства пилотния проект на Генералната дирекция за инфраструктури и логистика за премахване на </w:t>
      </w:r>
      <w:proofErr w:type="spellStart"/>
      <w:r w:rsidRPr="00D80D93">
        <w:rPr>
          <w:color w:val="000000"/>
        </w:rPr>
        <w:t>легионелата</w:t>
      </w:r>
      <w:proofErr w:type="spellEnd"/>
      <w:r w:rsidRPr="00D80D93">
        <w:rPr>
          <w:color w:val="000000"/>
        </w:rPr>
        <w:t xml:space="preserve"> от тръбопроводната санитарна система на Парламента и подчертава, че единственият ефективен начин за борба с по-нататъшното разпространение на </w:t>
      </w:r>
      <w:proofErr w:type="spellStart"/>
      <w:r w:rsidRPr="00D80D93">
        <w:rPr>
          <w:color w:val="000000"/>
        </w:rPr>
        <w:t>легионела</w:t>
      </w:r>
      <w:proofErr w:type="spellEnd"/>
      <w:r w:rsidRPr="00D80D93">
        <w:rPr>
          <w:color w:val="000000"/>
        </w:rPr>
        <w:t xml:space="preserve"> е температурата на водата в тръбопроводите да се повиши до 55 градуса по Целзий за ограничен период от време;</w:t>
      </w:r>
    </w:p>
    <w:p w14:paraId="4526F861" w14:textId="77777777" w:rsidR="006F1D59" w:rsidRPr="00D80D93" w:rsidRDefault="006F1D59" w:rsidP="007B02CB">
      <w:pPr>
        <w:widowControl/>
        <w:ind w:left="567" w:hanging="567"/>
        <w:rPr>
          <w:color w:val="000000"/>
        </w:rPr>
      </w:pPr>
      <w:bookmarkStart w:id="8" w:name="_heading=h.30j0zll"/>
      <w:bookmarkEnd w:id="8"/>
    </w:p>
    <w:p w14:paraId="03138BB7" w14:textId="77777777" w:rsidR="006F1D59" w:rsidRPr="00D80D93" w:rsidRDefault="006F1D59" w:rsidP="007B02CB">
      <w:pPr>
        <w:widowControl/>
        <w:ind w:left="567" w:hanging="567"/>
        <w:rPr>
          <w:color w:val="000000"/>
        </w:rPr>
      </w:pPr>
      <w:r w:rsidRPr="00D80D93">
        <w:rPr>
          <w:color w:val="000000"/>
        </w:rPr>
        <w:t>29.</w:t>
      </w:r>
      <w:r w:rsidRPr="00D80D93">
        <w:rPr>
          <w:color w:val="000000"/>
        </w:rPr>
        <w:tab/>
        <w:t>отбелязва, че през 2026 г. се планира да бъдат инвестирани 11,45 милиона евро в центровете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отбелязва решението на Бюрото през ноември 2024 г. да преразгледа концепцията за центровете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и очаква преразгледаната концепция да бъде по-ефективна от гледна точка на разходите и по-привлекателна за посетителите; изразява съжаление, че все още няма центрове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в Букурещ, Рига, Мадрид, Лисабон, Никозия, Валета или Вилнюс; призовава за създаването на центрове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във всички държави членки веднага след изготвянето на преразгледана концепция; припомня, че центровете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следва да дават възможност на гражданите да разберат по-добре функционирането на Съюза и да научат за нашите споделени ценности; поради това отново заявява, че центровете „</w:t>
      </w:r>
      <w:proofErr w:type="spellStart"/>
      <w:r w:rsidRPr="00D80D93">
        <w:rPr>
          <w:color w:val="000000"/>
        </w:rPr>
        <w:t>Europa</w:t>
      </w:r>
      <w:proofErr w:type="spellEnd"/>
      <w:r w:rsidRPr="00D80D93">
        <w:rPr>
          <w:color w:val="000000"/>
        </w:rPr>
        <w:t xml:space="preserve"> </w:t>
      </w:r>
      <w:proofErr w:type="spellStart"/>
      <w:r w:rsidRPr="00D80D93">
        <w:rPr>
          <w:color w:val="000000"/>
        </w:rPr>
        <w:t>Experience</w:t>
      </w:r>
      <w:proofErr w:type="spellEnd"/>
      <w:r w:rsidRPr="00D80D93">
        <w:rPr>
          <w:color w:val="000000"/>
        </w:rPr>
        <w:t xml:space="preserve">“ са </w:t>
      </w:r>
      <w:r w:rsidRPr="00D80D93">
        <w:rPr>
          <w:color w:val="000000"/>
        </w:rPr>
        <w:lastRenderedPageBreak/>
        <w:t>неразделна част от поддържането на непрекъснат контакт от страна на Парламента с гражданите на Съюза;</w:t>
      </w:r>
    </w:p>
    <w:p w14:paraId="1FE3A33B" w14:textId="77777777" w:rsidR="006F1D59" w:rsidRPr="00D80D93" w:rsidRDefault="006F1D59" w:rsidP="007B02CB">
      <w:pPr>
        <w:widowControl/>
        <w:ind w:left="567" w:hanging="567"/>
        <w:rPr>
          <w:color w:val="000000"/>
        </w:rPr>
      </w:pPr>
    </w:p>
    <w:p w14:paraId="7AF9C74E" w14:textId="77777777" w:rsidR="006F1D59" w:rsidRPr="00D80D93" w:rsidRDefault="006F1D59" w:rsidP="007B02CB">
      <w:pPr>
        <w:widowControl/>
        <w:ind w:left="567" w:hanging="567"/>
        <w:rPr>
          <w:color w:val="000000"/>
        </w:rPr>
      </w:pPr>
      <w:r w:rsidRPr="00D80D93">
        <w:rPr>
          <w:color w:val="000000"/>
        </w:rPr>
        <w:t>30.</w:t>
      </w:r>
      <w:r w:rsidRPr="00D80D93">
        <w:rPr>
          <w:color w:val="000000"/>
        </w:rPr>
        <w:tab/>
        <w:t>отбелязва, че не е необходимо допълнително финансиране за откриването на бюра на Парламента в Молдова и Западните Балкани, тъй като те ще бъдат създадени в сградите на ЕСВД; подчертава значението на присъствието на Парламента в тези държави, като знак за европейска солидарност и като знак за ангажираност на Парламента по отношение на процеса на присъединяване;</w:t>
      </w:r>
    </w:p>
    <w:p w14:paraId="5B5FE702" w14:textId="77777777" w:rsidR="006F1D59" w:rsidRPr="00D80D93" w:rsidRDefault="006F1D59" w:rsidP="007B02CB">
      <w:pPr>
        <w:widowControl/>
        <w:ind w:left="567" w:hanging="567"/>
        <w:rPr>
          <w:color w:val="000000"/>
        </w:rPr>
      </w:pPr>
    </w:p>
    <w:p w14:paraId="092E1252" w14:textId="77777777" w:rsidR="006F1D59" w:rsidRPr="00D80D93" w:rsidRDefault="006F1D59" w:rsidP="007B02CB">
      <w:pPr>
        <w:widowControl/>
        <w:ind w:left="567" w:hanging="567"/>
        <w:rPr>
          <w:color w:val="000000"/>
        </w:rPr>
      </w:pPr>
      <w:r w:rsidRPr="00D80D93">
        <w:rPr>
          <w:color w:val="000000"/>
        </w:rPr>
        <w:t>31.</w:t>
      </w:r>
      <w:r w:rsidRPr="00D80D93">
        <w:rPr>
          <w:color w:val="000000"/>
        </w:rPr>
        <w:tab/>
        <w:t>отбелязва предсрочното прекратяване на договора с предишния доставчик на детската ясла „</w:t>
      </w:r>
      <w:proofErr w:type="spellStart"/>
      <w:r w:rsidRPr="00D80D93">
        <w:rPr>
          <w:color w:val="000000"/>
        </w:rPr>
        <w:t>Вайенберг</w:t>
      </w:r>
      <w:proofErr w:type="spellEnd"/>
      <w:r w:rsidRPr="00D80D93">
        <w:rPr>
          <w:color w:val="000000"/>
        </w:rPr>
        <w:t>“, след редица сериозни обвинения срещу изпълнителя; приветства споразумението с нов доставчик, което предвижда по-добри условия на труд за персонала на детската градина и по-добро качество на услугите за децата; признава обаче, че това води до увеличение на бюджета, необходим за целта, но подчертава, че осигуряването на достойни условия на труд за външния персонал следва, по целесъобразност, да бъде принципно приоритетно съображение при възлагането на обществени поръчки от Парламента;</w:t>
      </w:r>
    </w:p>
    <w:p w14:paraId="4781780E" w14:textId="77777777" w:rsidR="006F1D59" w:rsidRPr="00D80D93" w:rsidRDefault="006F1D59" w:rsidP="007B02CB">
      <w:pPr>
        <w:widowControl/>
        <w:ind w:left="567" w:hanging="567"/>
        <w:rPr>
          <w:color w:val="000000"/>
        </w:rPr>
      </w:pPr>
    </w:p>
    <w:p w14:paraId="4CE787A1" w14:textId="77777777" w:rsidR="006F1D59" w:rsidRPr="00D80D93" w:rsidRDefault="006F1D59" w:rsidP="007B02CB">
      <w:pPr>
        <w:widowControl/>
        <w:spacing w:after="240"/>
        <w:ind w:left="567" w:hanging="567"/>
        <w:rPr>
          <w:color w:val="000000"/>
        </w:rPr>
      </w:pPr>
      <w:r w:rsidRPr="00D80D93">
        <w:rPr>
          <w:color w:val="000000"/>
        </w:rPr>
        <w:t>32.</w:t>
      </w:r>
      <w:r w:rsidRPr="00D80D93">
        <w:rPr>
          <w:color w:val="000000"/>
        </w:rPr>
        <w:tab/>
        <w:t>отново подчертава необходимостта от висококачествени стаи за кърмене в сградите на Парламента и призовава компетентните служби да модернизират съществуващите съоръжения от гледна точка на оборудването, пространството и достъпността, за да ги пригодят за деца; призовава за изготвянето на оценка на въздействието относно необходимостта от обособяване на семейна стая в помещенията на седалището на Парламента в Брюксел за децата на членовете на ЕП без постоянно пребиваване в Брюксел, по подобие на осигурените условия в Страсбург;</w:t>
      </w:r>
    </w:p>
    <w:p w14:paraId="694AFD75" w14:textId="77777777" w:rsidR="006F1D59" w:rsidRPr="00D80D93" w:rsidRDefault="006F1D59" w:rsidP="007B02CB">
      <w:pPr>
        <w:spacing w:after="240"/>
        <w:ind w:left="567" w:hanging="567"/>
        <w:rPr>
          <w:b/>
          <w:i/>
          <w:color w:val="000000"/>
        </w:rPr>
      </w:pPr>
      <w:r w:rsidRPr="00D80D93">
        <w:rPr>
          <w:b/>
          <w:i/>
          <w:color w:val="000000"/>
        </w:rPr>
        <w:t>Други</w:t>
      </w:r>
    </w:p>
    <w:p w14:paraId="7CEA66C3" w14:textId="77777777" w:rsidR="006F1D59" w:rsidRPr="00D80D93" w:rsidRDefault="006F1D59" w:rsidP="007B02CB">
      <w:pPr>
        <w:spacing w:after="240"/>
        <w:ind w:left="567" w:hanging="567"/>
        <w:rPr>
          <w:color w:val="000000"/>
        </w:rPr>
      </w:pPr>
      <w:r w:rsidRPr="00D80D93">
        <w:rPr>
          <w:color w:val="000000"/>
        </w:rPr>
        <w:t>33.</w:t>
      </w:r>
      <w:r w:rsidRPr="00D80D93">
        <w:rPr>
          <w:color w:val="000000"/>
        </w:rPr>
        <w:tab/>
        <w:t>отново отправя своето искане, прието неколкократно на равнище пленарно заседание, съответните органи да обмислят решение, което да позволява на членовете на ЕП да упражняват правото си на дистанционно гласуване при ползването на отпуск по майчинство или бащинство и по време на удостоверено продължително заболяване, като се използва опитът, придобит по време на пандемията във връзка с техническите аспекти на този метод за гласуване;</w:t>
      </w:r>
    </w:p>
    <w:p w14:paraId="4775514F" w14:textId="77777777" w:rsidR="006F1D59" w:rsidRPr="00D80D93" w:rsidRDefault="006F1D59" w:rsidP="007B02CB">
      <w:pPr>
        <w:spacing w:after="240"/>
        <w:ind w:left="567" w:hanging="567"/>
        <w:rPr>
          <w:color w:val="000000"/>
        </w:rPr>
      </w:pPr>
      <w:r w:rsidRPr="00D80D93">
        <w:rPr>
          <w:color w:val="000000"/>
        </w:rPr>
        <w:t>34.</w:t>
      </w:r>
      <w:r w:rsidRPr="00D80D93">
        <w:rPr>
          <w:color w:val="000000"/>
        </w:rPr>
        <w:tab/>
        <w:t>отново призовава генералния секретар да подчертае основния принцип, според който всички назначения следва да се основават на компетентността, като същевременно се гарантира географският баланс между всички държави членки на всяко равнище на персонала; призовава Парламента да повиши капацитета си за достигане до хората с цел да привлича в конкурсите за работа компетентни кандидати, от които Парламентът се нуждае от гледна точка на техния профил, възраст, пол и националност, и по-специално да привлича представители от слабо представените държави; подчертава, че постигането на справедливо географско представителство е от съществено значение за насърчаването на истинска европейска публична служба; отбелязва, че Парламентът е предприемал последователно мерки в подкрепа на тази цел, включително организирането на конкурси за лица от определени националности, същевременно поддържайки строг подход за основан на заслугите подбор;</w:t>
      </w:r>
    </w:p>
    <w:p w14:paraId="7ABD10F2" w14:textId="77777777" w:rsidR="006F1D59" w:rsidRPr="00D80D93" w:rsidRDefault="006F1D59" w:rsidP="007B02CB">
      <w:pPr>
        <w:ind w:left="567" w:hanging="567"/>
        <w:rPr>
          <w:color w:val="000000"/>
        </w:rPr>
      </w:pPr>
      <w:r w:rsidRPr="00D80D93">
        <w:rPr>
          <w:color w:val="000000"/>
        </w:rPr>
        <w:t>35.</w:t>
      </w:r>
      <w:r w:rsidRPr="00D80D93">
        <w:rPr>
          <w:color w:val="000000"/>
        </w:rPr>
        <w:tab/>
        <w:t xml:space="preserve">счита, че Парламентът следва да дава пример във връзка с правата на хората с </w:t>
      </w:r>
      <w:r w:rsidRPr="00D80D93">
        <w:rPr>
          <w:color w:val="000000"/>
        </w:rPr>
        <w:lastRenderedPageBreak/>
        <w:t>увреждания, като работодател и като публична институция; приветства политиката на Парламента, насочена към гарантиране на напълно самостоятелно ползване на сградите на Парламента от страна на хората с увреждания, и подкрепя допълнителните мерки и приспособления, които ще са необходими в това отношение; отбелязва, че в бюджета са предвидени 3,7 милиона евро за тази цел;</w:t>
      </w:r>
    </w:p>
    <w:p w14:paraId="42401E88" w14:textId="77777777" w:rsidR="006F1D59" w:rsidRPr="00D80D93" w:rsidRDefault="006F1D59" w:rsidP="007B02CB">
      <w:pPr>
        <w:ind w:left="567" w:hanging="567"/>
        <w:rPr>
          <w:color w:val="000000"/>
        </w:rPr>
      </w:pPr>
    </w:p>
    <w:p w14:paraId="30E022BF" w14:textId="77777777" w:rsidR="006F1D59" w:rsidRPr="00D80D93" w:rsidRDefault="006F1D59" w:rsidP="007B02CB">
      <w:pPr>
        <w:ind w:left="567" w:hanging="567"/>
        <w:rPr>
          <w:color w:val="000000"/>
        </w:rPr>
      </w:pPr>
      <w:r w:rsidRPr="00D80D93">
        <w:rPr>
          <w:color w:val="000000"/>
        </w:rPr>
        <w:t>36.</w:t>
      </w:r>
      <w:r w:rsidRPr="00D80D93">
        <w:rPr>
          <w:color w:val="000000"/>
        </w:rPr>
        <w:tab/>
        <w:t>подчертава факта, че финансовите и екологичните разходи биха могли да намалеят, ако Парламентът има едно седалище; припомня, че съгласно Договора за Европейския съюз седалището на Парламента е в Страсбург; отбелязва, че въвеждането на постоянни промени ще изиска изменение на Договора, за което е необходимо единодушие;</w:t>
      </w:r>
    </w:p>
    <w:p w14:paraId="21A1BCF9" w14:textId="77777777" w:rsidR="006F1D59" w:rsidRPr="00D80D93" w:rsidRDefault="006F1D59" w:rsidP="007B02CB">
      <w:pPr>
        <w:ind w:left="567" w:hanging="567"/>
        <w:rPr>
          <w:color w:val="000000"/>
        </w:rPr>
      </w:pPr>
    </w:p>
    <w:p w14:paraId="54DB7027" w14:textId="77777777" w:rsidR="006F1D59" w:rsidRPr="00D80D93" w:rsidRDefault="006F1D59" w:rsidP="007B02CB">
      <w:pPr>
        <w:ind w:left="567" w:hanging="567"/>
        <w:rPr>
          <w:color w:val="000000"/>
        </w:rPr>
      </w:pPr>
      <w:r w:rsidRPr="00D80D93">
        <w:t>37.</w:t>
      </w:r>
      <w:r w:rsidRPr="00D80D93">
        <w:tab/>
      </w:r>
      <w:r w:rsidRPr="00D80D93">
        <w:rPr>
          <w:color w:val="000000"/>
        </w:rPr>
        <w:t xml:space="preserve">отбелязва, че в бюджета на Парламента командировъчните разходи на членовете и служителите на ЕП възлизат на 116 милиона евро; призовава органите на Парламента да обмислят практиките за организиране на командировките и да преразгледат правилата и практиките за командировките, с общата цел да продължи да се подобрява естеството на командировките и допълнително да се намалят свързаните с тях финансови и екологични разходи; </w:t>
      </w:r>
      <w:r w:rsidRPr="00D80D93">
        <w:t>насърчава членовете на ЕП да използват нисковъглеродни транспортни алтернативи и се застъпва за отговорното и премерено използване на най-изгодните варианти за полети и за отдаването на предпочитание на пътуването с влак, когато това е приложим вариант;</w:t>
      </w:r>
    </w:p>
    <w:p w14:paraId="016A5DE4" w14:textId="77777777" w:rsidR="006F1D59" w:rsidRPr="00D80D93" w:rsidRDefault="006F1D59" w:rsidP="007B02CB">
      <w:pPr>
        <w:ind w:left="567" w:hanging="567"/>
        <w:rPr>
          <w:color w:val="000000"/>
        </w:rPr>
      </w:pPr>
    </w:p>
    <w:p w14:paraId="68A09F82" w14:textId="77777777" w:rsidR="006F1D59" w:rsidRPr="00D80D93" w:rsidRDefault="006F1D59" w:rsidP="007B02CB">
      <w:pPr>
        <w:ind w:left="567" w:hanging="567"/>
        <w:rPr>
          <w:color w:val="000000"/>
        </w:rPr>
      </w:pPr>
      <w:r w:rsidRPr="00D80D93">
        <w:rPr>
          <w:color w:val="000000"/>
        </w:rPr>
        <w:t>38.</w:t>
      </w:r>
      <w:r w:rsidRPr="00D80D93">
        <w:rPr>
          <w:color w:val="000000"/>
        </w:rPr>
        <w:tab/>
        <w:t>отбелязва, че член 46, параграф 2 от Мерките по прилагане на Устава на членовете на Европейския парламент предвижда възможността за финансиране на допълнителните разходи, свързани с бюджетите за парламентарни сътрудници, с бюджетни кредити от тяхната надбавка за общи разходи; призовава администрацията на Парламента да предприеме необходимите мерки, за да даде възможност на членовете на ЕП, които желаят това, да използват своите надбавки за общи разходи за покриване на разходите за командировки на акредитираните парламентарни сътрудници; подчертава, че подобна мярка би решила проблема с нарастващите разходи в кабинетите на членовете на ЕП, като същевременно би била неутрална по отношение на бюджета;</w:t>
      </w:r>
    </w:p>
    <w:p w14:paraId="75143A75" w14:textId="77777777" w:rsidR="006F1D59" w:rsidRPr="00D80D93" w:rsidRDefault="006F1D59" w:rsidP="007B02CB">
      <w:pPr>
        <w:ind w:left="567" w:hanging="567"/>
        <w:rPr>
          <w:color w:val="000000"/>
        </w:rPr>
      </w:pPr>
    </w:p>
    <w:p w14:paraId="241385F4" w14:textId="77777777" w:rsidR="006F1D59" w:rsidRPr="00D80D93" w:rsidRDefault="006F1D59" w:rsidP="007B02CB">
      <w:pPr>
        <w:ind w:left="567" w:hanging="567"/>
        <w:rPr>
          <w:color w:val="000000"/>
        </w:rPr>
      </w:pPr>
      <w:r w:rsidRPr="00D80D93">
        <w:rPr>
          <w:color w:val="000000"/>
        </w:rPr>
        <w:t>39.</w:t>
      </w:r>
      <w:r w:rsidRPr="00D80D93">
        <w:rPr>
          <w:color w:val="000000"/>
        </w:rPr>
        <w:tab/>
        <w:t>призовава Бюрото да не индексира надбавката за общи разходи и да не предоставя надбавка за общи разходи на бившите членове на ЕП, което ще позволи да се реализират значителни икономии при нормативно установените разходи;</w:t>
      </w:r>
    </w:p>
    <w:p w14:paraId="1C06A767" w14:textId="77777777" w:rsidR="006F1D59" w:rsidRPr="00F1793A" w:rsidRDefault="00F1793A" w:rsidP="00AD6509">
      <w:pPr>
        <w:spacing w:before="120" w:after="120"/>
        <w:ind w:left="567" w:hanging="567"/>
        <w:rPr>
          <w:color w:val="000000"/>
        </w:rPr>
      </w:pPr>
      <w:r w:rsidRPr="00AD6509">
        <w:rPr>
          <w:color w:val="000000"/>
        </w:rPr>
        <w:t>40.</w:t>
      </w:r>
      <w:r w:rsidRPr="00AD6509">
        <w:rPr>
          <w:color w:val="000000"/>
        </w:rPr>
        <w:tab/>
        <w:t>призовава Бюрото да преразгледа правилата и да въведе период на изчакване за бившите членове на ЕП, през който те да не могат да участват в лобистки или представителни дейности във връзка с Парламента, равен на времето, през което те получават временно обезщетение в края на мандата;</w:t>
      </w:r>
    </w:p>
    <w:p w14:paraId="4650D204" w14:textId="77777777" w:rsidR="006F1D59" w:rsidRPr="00D80D93" w:rsidRDefault="006F1D59" w:rsidP="00F1793A">
      <w:pPr>
        <w:spacing w:after="240"/>
        <w:ind w:left="567" w:hanging="567"/>
        <w:rPr>
          <w:color w:val="000000"/>
        </w:rPr>
      </w:pPr>
      <w:r w:rsidRPr="00D80D93">
        <w:rPr>
          <w:color w:val="000000"/>
        </w:rPr>
        <w:t>4</w:t>
      </w:r>
      <w:r w:rsidR="00F1793A">
        <w:rPr>
          <w:color w:val="000000"/>
          <w:lang w:val="en-GB"/>
        </w:rPr>
        <w:t>1</w:t>
      </w:r>
      <w:r w:rsidRPr="00D80D93">
        <w:rPr>
          <w:color w:val="000000"/>
        </w:rPr>
        <w:t>.</w:t>
      </w:r>
      <w:r w:rsidRPr="00D80D93">
        <w:rPr>
          <w:color w:val="000000"/>
        </w:rPr>
        <w:tab/>
      </w:r>
      <w:r w:rsidR="00F1793A" w:rsidRPr="00F1793A">
        <w:rPr>
          <w:color w:val="000000"/>
        </w:rPr>
        <w:t>припомня, че от 2018 г. насам Парламентът неизменно гласува на пленарно заседание за това да се обмисли отмяна на общата забрана за участие на акредитираните парламентарни сътрудници в официални делегации и командировки; изразяв</w:t>
      </w:r>
      <w:r w:rsidR="00F1793A">
        <w:rPr>
          <w:color w:val="000000"/>
        </w:rPr>
        <w:t>а съжаление за това, че</w:t>
      </w:r>
      <w:r w:rsidRPr="00D80D93">
        <w:rPr>
          <w:color w:val="000000"/>
        </w:rPr>
        <w:t xml:space="preserve"> решенията на Председателския съвет от март 2025 г. относно разпоредбите за прилагане, уреждащи командировките извън трите места на работа на Европейския парламент</w:t>
      </w:r>
      <w:r w:rsidR="00F1793A" w:rsidRPr="00F1793A">
        <w:rPr>
          <w:color w:val="000000"/>
        </w:rPr>
        <w:t xml:space="preserve">, не са съгласувани с призива, отправен на пленарното заседание; поддържа позицията </w:t>
      </w:r>
      <w:r w:rsidR="00F1793A" w:rsidRPr="00F1793A">
        <w:rPr>
          <w:color w:val="000000"/>
        </w:rPr>
        <w:lastRenderedPageBreak/>
        <w:t>си, че на акредитираните парламентарни сътрудници следва да се разреши, при определени условия, да придружават членовете на ЕП при посещения на официални делегации и командировки; призовава компетентните органи да изменят незабавно съответните членове от техния вътрешен правилник, за да се разреши участието на акредитираните парламентарни сътрудници в официални командировки и делегации извън трите места на работа на Парламента;</w:t>
      </w:r>
    </w:p>
    <w:p w14:paraId="2595B4C1" w14:textId="77777777" w:rsidR="006F1D59" w:rsidRPr="00D80D93" w:rsidRDefault="006F1D59" w:rsidP="007B02CB">
      <w:pPr>
        <w:spacing w:after="240"/>
        <w:ind w:left="567" w:hanging="567"/>
        <w:rPr>
          <w:color w:val="000000"/>
        </w:rPr>
      </w:pPr>
      <w:r w:rsidRPr="00D80D93">
        <w:rPr>
          <w:color w:val="000000"/>
        </w:rPr>
        <w:t>4</w:t>
      </w:r>
      <w:r w:rsidR="00F1793A">
        <w:rPr>
          <w:color w:val="000000"/>
          <w:lang w:val="en-GB"/>
        </w:rPr>
        <w:t>2</w:t>
      </w:r>
      <w:r w:rsidRPr="00D80D93">
        <w:rPr>
          <w:color w:val="000000"/>
        </w:rPr>
        <w:t>.</w:t>
      </w:r>
      <w:r w:rsidRPr="00D80D93">
        <w:rPr>
          <w:color w:val="000000"/>
        </w:rPr>
        <w:tab/>
        <w:t>приветства работата на Комитета на акредитираните парламентарни сътрудници, който представлява около 2 000 акредитирани парламентарни сътрудници, чиято работа е от решаващо значение за гладкото протичане на ежедневните дейности на членовете на ЕП; отбелязва заделянето на 10 000 EUR, за да може Комитетът на акредитираните парламентарни сътрудници да изпълнява ролята си и да осигури достатъчно ресурси за ефективна подкрепа и подходящо представителство на акредитираните парламентарни сътрудници;</w:t>
      </w:r>
    </w:p>
    <w:p w14:paraId="7B4406A8" w14:textId="77777777" w:rsidR="006F1D59" w:rsidRPr="00D80D93" w:rsidRDefault="006F1D59" w:rsidP="007B02CB">
      <w:pPr>
        <w:widowControl/>
        <w:spacing w:after="240"/>
        <w:ind w:left="567" w:hanging="567"/>
        <w:rPr>
          <w:color w:val="000000"/>
        </w:rPr>
      </w:pPr>
      <w:r w:rsidRPr="00D80D93">
        <w:rPr>
          <w:color w:val="000000"/>
        </w:rPr>
        <w:t>4</w:t>
      </w:r>
      <w:r w:rsidR="00F1793A">
        <w:rPr>
          <w:color w:val="000000"/>
          <w:lang w:val="en-GB"/>
        </w:rPr>
        <w:t>3</w:t>
      </w:r>
      <w:r w:rsidRPr="00D80D93">
        <w:rPr>
          <w:color w:val="000000"/>
        </w:rPr>
        <w:t>.</w:t>
      </w:r>
      <w:r w:rsidRPr="00D80D93">
        <w:rPr>
          <w:color w:val="000000"/>
        </w:rPr>
        <w:tab/>
        <w:t>приветства извънредното увеличение с 10% на стипендиите за всички стажанти през 2026 г., като за целта в бюджета за 2026 г. са предвидени 1 милион евро, с цел да се помогне на стажантите да се справят с нарастващите жилищни разходи в Брюксел и Люксембург;</w:t>
      </w:r>
    </w:p>
    <w:p w14:paraId="7BC06439" w14:textId="77777777" w:rsidR="006F1D59" w:rsidRDefault="006F1D59" w:rsidP="007B02CB">
      <w:pPr>
        <w:widowControl/>
        <w:spacing w:after="240"/>
        <w:ind w:left="567" w:hanging="567"/>
        <w:rPr>
          <w:color w:val="000000"/>
        </w:rPr>
      </w:pPr>
      <w:r w:rsidRPr="00D80D93">
        <w:rPr>
          <w:color w:val="000000"/>
        </w:rPr>
        <w:t>4</w:t>
      </w:r>
      <w:r w:rsidR="00F1793A">
        <w:rPr>
          <w:color w:val="000000"/>
          <w:lang w:val="en-GB"/>
        </w:rPr>
        <w:t>4</w:t>
      </w:r>
      <w:r w:rsidRPr="00D80D93">
        <w:rPr>
          <w:color w:val="000000"/>
        </w:rPr>
        <w:t>.</w:t>
      </w:r>
      <w:r w:rsidRPr="00D80D93">
        <w:rPr>
          <w:color w:val="000000"/>
        </w:rPr>
        <w:tab/>
        <w:t>очаква исканията, гласувани на пленарно заседание, да бъдат разглеждани от отговорните органи като въпрос с висок приоритет;</w:t>
      </w:r>
    </w:p>
    <w:p w14:paraId="1ED1CF07" w14:textId="77777777" w:rsidR="007B02CB" w:rsidRDefault="007B02CB" w:rsidP="007B02CB">
      <w:pPr>
        <w:widowControl/>
        <w:spacing w:after="240"/>
        <w:jc w:val="center"/>
        <w:rPr>
          <w:color w:val="000000"/>
        </w:rPr>
      </w:pPr>
      <w:r>
        <w:rPr>
          <w:color w:val="000000"/>
        </w:rPr>
        <w:t>°</w:t>
      </w:r>
    </w:p>
    <w:p w14:paraId="47437FC2" w14:textId="77777777" w:rsidR="00F103C9" w:rsidRDefault="007B02CB" w:rsidP="00F103C9">
      <w:pPr>
        <w:tabs>
          <w:tab w:val="left" w:pos="357"/>
        </w:tabs>
        <w:spacing w:after="240"/>
        <w:ind w:left="567" w:hanging="567"/>
        <w:jc w:val="center"/>
        <w:rPr>
          <w:color w:val="000000"/>
          <w:lang w:val="sl-SI"/>
        </w:rPr>
      </w:pPr>
      <w:r>
        <w:rPr>
          <w:color w:val="000000"/>
        </w:rPr>
        <w:t>°     °</w:t>
      </w:r>
    </w:p>
    <w:p w14:paraId="71FFFDCE" w14:textId="23E29A3B" w:rsidR="006F1D59" w:rsidRPr="00D80D93" w:rsidRDefault="006F1D59" w:rsidP="007B02CB">
      <w:pPr>
        <w:tabs>
          <w:tab w:val="left" w:pos="357"/>
        </w:tabs>
        <w:spacing w:after="240"/>
        <w:ind w:left="567" w:hanging="567"/>
        <w:rPr>
          <w:color w:val="000000"/>
        </w:rPr>
      </w:pPr>
      <w:r w:rsidRPr="00D80D93">
        <w:rPr>
          <w:color w:val="000000"/>
        </w:rPr>
        <w:t>4</w:t>
      </w:r>
      <w:r w:rsidR="00F1793A">
        <w:rPr>
          <w:color w:val="000000"/>
          <w:lang w:val="en-GB"/>
        </w:rPr>
        <w:t>5</w:t>
      </w:r>
      <w:r w:rsidRPr="00D80D93">
        <w:rPr>
          <w:color w:val="000000"/>
        </w:rPr>
        <w:t>.</w:t>
      </w:r>
      <w:r w:rsidRPr="00D80D93">
        <w:rPr>
          <w:color w:val="000000"/>
        </w:rPr>
        <w:tab/>
      </w:r>
      <w:r w:rsidRPr="00D80D93">
        <w:rPr>
          <w:color w:val="000000"/>
        </w:rPr>
        <w:tab/>
        <w:t>приема бюджетната прогноза за финансовата 2026 година;</w:t>
      </w:r>
    </w:p>
    <w:p w14:paraId="04B8C5DF" w14:textId="77777777" w:rsidR="00D80D93" w:rsidRPr="00D80D93" w:rsidRDefault="006F1D59" w:rsidP="007B02CB">
      <w:pPr>
        <w:tabs>
          <w:tab w:val="left" w:pos="357"/>
        </w:tabs>
        <w:spacing w:after="240"/>
        <w:ind w:left="567" w:hanging="567"/>
        <w:rPr>
          <w:sz w:val="28"/>
          <w:lang w:eastAsia="fr-FR"/>
        </w:rPr>
      </w:pPr>
      <w:r w:rsidRPr="00D80D93">
        <w:rPr>
          <w:color w:val="000000"/>
        </w:rPr>
        <w:t>4</w:t>
      </w:r>
      <w:r w:rsidR="00F1793A">
        <w:rPr>
          <w:color w:val="000000"/>
          <w:lang w:val="en-GB"/>
        </w:rPr>
        <w:t>6</w:t>
      </w:r>
      <w:r w:rsidRPr="00D80D93">
        <w:rPr>
          <w:color w:val="000000"/>
        </w:rPr>
        <w:t>.</w:t>
      </w:r>
      <w:r w:rsidRPr="00D80D93">
        <w:rPr>
          <w:color w:val="000000"/>
        </w:rPr>
        <w:tab/>
      </w:r>
      <w:r w:rsidRPr="00D80D93">
        <w:rPr>
          <w:color w:val="000000"/>
        </w:rPr>
        <w:tab/>
        <w:t xml:space="preserve">възлага на своя председател да предаде настоящата резолюция и бюджетната прогноза съответно </w:t>
      </w:r>
      <w:r w:rsidR="00D80D93" w:rsidRPr="00D80D93">
        <w:rPr>
          <w:color w:val="000000"/>
        </w:rPr>
        <w:t>на Съвета и на Комисията.</w:t>
      </w:r>
    </w:p>
    <w:p w14:paraId="3F8B9D35" w14:textId="77777777" w:rsidR="00E365E1" w:rsidRPr="00D80D93" w:rsidRDefault="00E365E1" w:rsidP="007B02CB">
      <w:pPr>
        <w:ind w:left="567" w:hanging="567"/>
        <w:rPr>
          <w:sz w:val="28"/>
          <w:lang w:eastAsia="fr-FR"/>
        </w:rPr>
      </w:pPr>
    </w:p>
    <w:sectPr w:rsidR="00E365E1" w:rsidRPr="00D80D93" w:rsidSect="00D80D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F935E" w14:textId="77777777" w:rsidR="000979C6" w:rsidRPr="00D80D93" w:rsidRDefault="000979C6">
      <w:r w:rsidRPr="00D80D93">
        <w:separator/>
      </w:r>
    </w:p>
  </w:endnote>
  <w:endnote w:type="continuationSeparator" w:id="0">
    <w:p w14:paraId="34C9169C" w14:textId="77777777" w:rsidR="000979C6" w:rsidRPr="00D80D93" w:rsidRDefault="000979C6">
      <w:r w:rsidRPr="00D80D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2F4D" w14:textId="77777777" w:rsidR="00064002" w:rsidRPr="00D80D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1211" w14:textId="77777777" w:rsidR="00064002" w:rsidRPr="00D80D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E33C" w14:textId="77777777" w:rsidR="00064002" w:rsidRPr="00D80D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C98B7" w14:textId="77777777" w:rsidR="000979C6" w:rsidRPr="00D80D93" w:rsidRDefault="000979C6">
      <w:r w:rsidRPr="00D80D93">
        <w:separator/>
      </w:r>
    </w:p>
  </w:footnote>
  <w:footnote w:type="continuationSeparator" w:id="0">
    <w:p w14:paraId="573695C4" w14:textId="77777777" w:rsidR="000979C6" w:rsidRPr="00D80D93" w:rsidRDefault="000979C6">
      <w:r w:rsidRPr="00D80D93">
        <w:continuationSeparator/>
      </w:r>
    </w:p>
  </w:footnote>
  <w:footnote w:id="1">
    <w:p w14:paraId="201942E8"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OВ L 433 I, 22.12.2020 г., стр. 11, ELI: </w:t>
      </w:r>
      <w:hyperlink r:id="rId1" w:history="1">
        <w:r w:rsidRPr="00D80D93">
          <w:rPr>
            <w:rStyle w:val="Hyperlink"/>
          </w:rPr>
          <w:t>http://data.europa.eu/eli/reg/2020/2093/oj</w:t>
        </w:r>
      </w:hyperlink>
      <w:r w:rsidRPr="00D80D93">
        <w:rPr>
          <w:color w:val="000000"/>
        </w:rPr>
        <w:t>.</w:t>
      </w:r>
    </w:p>
  </w:footnote>
  <w:footnote w:id="2">
    <w:p w14:paraId="0428786E"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ОВ C 444 I, 22.12.2020 г., стр. 4.</w:t>
      </w:r>
    </w:p>
  </w:footnote>
  <w:footnote w:id="3">
    <w:p w14:paraId="1FA0C5A4"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ОВ C 445, 29.10.2021 г., стр. 252.</w:t>
      </w:r>
    </w:p>
  </w:footnote>
  <w:footnote w:id="4">
    <w:p w14:paraId="75CAE876" w14:textId="77777777" w:rsidR="006F1D59" w:rsidRPr="00D80D93" w:rsidRDefault="006F1D59" w:rsidP="00D80D93">
      <w:pPr>
        <w:ind w:left="567" w:hanging="567"/>
      </w:pPr>
      <w:r w:rsidRPr="00D80D93">
        <w:rPr>
          <w:rStyle w:val="FootnoteReference"/>
          <w:rFonts w:eastAsiaTheme="majorEastAsia"/>
        </w:rPr>
        <w:footnoteRef/>
      </w:r>
      <w:r w:rsidR="00D80D93" w:rsidRPr="00D80D93">
        <w:t xml:space="preserve"> </w:t>
      </w:r>
      <w:r w:rsidR="00D80D93" w:rsidRPr="00D80D93">
        <w:tab/>
      </w:r>
      <w:r w:rsidRPr="00D80D93">
        <w:t xml:space="preserve">OВ L 325, 20.12.2022 г., стр. 11, ELI: </w:t>
      </w:r>
      <w:hyperlink r:id="rId2" w:history="1">
        <w:r w:rsidRPr="00D80D93">
          <w:rPr>
            <w:rStyle w:val="Hyperlink"/>
          </w:rPr>
          <w:t>http://data.europa.eu/eli/reg/2022/2496/oj</w:t>
        </w:r>
      </w:hyperlink>
      <w:r w:rsidRPr="00D80D93">
        <w:t>.</w:t>
      </w:r>
    </w:p>
  </w:footnote>
  <w:footnote w:id="5">
    <w:p w14:paraId="0444E670" w14:textId="77777777" w:rsidR="006F1D59" w:rsidRPr="00D80D93" w:rsidRDefault="006F1D59" w:rsidP="00D80D93">
      <w:pPr>
        <w:ind w:left="567" w:hanging="567"/>
      </w:pPr>
      <w:r w:rsidRPr="00D80D93">
        <w:rPr>
          <w:rStyle w:val="FootnoteReference"/>
        </w:rPr>
        <w:footnoteRef/>
      </w:r>
      <w:r w:rsidR="00D80D93" w:rsidRPr="00D80D93">
        <w:t xml:space="preserve"> </w:t>
      </w:r>
      <w:r w:rsidR="00D80D93" w:rsidRPr="00D80D93">
        <w:tab/>
      </w:r>
      <w:r w:rsidRPr="00D80D93">
        <w:t xml:space="preserve">ОВ L, 2024/765, 29.2.2024 г., ELI: </w:t>
      </w:r>
      <w:hyperlink r:id="rId3" w:history="1">
        <w:r w:rsidRPr="00D80D93">
          <w:rPr>
            <w:rStyle w:val="Hyperlink"/>
          </w:rPr>
          <w:t>http://data.europa.eu/eli/reg/2024/765/oj</w:t>
        </w:r>
      </w:hyperlink>
      <w:r w:rsidRPr="00D80D93">
        <w:t>.</w:t>
      </w:r>
    </w:p>
  </w:footnote>
  <w:footnote w:id="6">
    <w:p w14:paraId="62491BFF"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ОВ С 445, 29.10.2021 г., стр. 240.</w:t>
      </w:r>
    </w:p>
  </w:footnote>
  <w:footnote w:id="7">
    <w:p w14:paraId="29C3E027"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ОВ С 177, 17.5.2023 г., стр. 115.</w:t>
      </w:r>
    </w:p>
  </w:footnote>
  <w:footnote w:id="8">
    <w:p w14:paraId="5A7AFBD4"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ОВ C, C/2024/1195, 23.2.2024 г., ELI: </w:t>
      </w:r>
      <w:hyperlink r:id="rId4" w:history="1">
        <w:r w:rsidRPr="00D80D93">
          <w:rPr>
            <w:rStyle w:val="Hyperlink"/>
          </w:rPr>
          <w:t>http://data.europa.eu/eli/C/2024/1195/oj</w:t>
        </w:r>
      </w:hyperlink>
      <w:r w:rsidRPr="00D80D93">
        <w:rPr>
          <w:color w:val="000000"/>
        </w:rPr>
        <w:t>.</w:t>
      </w:r>
    </w:p>
  </w:footnote>
  <w:footnote w:id="9">
    <w:p w14:paraId="3B1BCEAE"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ОВ C, C/2024/6751, 26.11.2024 г., ELI: </w:t>
      </w:r>
      <w:hyperlink r:id="rId5" w:history="1">
        <w:r w:rsidRPr="00D80D93">
          <w:rPr>
            <w:rStyle w:val="Hyperlink"/>
          </w:rPr>
          <w:t>http://data.europa.eu/eli/C/2024/6751/oj</w:t>
        </w:r>
      </w:hyperlink>
      <w:r w:rsidRPr="00D80D93">
        <w:rPr>
          <w:color w:val="000000"/>
        </w:rPr>
        <w:t>.</w:t>
      </w:r>
    </w:p>
  </w:footnote>
  <w:footnote w:id="10">
    <w:p w14:paraId="34D4BACF"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OВ L, 2024/2509, 26.9.2024 г., ELI: </w:t>
      </w:r>
      <w:r w:rsidRPr="00D80D93">
        <w:rPr>
          <w:color w:val="337AB7"/>
          <w:u w:val="single"/>
        </w:rPr>
        <w:t>http://data.europa.eu/eli/reg/2024/2509/oj.</w:t>
      </w:r>
    </w:p>
  </w:footnote>
  <w:footnote w:id="11">
    <w:p w14:paraId="600F699E"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ОВ L 433 I, 22.12.2020 г., стр. 28, ELI: </w:t>
      </w:r>
      <w:hyperlink r:id="rId6" w:history="1">
        <w:r w:rsidRPr="00D80D93">
          <w:rPr>
            <w:rStyle w:val="Hyperlink"/>
          </w:rPr>
          <w:t>http://data.europa.eu/eli/agree_interinstit/2020/1222/oj</w:t>
        </w:r>
      </w:hyperlink>
      <w:r w:rsidRPr="00D80D93">
        <w:rPr>
          <w:color w:val="000000"/>
        </w:rPr>
        <w:t>.</w:t>
      </w:r>
    </w:p>
  </w:footnote>
  <w:footnote w:id="12">
    <w:p w14:paraId="4A53CB1C" w14:textId="77777777" w:rsidR="006F1D59" w:rsidRPr="00D80D93" w:rsidRDefault="006F1D59" w:rsidP="00D80D93">
      <w:pPr>
        <w:ind w:left="567" w:hanging="567"/>
        <w:rPr>
          <w:color w:val="000000"/>
        </w:rPr>
      </w:pPr>
      <w:r w:rsidRPr="00D80D93">
        <w:rPr>
          <w:rStyle w:val="FootnoteReference"/>
        </w:rPr>
        <w:footnoteRef/>
      </w:r>
      <w:r w:rsidR="00D80D93" w:rsidRPr="00D80D93">
        <w:rPr>
          <w:color w:val="000000"/>
        </w:rPr>
        <w:t xml:space="preserve"> </w:t>
      </w:r>
      <w:r w:rsidR="00D80D93" w:rsidRPr="00D80D93">
        <w:rPr>
          <w:color w:val="000000"/>
        </w:rPr>
        <w:tab/>
      </w:r>
      <w:r w:rsidRPr="00D80D93">
        <w:rPr>
          <w:color w:val="000000"/>
        </w:rPr>
        <w:t xml:space="preserve">ОВ L, 2025/31, 27.2.2025 г., ELI: </w:t>
      </w:r>
      <w:hyperlink r:id="rId7" w:history="1">
        <w:r w:rsidRPr="00D80D93">
          <w:rPr>
            <w:rStyle w:val="Hyperlink"/>
          </w:rPr>
          <w:t>http://data.europa.eu/eli/budget/2025/31/oj</w:t>
        </w:r>
      </w:hyperlink>
      <w:r w:rsidRPr="00D80D93">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2AB14" w14:textId="77777777" w:rsidR="00064002" w:rsidRPr="00D80D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19C48" w14:textId="77777777" w:rsidR="00064002" w:rsidRPr="00D80D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37B1" w14:textId="77777777" w:rsidR="00064002" w:rsidRPr="00D80D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9264730">
    <w:abstractNumId w:val="9"/>
  </w:num>
  <w:num w:numId="2" w16cid:durableId="850493196">
    <w:abstractNumId w:val="9"/>
  </w:num>
  <w:num w:numId="3" w16cid:durableId="966935860">
    <w:abstractNumId w:val="7"/>
  </w:num>
  <w:num w:numId="4" w16cid:durableId="512111663">
    <w:abstractNumId w:val="7"/>
  </w:num>
  <w:num w:numId="5" w16cid:durableId="2047482387">
    <w:abstractNumId w:val="6"/>
  </w:num>
  <w:num w:numId="6" w16cid:durableId="1428768813">
    <w:abstractNumId w:val="6"/>
  </w:num>
  <w:num w:numId="7" w16cid:durableId="1724869932">
    <w:abstractNumId w:val="5"/>
  </w:num>
  <w:num w:numId="8" w16cid:durableId="1687830579">
    <w:abstractNumId w:val="5"/>
  </w:num>
  <w:num w:numId="9" w16cid:durableId="201287896">
    <w:abstractNumId w:val="4"/>
  </w:num>
  <w:num w:numId="10" w16cid:durableId="293099923">
    <w:abstractNumId w:val="4"/>
  </w:num>
  <w:num w:numId="11" w16cid:durableId="2065447499">
    <w:abstractNumId w:val="8"/>
  </w:num>
  <w:num w:numId="12" w16cid:durableId="721055543">
    <w:abstractNumId w:val="8"/>
  </w:num>
  <w:num w:numId="13" w16cid:durableId="1476026912">
    <w:abstractNumId w:val="3"/>
  </w:num>
  <w:num w:numId="14" w16cid:durableId="417025579">
    <w:abstractNumId w:val="3"/>
  </w:num>
  <w:num w:numId="15" w16cid:durableId="781732217">
    <w:abstractNumId w:val="2"/>
  </w:num>
  <w:num w:numId="16" w16cid:durableId="1682928563">
    <w:abstractNumId w:val="2"/>
  </w:num>
  <w:num w:numId="17" w16cid:durableId="2089305453">
    <w:abstractNumId w:val="1"/>
  </w:num>
  <w:num w:numId="18" w16cid:durableId="314652059">
    <w:abstractNumId w:val="1"/>
  </w:num>
  <w:num w:numId="19" w16cid:durableId="1539776052">
    <w:abstractNumId w:val="0"/>
  </w:num>
  <w:num w:numId="20" w16cid:durableId="803236627">
    <w:abstractNumId w:val="0"/>
  </w:num>
  <w:num w:numId="21" w16cid:durableId="941760698">
    <w:abstractNumId w:val="9"/>
  </w:num>
  <w:num w:numId="22" w16cid:durableId="1827044097">
    <w:abstractNumId w:val="7"/>
  </w:num>
  <w:num w:numId="23" w16cid:durableId="476383147">
    <w:abstractNumId w:val="6"/>
  </w:num>
  <w:num w:numId="24" w16cid:durableId="349797812">
    <w:abstractNumId w:val="5"/>
  </w:num>
  <w:num w:numId="25" w16cid:durableId="1115755308">
    <w:abstractNumId w:val="4"/>
  </w:num>
  <w:num w:numId="26" w16cid:durableId="1980303247">
    <w:abstractNumId w:val="8"/>
  </w:num>
  <w:num w:numId="27" w16cid:durableId="1293288143">
    <w:abstractNumId w:val="3"/>
  </w:num>
  <w:num w:numId="28" w16cid:durableId="1770077386">
    <w:abstractNumId w:val="2"/>
  </w:num>
  <w:num w:numId="29" w16cid:durableId="33388319">
    <w:abstractNumId w:val="1"/>
  </w:num>
  <w:num w:numId="30" w16cid:durableId="361051026">
    <w:abstractNumId w:val="0"/>
  </w:num>
  <w:num w:numId="31" w16cid:durableId="784620282">
    <w:abstractNumId w:val="9"/>
  </w:num>
  <w:num w:numId="32" w16cid:durableId="1248416513">
    <w:abstractNumId w:val="7"/>
  </w:num>
  <w:num w:numId="33" w16cid:durableId="1838421082">
    <w:abstractNumId w:val="6"/>
  </w:num>
  <w:num w:numId="34" w16cid:durableId="452482127">
    <w:abstractNumId w:val="5"/>
  </w:num>
  <w:num w:numId="35" w16cid:durableId="1300956945">
    <w:abstractNumId w:val="4"/>
  </w:num>
  <w:num w:numId="36" w16cid:durableId="768550960">
    <w:abstractNumId w:val="8"/>
  </w:num>
  <w:num w:numId="37" w16cid:durableId="553583929">
    <w:abstractNumId w:val="3"/>
  </w:num>
  <w:num w:numId="38" w16cid:durableId="2065984798">
    <w:abstractNumId w:val="2"/>
  </w:num>
  <w:num w:numId="39" w16cid:durableId="1143351723">
    <w:abstractNumId w:val="1"/>
  </w:num>
  <w:num w:numId="40" w16cid:durableId="1274751165">
    <w:abstractNumId w:val="0"/>
  </w:num>
  <w:num w:numId="41" w16cid:durableId="427890859">
    <w:abstractNumId w:val="10"/>
  </w:num>
  <w:num w:numId="42" w16cid:durableId="140851069">
    <w:abstractNumId w:val="10"/>
  </w:num>
  <w:num w:numId="43" w16cid:durableId="1950090343">
    <w:abstractNumId w:val="10"/>
  </w:num>
  <w:num w:numId="44" w16cid:durableId="2097944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8/2025"/>
    <w:docVar w:name="dvlangue" w:val="BG"/>
    <w:docVar w:name="dvnumam" w:val="0"/>
    <w:docVar w:name="dvpe" w:val="770.074"/>
    <w:docVar w:name="dvrapporteur" w:val="Докладчик: "/>
    <w:docVar w:name="dvtitre" w:val="Резолюция на Европейския парламент от ... 2025 г. относно бюджетната прогноза за приходите и разходите на Европейския парламент за финансовата 2026 година(2024/2111(BUI))"/>
  </w:docVars>
  <w:rsids>
    <w:rsidRoot w:val="000979C6"/>
    <w:rsid w:val="00002272"/>
    <w:rsid w:val="00064002"/>
    <w:rsid w:val="000677B9"/>
    <w:rsid w:val="000831BA"/>
    <w:rsid w:val="000979C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D59"/>
    <w:rsid w:val="006F74FA"/>
    <w:rsid w:val="006F7A71"/>
    <w:rsid w:val="00731ADD"/>
    <w:rsid w:val="00734777"/>
    <w:rsid w:val="00747932"/>
    <w:rsid w:val="00751A4A"/>
    <w:rsid w:val="00756632"/>
    <w:rsid w:val="00762C74"/>
    <w:rsid w:val="00786EC0"/>
    <w:rsid w:val="007B02C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50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D93"/>
    <w:rsid w:val="00D834A0"/>
    <w:rsid w:val="00D872DF"/>
    <w:rsid w:val="00D91E21"/>
    <w:rsid w:val="00DA7FCD"/>
    <w:rsid w:val="00E365E1"/>
    <w:rsid w:val="00E820A4"/>
    <w:rsid w:val="00EB006A"/>
    <w:rsid w:val="00EB4772"/>
    <w:rsid w:val="00ED169E"/>
    <w:rsid w:val="00ED4235"/>
    <w:rsid w:val="00F04346"/>
    <w:rsid w:val="00F075DC"/>
    <w:rsid w:val="00F103C9"/>
    <w:rsid w:val="00F149E9"/>
    <w:rsid w:val="00F1793A"/>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75455"/>
  <w15:chartTrackingRefBased/>
  <w15:docId w15:val="{B59B8D7A-0A44-48F3-9B9E-BA3ED9EA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1D59"/>
    <w:pPr>
      <w:spacing w:after="240"/>
      <w:ind w:left="567" w:hanging="567"/>
    </w:pPr>
  </w:style>
  <w:style w:type="character" w:styleId="Hyperlink">
    <w:name w:val="Hyperlink"/>
    <w:basedOn w:val="DefaultParagraphFont"/>
    <w:uiPriority w:val="99"/>
    <w:rsid w:val="006F1D59"/>
    <w:rPr>
      <w:color w:val="0563C1" w:themeColor="hyperlink"/>
      <w:u w:val="single"/>
    </w:rPr>
  </w:style>
  <w:style w:type="paragraph" w:customStyle="1" w:styleId="FootnoteReference1">
    <w:name w:val="Footnote Reference1"/>
    <w:basedOn w:val="Normal"/>
    <w:link w:val="FootnoteReference"/>
    <w:rsid w:val="006F1D59"/>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6F1D59"/>
    <w:rPr>
      <w:sz w:val="24"/>
      <w:lang w:val="bg-BG"/>
    </w:rPr>
  </w:style>
  <w:style w:type="paragraph" w:styleId="BalloonText">
    <w:name w:val="Balloon Text"/>
    <w:basedOn w:val="Normal"/>
    <w:link w:val="BalloonTextChar"/>
    <w:rsid w:val="007B02CB"/>
    <w:rPr>
      <w:rFonts w:ascii="Segoe UI" w:hAnsi="Segoe UI" w:cs="Segoe UI"/>
      <w:sz w:val="18"/>
      <w:szCs w:val="18"/>
    </w:rPr>
  </w:style>
  <w:style w:type="character" w:customStyle="1" w:styleId="BalloonTextChar">
    <w:name w:val="Balloon Text Char"/>
    <w:basedOn w:val="DefaultParagraphFont"/>
    <w:link w:val="BalloonText"/>
    <w:rsid w:val="007B02CB"/>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58AFD-3547-412F-B7D4-CF16860C4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4211</Words>
  <Characters>25121</Characters>
  <Application>Microsoft Office Word</Application>
  <DocSecurity>4</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2025-06-30T13:16:00Z</dcterms:created>
  <dcterms:modified xsi:type="dcterms:W3CDTF">2025-06-30T13:16:00Z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A10-0048/2025</vt:lpwstr>
  </property>
  <property fmtid="{D5CDD505-2E9C-101B-9397-08002B2CF9AE}" pid="4" name="&lt;Type&gt;">
    <vt:lpwstr>RR</vt:lpwstr>
  </property>
</Properties>
</file>