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88B" w14:paraId="6A789538" w14:textId="77777777" w:rsidTr="0010095E">
        <w:trPr>
          <w:trHeight w:hRule="exact" w:val="1418"/>
        </w:trPr>
        <w:tc>
          <w:tcPr>
            <w:tcW w:w="6804" w:type="dxa"/>
            <w:shd w:val="clear" w:color="auto" w:fill="auto"/>
            <w:vAlign w:val="center"/>
          </w:tcPr>
          <w:p w14:paraId="7C9D0BF9" w14:textId="77777777" w:rsidR="00751A4A" w:rsidRPr="00AA688B" w:rsidRDefault="00796B54" w:rsidP="0010095E">
            <w:pPr>
              <w:pStyle w:val="EPName"/>
            </w:pPr>
            <w:r w:rsidRPr="00AA688B">
              <w:t>Evropský parlament</w:t>
            </w:r>
          </w:p>
          <w:p w14:paraId="2FE13DE7" w14:textId="77777777" w:rsidR="00751A4A" w:rsidRPr="00AA688B" w:rsidRDefault="005F1B17" w:rsidP="005F1B17">
            <w:pPr>
              <w:pStyle w:val="EPTerm"/>
              <w:rPr>
                <w:rStyle w:val="HideTWBExt"/>
                <w:noProof w:val="0"/>
                <w:vanish w:val="0"/>
                <w:color w:val="auto"/>
              </w:rPr>
            </w:pPr>
            <w:r w:rsidRPr="00AA688B">
              <w:t>2024</w:t>
            </w:r>
            <w:r w:rsidR="00817416" w:rsidRPr="00AA688B">
              <w:t>-202</w:t>
            </w:r>
            <w:r w:rsidRPr="00AA688B">
              <w:t>9</w:t>
            </w:r>
          </w:p>
        </w:tc>
        <w:tc>
          <w:tcPr>
            <w:tcW w:w="2268" w:type="dxa"/>
            <w:shd w:val="clear" w:color="auto" w:fill="auto"/>
          </w:tcPr>
          <w:p w14:paraId="6F1096DD" w14:textId="77777777" w:rsidR="00751A4A" w:rsidRPr="00AA688B" w:rsidRDefault="00187494" w:rsidP="0010095E">
            <w:pPr>
              <w:pStyle w:val="EPLogo"/>
            </w:pPr>
            <w:r w:rsidRPr="00AA688B">
              <w:rPr>
                <w:noProof/>
                <w:lang w:val="en-GB"/>
              </w:rPr>
              <w:drawing>
                <wp:inline distT="0" distB="0" distL="0" distR="0" wp14:anchorId="1E107694" wp14:editId="78A1C0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0165C7" w14:textId="77777777" w:rsidR="00D058B8" w:rsidRPr="00AA688B" w:rsidRDefault="00D058B8" w:rsidP="004C5D52">
      <w:pPr>
        <w:pStyle w:val="LineTop"/>
      </w:pPr>
    </w:p>
    <w:p w14:paraId="63AA545D" w14:textId="77777777" w:rsidR="00680577" w:rsidRPr="00AA688B" w:rsidRDefault="00796B54" w:rsidP="00680577">
      <w:pPr>
        <w:pStyle w:val="EPBodyTA1"/>
      </w:pPr>
      <w:r w:rsidRPr="00AA688B">
        <w:t>PŘIJATÉ TEXTY</w:t>
      </w:r>
    </w:p>
    <w:p w14:paraId="18736228" w14:textId="77777777" w:rsidR="00D058B8" w:rsidRPr="00AA688B" w:rsidRDefault="00D058B8" w:rsidP="00D058B8">
      <w:pPr>
        <w:pStyle w:val="LineBottom"/>
      </w:pPr>
    </w:p>
    <w:p w14:paraId="1D89615D" w14:textId="741DACE0" w:rsidR="00796B54" w:rsidRPr="00AA688B" w:rsidRDefault="00796B54" w:rsidP="00796B54">
      <w:pPr>
        <w:pStyle w:val="ATHeading1"/>
      </w:pPr>
      <w:bookmarkStart w:id="0" w:name="TANumber"/>
      <w:r w:rsidRPr="00AA688B">
        <w:t>P10_TA(2025)00</w:t>
      </w:r>
      <w:r w:rsidR="00D85D2E">
        <w:t>60</w:t>
      </w:r>
      <w:bookmarkEnd w:id="0"/>
    </w:p>
    <w:p w14:paraId="3A68F58B" w14:textId="77777777" w:rsidR="00796B54" w:rsidRPr="00565873" w:rsidRDefault="00565873" w:rsidP="00796B54">
      <w:pPr>
        <w:pStyle w:val="ATHeading2"/>
      </w:pPr>
      <w:r w:rsidRPr="00565873">
        <w:t>Odhad příjmů a výdajů na rozpočtový rok 2026 – oddíl I – Evropský parlament</w:t>
      </w:r>
    </w:p>
    <w:p w14:paraId="67A09748" w14:textId="77777777" w:rsidR="00796B54" w:rsidRPr="00AA688B" w:rsidRDefault="00796B54" w:rsidP="00796B54">
      <w:pPr>
        <w:rPr>
          <w:i/>
          <w:vanish/>
        </w:rPr>
      </w:pPr>
      <w:r w:rsidRPr="00AA688B">
        <w:rPr>
          <w:i/>
        </w:rPr>
        <w:fldChar w:fldCharType="begin"/>
      </w:r>
      <w:r w:rsidRPr="00AA688B">
        <w:rPr>
          <w:i/>
        </w:rPr>
        <w:instrText xml:space="preserve"> TC"(</w:instrText>
      </w:r>
      <w:bookmarkStart w:id="1" w:name="DocNumber"/>
      <w:r w:rsidRPr="00AA688B">
        <w:rPr>
          <w:i/>
        </w:rPr>
        <w:instrText>A10-0048/2025</w:instrText>
      </w:r>
      <w:bookmarkEnd w:id="1"/>
      <w:r w:rsidRPr="00AA688B">
        <w:rPr>
          <w:i/>
        </w:rPr>
        <w:instrText xml:space="preserve"> - Zpravodaj: </w:instrText>
      </w:r>
      <w:proofErr w:type="spellStart"/>
      <w:r w:rsidRPr="00AA688B">
        <w:rPr>
          <w:i/>
        </w:rPr>
        <w:instrText>Matjaž</w:instrText>
      </w:r>
      <w:proofErr w:type="spellEnd"/>
      <w:r w:rsidRPr="00AA688B">
        <w:rPr>
          <w:i/>
        </w:rPr>
        <w:instrText xml:space="preserve"> </w:instrText>
      </w:r>
      <w:proofErr w:type="spellStart"/>
      <w:r w:rsidRPr="00AA688B">
        <w:rPr>
          <w:i/>
        </w:rPr>
        <w:instrText>Nemec</w:instrText>
      </w:r>
      <w:proofErr w:type="spellEnd"/>
      <w:r w:rsidRPr="00AA688B">
        <w:rPr>
          <w:i/>
        </w:rPr>
        <w:instrText xml:space="preserve">)"\l3 \n&gt; \* MERGEFORMAT </w:instrText>
      </w:r>
      <w:r w:rsidRPr="00AA688B">
        <w:rPr>
          <w:i/>
        </w:rPr>
        <w:fldChar w:fldCharType="end"/>
      </w:r>
    </w:p>
    <w:p w14:paraId="16D8916E" w14:textId="77777777" w:rsidR="00796B54" w:rsidRPr="00AA688B" w:rsidRDefault="00796B54" w:rsidP="00796B54">
      <w:pPr>
        <w:rPr>
          <w:vanish/>
        </w:rPr>
      </w:pPr>
      <w:bookmarkStart w:id="2" w:name="Commission"/>
      <w:r w:rsidRPr="00AA688B">
        <w:rPr>
          <w:vanish/>
        </w:rPr>
        <w:t>Rozpočtový výbor</w:t>
      </w:r>
      <w:bookmarkEnd w:id="2"/>
    </w:p>
    <w:p w14:paraId="0D4FEE7F" w14:textId="77777777" w:rsidR="00796B54" w:rsidRPr="00AA688B" w:rsidRDefault="00796B54" w:rsidP="00796B54">
      <w:pPr>
        <w:rPr>
          <w:vanish/>
        </w:rPr>
      </w:pPr>
      <w:bookmarkStart w:id="3" w:name="PE"/>
      <w:r w:rsidRPr="00AA688B">
        <w:rPr>
          <w:vanish/>
        </w:rPr>
        <w:t>PE770.074</w:t>
      </w:r>
      <w:bookmarkEnd w:id="3"/>
    </w:p>
    <w:p w14:paraId="4E7D4731" w14:textId="77777777" w:rsidR="00796B54" w:rsidRPr="00AA688B" w:rsidRDefault="00796B54" w:rsidP="00796B54">
      <w:pPr>
        <w:pStyle w:val="ATHeading3"/>
      </w:pPr>
      <w:bookmarkStart w:id="4" w:name="Sujet"/>
      <w:r w:rsidRPr="00AA688B">
        <w:t xml:space="preserve">Usnesení </w:t>
      </w:r>
      <w:r w:rsidR="004A0BED">
        <w:t>Evropského parla</w:t>
      </w:r>
      <w:r w:rsidR="00565873">
        <w:t>mentu ze dne 3</w:t>
      </w:r>
      <w:r w:rsidR="004A0BED">
        <w:t>. dubna</w:t>
      </w:r>
      <w:r w:rsidRPr="00AA688B">
        <w:t xml:space="preserve"> 2025 o odhadu příjmů a výdajů Evropského parlamentu na rozpočtový rok 2026</w:t>
      </w:r>
      <w:bookmarkEnd w:id="4"/>
      <w:r w:rsidRPr="00AA688B">
        <w:t xml:space="preserve"> </w:t>
      </w:r>
      <w:bookmarkStart w:id="5" w:name="References"/>
      <w:r w:rsidRPr="00AA688B">
        <w:t>(2024/2111(BUI))</w:t>
      </w:r>
      <w:bookmarkEnd w:id="5"/>
    </w:p>
    <w:p w14:paraId="37210076" w14:textId="77777777" w:rsidR="00E8114D" w:rsidRPr="00AA688B" w:rsidRDefault="00E8114D" w:rsidP="00E8114D">
      <w:pPr>
        <w:pStyle w:val="EPComma"/>
      </w:pPr>
      <w:bookmarkStart w:id="6" w:name="TextBodyBegin"/>
      <w:bookmarkEnd w:id="6"/>
      <w:r w:rsidRPr="00AA688B">
        <w:rPr>
          <w:i/>
        </w:rPr>
        <w:t>Evropský parlament</w:t>
      </w:r>
      <w:r w:rsidRPr="00AA688B">
        <w:t>,</w:t>
      </w:r>
    </w:p>
    <w:p w14:paraId="081B8AA8" w14:textId="77777777" w:rsidR="00E8114D" w:rsidRPr="00AA688B" w:rsidRDefault="00E8114D" w:rsidP="004A0BED">
      <w:pPr>
        <w:spacing w:after="240"/>
        <w:ind w:left="567" w:hanging="567"/>
        <w:rPr>
          <w:color w:val="000000"/>
        </w:rPr>
      </w:pPr>
      <w:r w:rsidRPr="00AA688B">
        <w:t>–</w:t>
      </w:r>
      <w:r w:rsidRPr="00AA688B">
        <w:tab/>
      </w:r>
      <w:r w:rsidRPr="00AA688B">
        <w:rPr>
          <w:color w:val="000000"/>
        </w:rPr>
        <w:t>s ohledem na článek 314 Smlouvy o fungování Evropské unie,</w:t>
      </w:r>
    </w:p>
    <w:p w14:paraId="23A31611" w14:textId="6F41C0A2" w:rsidR="00E8114D" w:rsidRPr="00AA688B" w:rsidRDefault="00E8114D" w:rsidP="004A0BED">
      <w:pPr>
        <w:spacing w:after="240"/>
        <w:ind w:left="567" w:hanging="567"/>
        <w:rPr>
          <w:color w:val="000000"/>
        </w:rPr>
      </w:pPr>
      <w:r w:rsidRPr="00AA688B">
        <w:rPr>
          <w:color w:val="000000"/>
        </w:rPr>
        <w:t>–</w:t>
      </w:r>
      <w:r w:rsidRPr="00AA688B">
        <w:rPr>
          <w:color w:val="000000"/>
        </w:rPr>
        <w:tab/>
      </w:r>
      <w:r w:rsidRPr="00AA688B">
        <w:t xml:space="preserve">s ohledem na nařízení Rady (EU, Euratom) 2020/2093 ze dne 17. prosince 2020, kterým se stanoví </w:t>
      </w:r>
      <w:sdt>
        <w:sdtPr>
          <w:tag w:val="goog_rdk_0"/>
          <w:id w:val="399490220"/>
        </w:sdtPr>
        <w:sdtEndPr/>
        <w:sdtContent/>
      </w:sdt>
      <w:sdt>
        <w:sdtPr>
          <w:tag w:val="goog_rdk_1"/>
          <w:id w:val="-2088213729"/>
        </w:sdtPr>
        <w:sdtEndPr/>
        <w:sdtContent/>
      </w:sdt>
      <w:r w:rsidRPr="00AA688B">
        <w:t>víceletý finanční rámec na období 2021–2027</w:t>
      </w:r>
      <w:r w:rsidRPr="00AA688B">
        <w:rPr>
          <w:color w:val="000000"/>
          <w:vertAlign w:val="superscript"/>
        </w:rPr>
        <w:footnoteReference w:id="1"/>
      </w:r>
      <w:r w:rsidRPr="00AA688B">
        <w:t xml:space="preserve">, </w:t>
      </w:r>
      <w:r w:rsidR="00F430B1">
        <w:t xml:space="preserve">a </w:t>
      </w:r>
      <w:r w:rsidRPr="00AA688B">
        <w:t>na </w:t>
      </w:r>
      <w:proofErr w:type="spellStart"/>
      <w:r w:rsidRPr="00AA688B">
        <w:t>společn</w:t>
      </w:r>
      <w:r w:rsidR="00F430B1">
        <w:t>á</w:t>
      </w:r>
      <w:r w:rsidRPr="00AA688B">
        <w:t>é</w:t>
      </w:r>
      <w:proofErr w:type="spellEnd"/>
      <w:r w:rsidRPr="00AA688B">
        <w:t xml:space="preserve"> prohlášení</w:t>
      </w:r>
      <w:r w:rsidR="00F430B1">
        <w:t>,</w:t>
      </w:r>
      <w:r w:rsidRPr="00AA688B">
        <w:t xml:space="preserve"> </w:t>
      </w:r>
      <w:r w:rsidR="00F430B1" w:rsidRPr="00F430B1">
        <w:t xml:space="preserve"> na nichž se Parlament, Rada a Komise (4), jakož i na související jednostranná prohlášení</w:t>
      </w:r>
      <w:r w:rsidRPr="00AA688B">
        <w:t xml:space="preserve"> v této souvislosti </w:t>
      </w:r>
      <w:r w:rsidR="00F430B1" w:rsidRPr="00F430B1">
        <w:t>dohodly</w:t>
      </w:r>
      <w:r w:rsidR="00F430B1" w:rsidRPr="00AA688B">
        <w:t xml:space="preserve"> </w:t>
      </w:r>
      <w:r w:rsidRPr="00AA688B">
        <w:t>Parlament, Rad</w:t>
      </w:r>
      <w:r w:rsidR="00F430B1">
        <w:t>a</w:t>
      </w:r>
      <w:r w:rsidRPr="00AA688B">
        <w:t xml:space="preserve"> a Komis</w:t>
      </w:r>
      <w:r w:rsidR="00F430B1">
        <w:t>e</w:t>
      </w:r>
      <w:r w:rsidRPr="00AA688B">
        <w:rPr>
          <w:color w:val="000000"/>
          <w:vertAlign w:val="superscript"/>
        </w:rPr>
        <w:footnoteReference w:id="2"/>
      </w:r>
      <w:r w:rsidR="00F430B1">
        <w:t>, jakož</w:t>
      </w:r>
      <w:r w:rsidRPr="00AA688B">
        <w:t xml:space="preserve"> </w:t>
      </w:r>
      <w:r w:rsidR="00F430B1">
        <w:t>i</w:t>
      </w:r>
      <w:r w:rsidRPr="00AA688B">
        <w:t> na související jednostranná prohlášení</w:t>
      </w:r>
      <w:r w:rsidRPr="00AA688B">
        <w:rPr>
          <w:color w:val="000000"/>
          <w:vertAlign w:val="superscript"/>
        </w:rPr>
        <w:footnoteReference w:id="3"/>
      </w:r>
      <w:r w:rsidRPr="00AA688B">
        <w:t>,</w:t>
      </w:r>
    </w:p>
    <w:p w14:paraId="42924525" w14:textId="5F81DF2A" w:rsidR="00E8114D" w:rsidRPr="00AA688B" w:rsidRDefault="00E8114D" w:rsidP="004A0BED">
      <w:pPr>
        <w:spacing w:after="240"/>
        <w:ind w:left="567" w:hanging="567"/>
        <w:rPr>
          <w:color w:val="000000" w:themeColor="text1"/>
        </w:rPr>
      </w:pPr>
      <w:r w:rsidRPr="00AA688B">
        <w:rPr>
          <w:color w:val="000000"/>
        </w:rPr>
        <w:t>–</w:t>
      </w:r>
      <w:r w:rsidRPr="00AA688B">
        <w:rPr>
          <w:color w:val="000000"/>
        </w:rPr>
        <w:tab/>
        <w:t>s ohledem na nařízení Rady (EU, Euratom) 2022/2496 ze dne 15. prosince 2022, kterým se mění nařízení (EU, Euratom) 2020/2093, kterým se stanoví víceletý finanční rámec na období 2021–2027</w:t>
      </w:r>
      <w:r w:rsidRPr="00AA688B">
        <w:rPr>
          <w:color w:val="000000"/>
          <w:vertAlign w:val="superscript"/>
        </w:rPr>
        <w:footnoteReference w:id="4"/>
      </w:r>
      <w:r w:rsidRPr="00AA688B">
        <w:rPr>
          <w:color w:val="000000"/>
        </w:rPr>
        <w:t>,</w:t>
      </w:r>
    </w:p>
    <w:p w14:paraId="00737469" w14:textId="77777777" w:rsidR="00E8114D" w:rsidRPr="00AA688B" w:rsidRDefault="00E8114D" w:rsidP="004A0BED">
      <w:pPr>
        <w:spacing w:after="240"/>
        <w:ind w:left="567" w:hanging="567"/>
      </w:pPr>
      <w:r w:rsidRPr="00AA688B">
        <w:t>–</w:t>
      </w:r>
      <w:r w:rsidRPr="00AA688B">
        <w:tab/>
      </w:r>
      <w:r w:rsidRPr="00AA688B">
        <w:rPr>
          <w:color w:val="000000"/>
        </w:rPr>
        <w:t>s ohledem na nařízení Rady (EU, Euratom) 2024/765, kterým se mění nařízení (EU, Euratom) 2020/2093, kterým se stanoví víceletý finanční rámec na období 2021–2027</w:t>
      </w:r>
      <w:r w:rsidRPr="00AA688B">
        <w:rPr>
          <w:rStyle w:val="FootnoteReference"/>
          <w:color w:val="000000"/>
        </w:rPr>
        <w:footnoteReference w:id="5"/>
      </w:r>
      <w:r w:rsidRPr="00AA688B">
        <w:rPr>
          <w:color w:val="000000"/>
        </w:rPr>
        <w:t xml:space="preserve"> (revize VFR),</w:t>
      </w:r>
    </w:p>
    <w:p w14:paraId="68459D0F" w14:textId="77777777" w:rsidR="00E8114D" w:rsidRPr="00AA688B" w:rsidRDefault="00E8114D" w:rsidP="004A0BED">
      <w:pPr>
        <w:spacing w:after="240"/>
        <w:ind w:left="567" w:hanging="567"/>
      </w:pPr>
      <w:r w:rsidRPr="00AA688B">
        <w:t>–</w:t>
      </w:r>
      <w:r w:rsidRPr="00AA688B">
        <w:tab/>
        <w:t>s ohledem na své legislativní usnesení ze dne 16. prosince 2020 k návrhu nařízení Rady, kterým se stanoví víceletý finanční rámec na období 2021 až 2027</w:t>
      </w:r>
      <w:r w:rsidRPr="00AA688B">
        <w:rPr>
          <w:vertAlign w:val="superscript"/>
        </w:rPr>
        <w:footnoteReference w:id="6"/>
      </w:r>
      <w:r w:rsidRPr="00AA688B">
        <w:t>,</w:t>
      </w:r>
    </w:p>
    <w:p w14:paraId="51A73C24" w14:textId="77777777" w:rsidR="00E8114D" w:rsidRPr="00AA688B" w:rsidRDefault="00E8114D" w:rsidP="004A0BED">
      <w:pPr>
        <w:spacing w:after="240"/>
        <w:ind w:left="567" w:hanging="567"/>
        <w:rPr>
          <w:color w:val="000000"/>
        </w:rPr>
      </w:pPr>
      <w:r w:rsidRPr="00AA688B">
        <w:rPr>
          <w:color w:val="000000"/>
        </w:rPr>
        <w:t>–</w:t>
      </w:r>
      <w:r w:rsidRPr="00AA688B">
        <w:rPr>
          <w:color w:val="000000"/>
        </w:rPr>
        <w:tab/>
        <w:t xml:space="preserve">s ohledem na své usnesení ze dne 15. prosince 2022 o navýšení víceletého finančního </w:t>
      </w:r>
      <w:r w:rsidRPr="00AA688B">
        <w:rPr>
          <w:color w:val="000000"/>
        </w:rPr>
        <w:lastRenderedPageBreak/>
        <w:t>rámce na období 2021–2027: odolný rozpočet EU připravený na nové výzvy</w:t>
      </w:r>
      <w:r w:rsidRPr="00AA688B">
        <w:rPr>
          <w:color w:val="000000"/>
          <w:vertAlign w:val="superscript"/>
        </w:rPr>
        <w:footnoteReference w:id="7"/>
      </w:r>
      <w:r w:rsidRPr="00AA688B">
        <w:rPr>
          <w:color w:val="000000"/>
        </w:rPr>
        <w:t>,</w:t>
      </w:r>
    </w:p>
    <w:p w14:paraId="17BB0167" w14:textId="77777777" w:rsidR="00E8114D" w:rsidRPr="00AA688B" w:rsidRDefault="00E8114D" w:rsidP="004A0BED">
      <w:pPr>
        <w:spacing w:after="240"/>
        <w:ind w:left="567" w:hanging="567"/>
      </w:pPr>
      <w:r w:rsidRPr="00AA688B">
        <w:t>–</w:t>
      </w:r>
      <w:r w:rsidRPr="00AA688B">
        <w:tab/>
        <w:t>s ohledem na své usnesení ze dne 3. října 2023 o návrhu revize víceletého finančního rámce na období 2021–2027 v polovině období</w:t>
      </w:r>
      <w:r w:rsidRPr="00AA688B">
        <w:rPr>
          <w:vertAlign w:val="superscript"/>
        </w:rPr>
        <w:footnoteReference w:id="8"/>
      </w:r>
      <w:r w:rsidRPr="00AA688B">
        <w:t>,</w:t>
      </w:r>
    </w:p>
    <w:p w14:paraId="7C319B77" w14:textId="77777777" w:rsidR="00E8114D" w:rsidRPr="00AA688B" w:rsidRDefault="00E8114D" w:rsidP="004A0BED">
      <w:pPr>
        <w:spacing w:after="240"/>
        <w:ind w:left="567" w:hanging="567"/>
        <w:rPr>
          <w:color w:val="000000"/>
        </w:rPr>
      </w:pPr>
      <w:r w:rsidRPr="00AA688B">
        <w:rPr>
          <w:color w:val="000000"/>
        </w:rPr>
        <w:t>–</w:t>
      </w:r>
      <w:r w:rsidRPr="00AA688B">
        <w:rPr>
          <w:color w:val="000000"/>
        </w:rPr>
        <w:tab/>
        <w:t>s ohledem na své usnesení ze dne 27. února 2024 o návrhu nařízení Rady, kterým se mění nařízení (EU, Euratom) 2020/2093, kterým se stanoví víceletý finanční rámec na období 2021–2027</w:t>
      </w:r>
      <w:r w:rsidRPr="00AA688B">
        <w:rPr>
          <w:color w:val="000000"/>
          <w:vertAlign w:val="superscript"/>
        </w:rPr>
        <w:footnoteReference w:id="9"/>
      </w:r>
      <w:r w:rsidRPr="00AA688B">
        <w:rPr>
          <w:color w:val="000000"/>
        </w:rPr>
        <w:t>,</w:t>
      </w:r>
    </w:p>
    <w:p w14:paraId="16261646" w14:textId="77777777" w:rsidR="00E8114D" w:rsidRPr="00AA688B" w:rsidRDefault="00E8114D" w:rsidP="004A0BED">
      <w:pPr>
        <w:widowControl/>
        <w:spacing w:after="240"/>
        <w:ind w:left="567" w:hanging="567"/>
        <w:rPr>
          <w:color w:val="000000"/>
        </w:rPr>
      </w:pPr>
      <w:r w:rsidRPr="00AA688B">
        <w:rPr>
          <w:color w:val="000000"/>
        </w:rPr>
        <w:t>–</w:t>
      </w:r>
      <w:r w:rsidRPr="00AA688B">
        <w:rPr>
          <w:color w:val="000000"/>
        </w:rPr>
        <w:tab/>
        <w:t>s ohledem na nařízení Evropského parlamentu a Rady (EU, Euratom) 2024/2509 ze dne 23. září 2024, kterým se stanoví finanční pravidla pro souhrnný rozpočet Unie (přepracované znění)</w:t>
      </w:r>
      <w:r w:rsidRPr="00AA688B">
        <w:rPr>
          <w:color w:val="000000"/>
          <w:vertAlign w:val="superscript"/>
        </w:rPr>
        <w:footnoteReference w:id="10"/>
      </w:r>
      <w:r w:rsidRPr="00AA688B">
        <w:rPr>
          <w:color w:val="000000"/>
        </w:rPr>
        <w:t xml:space="preserve"> (finanční nařízení),</w:t>
      </w:r>
    </w:p>
    <w:p w14:paraId="4E314097" w14:textId="77777777" w:rsidR="00E8114D" w:rsidRPr="00AA688B" w:rsidRDefault="00E8114D" w:rsidP="004A0BED">
      <w:pPr>
        <w:spacing w:after="240"/>
        <w:ind w:left="567" w:hanging="567"/>
        <w:rPr>
          <w:color w:val="000000"/>
        </w:rPr>
      </w:pPr>
      <w:r w:rsidRPr="00AA688B">
        <w:rPr>
          <w:color w:val="000000"/>
        </w:rPr>
        <w:t>–</w:t>
      </w:r>
      <w:r w:rsidRPr="00AA688B">
        <w:rPr>
          <w:color w:val="000000"/>
        </w:rPr>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AA688B">
        <w:rPr>
          <w:color w:val="000000"/>
          <w:vertAlign w:val="superscript"/>
        </w:rPr>
        <w:footnoteReference w:id="11"/>
      </w:r>
      <w:r w:rsidRPr="00AA688B">
        <w:rPr>
          <w:color w:val="000000"/>
        </w:rPr>
        <w:t>,</w:t>
      </w:r>
    </w:p>
    <w:p w14:paraId="5287AD6E" w14:textId="77777777" w:rsidR="00E8114D" w:rsidRPr="00AA688B" w:rsidRDefault="00E8114D" w:rsidP="004A0BED">
      <w:pPr>
        <w:spacing w:after="240"/>
        <w:ind w:left="567" w:hanging="567"/>
        <w:rPr>
          <w:color w:val="000000"/>
        </w:rPr>
      </w:pPr>
      <w:r w:rsidRPr="00AA688B">
        <w:rPr>
          <w:color w:val="000000"/>
        </w:rPr>
        <w:t>–</w:t>
      </w:r>
      <w:r w:rsidRPr="00AA688B">
        <w:rPr>
          <w:color w:val="000000"/>
        </w:rPr>
        <w:tab/>
        <w:t>s ohledem na souhrnný rozpočet Evropské unie na rozpočtový rok 2025</w:t>
      </w:r>
      <w:r w:rsidRPr="00AA688B">
        <w:rPr>
          <w:color w:val="000000"/>
          <w:vertAlign w:val="superscript"/>
        </w:rPr>
        <w:footnoteReference w:id="12"/>
      </w:r>
      <w:r w:rsidRPr="00AA688B">
        <w:rPr>
          <w:color w:val="000000"/>
        </w:rPr>
        <w:t xml:space="preserve"> a na společná prohlášení dohodnutá mezi Parlamentem, Radou a Komisí, která jsou k němu přiložena,</w:t>
      </w:r>
    </w:p>
    <w:p w14:paraId="3A15473A" w14:textId="77777777" w:rsidR="00E8114D" w:rsidRPr="00AA688B" w:rsidRDefault="00E8114D" w:rsidP="004A0BED">
      <w:pPr>
        <w:spacing w:after="240"/>
        <w:ind w:left="567" w:hanging="567"/>
        <w:rPr>
          <w:color w:val="000000"/>
        </w:rPr>
      </w:pPr>
      <w:r w:rsidRPr="00AA688B">
        <w:rPr>
          <w:color w:val="000000"/>
        </w:rPr>
        <w:t>–</w:t>
      </w:r>
      <w:r w:rsidRPr="00AA688B">
        <w:rPr>
          <w:color w:val="000000"/>
        </w:rPr>
        <w:tab/>
        <w:t>s ohledem na zprávu generálního tajemníka předsednictvu o vypracování předběžného návrhu odhadu příjmů a výdajů Parlamentu na rozpočtový rok 2026,</w:t>
      </w:r>
    </w:p>
    <w:p w14:paraId="5D5A55FC" w14:textId="77777777" w:rsidR="00E8114D" w:rsidRPr="00AA688B" w:rsidRDefault="00E8114D" w:rsidP="004A0BED">
      <w:pPr>
        <w:tabs>
          <w:tab w:val="left" w:pos="357"/>
        </w:tabs>
        <w:spacing w:after="240"/>
        <w:ind w:left="567" w:hanging="567"/>
        <w:rPr>
          <w:color w:val="000000"/>
        </w:rPr>
      </w:pPr>
      <w:r w:rsidRPr="00AA688B">
        <w:rPr>
          <w:color w:val="000000"/>
        </w:rPr>
        <w:t>–</w:t>
      </w:r>
      <w:r w:rsidRPr="00AA688B">
        <w:rPr>
          <w:color w:val="000000"/>
        </w:rPr>
        <w:tab/>
      </w:r>
      <w:r w:rsidRPr="00AA688B">
        <w:rPr>
          <w:color w:val="000000"/>
        </w:rPr>
        <w:tab/>
        <w:t>s ohledem na předběžný návrh odhadu příjmů a výdajů, který podle čl. 25 odst. 7 a čl. 104 odst. 1 jednacího řádu vypracovalo předsednictvo dne 10. března 2025,</w:t>
      </w:r>
    </w:p>
    <w:p w14:paraId="6DA17D2F" w14:textId="77777777" w:rsidR="00E8114D" w:rsidRPr="00AA688B" w:rsidRDefault="00E8114D" w:rsidP="004A0BED">
      <w:pPr>
        <w:tabs>
          <w:tab w:val="left" w:pos="357"/>
        </w:tabs>
        <w:spacing w:after="240"/>
        <w:ind w:left="567" w:hanging="567"/>
        <w:rPr>
          <w:color w:val="000000"/>
        </w:rPr>
      </w:pPr>
      <w:r w:rsidRPr="00AA688B">
        <w:rPr>
          <w:color w:val="000000"/>
        </w:rPr>
        <w:t>–</w:t>
      </w:r>
      <w:r w:rsidRPr="00AA688B">
        <w:rPr>
          <w:color w:val="000000"/>
        </w:rPr>
        <w:tab/>
      </w:r>
      <w:r w:rsidRPr="00AA688B">
        <w:rPr>
          <w:color w:val="000000"/>
        </w:rPr>
        <w:tab/>
        <w:t>s ohledem na návrh odhadu příjmů a výdajů, který podle čl. 104 odst. 2 jednacího řádu vypracoval Rozpočtový výbor,</w:t>
      </w:r>
    </w:p>
    <w:p w14:paraId="674C6FB4" w14:textId="77777777" w:rsidR="00E8114D" w:rsidRPr="00AA688B" w:rsidRDefault="00E8114D" w:rsidP="004A0BED">
      <w:pPr>
        <w:tabs>
          <w:tab w:val="left" w:pos="357"/>
        </w:tabs>
        <w:spacing w:after="240"/>
        <w:ind w:left="567" w:hanging="567"/>
        <w:rPr>
          <w:color w:val="000000"/>
        </w:rPr>
      </w:pPr>
      <w:r w:rsidRPr="00AA688B">
        <w:rPr>
          <w:color w:val="000000"/>
        </w:rPr>
        <w:t>–</w:t>
      </w:r>
      <w:r w:rsidRPr="00AA688B">
        <w:rPr>
          <w:color w:val="000000"/>
        </w:rPr>
        <w:tab/>
      </w:r>
      <w:r w:rsidRPr="00AA688B">
        <w:rPr>
          <w:color w:val="000000"/>
        </w:rPr>
        <w:tab/>
        <w:t>s ohledem na článek 104 jednacího řádu,</w:t>
      </w:r>
    </w:p>
    <w:p w14:paraId="7A664180" w14:textId="77777777" w:rsidR="00E8114D" w:rsidRPr="00AA688B" w:rsidRDefault="00E8114D" w:rsidP="004A0BED">
      <w:pPr>
        <w:tabs>
          <w:tab w:val="left" w:pos="357"/>
        </w:tabs>
        <w:spacing w:after="240"/>
        <w:ind w:left="567" w:hanging="567"/>
        <w:rPr>
          <w:color w:val="000000"/>
        </w:rPr>
      </w:pPr>
      <w:r w:rsidRPr="00AA688B">
        <w:rPr>
          <w:color w:val="000000"/>
        </w:rPr>
        <w:t>–</w:t>
      </w:r>
      <w:r w:rsidRPr="00AA688B">
        <w:rPr>
          <w:color w:val="000000"/>
        </w:rPr>
        <w:tab/>
      </w:r>
      <w:r w:rsidRPr="00AA688B">
        <w:rPr>
          <w:color w:val="000000"/>
        </w:rPr>
        <w:tab/>
        <w:t>s ohledem na zprávu Rozpočtového výboru (A10</w:t>
      </w:r>
      <w:r w:rsidRPr="00AA688B">
        <w:rPr>
          <w:color w:val="000000"/>
        </w:rPr>
        <w:noBreakHyphen/>
        <w:t>0048/2025),</w:t>
      </w:r>
    </w:p>
    <w:p w14:paraId="3FEBC808" w14:textId="369C0FD5" w:rsidR="00E8114D" w:rsidRPr="00AA688B" w:rsidRDefault="00E8114D" w:rsidP="004A0BED">
      <w:pPr>
        <w:widowControl/>
        <w:tabs>
          <w:tab w:val="left" w:pos="357"/>
        </w:tabs>
        <w:spacing w:after="240"/>
        <w:ind w:left="567" w:hanging="567"/>
        <w:rPr>
          <w:color w:val="000000"/>
        </w:rPr>
      </w:pPr>
      <w:r w:rsidRPr="00AA688B">
        <w:rPr>
          <w:color w:val="000000"/>
        </w:rPr>
        <w:t>A.</w:t>
      </w:r>
      <w:r w:rsidRPr="00AA688B">
        <w:rPr>
          <w:color w:val="000000"/>
        </w:rPr>
        <w:tab/>
      </w:r>
      <w:r w:rsidRPr="00AA688B">
        <w:rPr>
          <w:color w:val="000000"/>
        </w:rPr>
        <w:tab/>
        <w:t>vzhledem k tomu, že rozpočet pro předběžný návrh odhadu příjmů a výdajů Parlamentu na rok 2026, který dne 10. února 2025 navrhl generální tajemník, činí 2</w:t>
      </w:r>
      <w:r w:rsidR="00042FA4" w:rsidRPr="00AA688B">
        <w:rPr>
          <w:color w:val="000000"/>
        </w:rPr>
        <w:t> </w:t>
      </w:r>
      <w:r w:rsidRPr="00AA688B">
        <w:rPr>
          <w:color w:val="000000"/>
        </w:rPr>
        <w:t>641</w:t>
      </w:r>
      <w:r w:rsidR="00042FA4" w:rsidRPr="00AA688B">
        <w:rPr>
          <w:color w:val="000000"/>
        </w:rPr>
        <w:t> </w:t>
      </w:r>
      <w:r w:rsidRPr="00AA688B">
        <w:rPr>
          <w:color w:val="000000"/>
        </w:rPr>
        <w:t>609</w:t>
      </w:r>
      <w:r w:rsidR="00042FA4" w:rsidRPr="00AA688B">
        <w:rPr>
          <w:color w:val="000000"/>
        </w:rPr>
        <w:t> </w:t>
      </w:r>
      <w:r w:rsidRPr="00AA688B">
        <w:rPr>
          <w:color w:val="000000"/>
        </w:rPr>
        <w:t>620</w:t>
      </w:r>
      <w:r w:rsidR="00042FA4" w:rsidRPr="00AA688B">
        <w:rPr>
          <w:color w:val="000000"/>
        </w:rPr>
        <w:t> </w:t>
      </w:r>
      <w:r w:rsidRPr="00AA688B">
        <w:rPr>
          <w:color w:val="000000"/>
        </w:rPr>
        <w:t>EUR a ve srovnání s rozpočtem na rok 2025 představuje nárůst o 4,30 %, tj. o 108</w:t>
      </w:r>
      <w:r w:rsidR="00042FA4" w:rsidRPr="00AA688B">
        <w:rPr>
          <w:color w:val="000000"/>
        </w:rPr>
        <w:t> </w:t>
      </w:r>
      <w:r w:rsidRPr="00AA688B">
        <w:rPr>
          <w:color w:val="000000"/>
        </w:rPr>
        <w:t>914</w:t>
      </w:r>
      <w:r w:rsidR="00042FA4" w:rsidRPr="00AA688B">
        <w:rPr>
          <w:color w:val="000000"/>
        </w:rPr>
        <w:t> </w:t>
      </w:r>
      <w:r w:rsidRPr="00AA688B">
        <w:rPr>
          <w:color w:val="000000"/>
        </w:rPr>
        <w:t>512</w:t>
      </w:r>
      <w:r w:rsidR="00042FA4" w:rsidRPr="00AA688B">
        <w:rPr>
          <w:color w:val="000000"/>
        </w:rPr>
        <w:t> </w:t>
      </w:r>
      <w:r w:rsidRPr="00AA688B">
        <w:rPr>
          <w:color w:val="000000"/>
        </w:rPr>
        <w:t xml:space="preserve">EUR; </w:t>
      </w:r>
    </w:p>
    <w:p w14:paraId="5365B08C" w14:textId="024ED166" w:rsidR="00E8114D" w:rsidRPr="00AA688B" w:rsidRDefault="00E8114D" w:rsidP="004A0BED">
      <w:pPr>
        <w:widowControl/>
        <w:tabs>
          <w:tab w:val="left" w:pos="357"/>
        </w:tabs>
        <w:spacing w:after="240"/>
        <w:ind w:left="567" w:hanging="567"/>
        <w:rPr>
          <w:color w:val="000000"/>
        </w:rPr>
      </w:pPr>
      <w:r w:rsidRPr="00AA688B">
        <w:rPr>
          <w:color w:val="000000"/>
        </w:rPr>
        <w:t>B.</w:t>
      </w:r>
      <w:r w:rsidRPr="00AA688B">
        <w:rPr>
          <w:color w:val="000000"/>
        </w:rPr>
        <w:tab/>
      </w:r>
      <w:r w:rsidRPr="00AA688B">
        <w:rPr>
          <w:color w:val="000000"/>
        </w:rPr>
        <w:tab/>
        <w:t xml:space="preserve">vzhledem k tomu, že podle </w:t>
      </w:r>
      <w:proofErr w:type="spellStart"/>
      <w:r w:rsidRPr="00AA688B">
        <w:rPr>
          <w:color w:val="000000"/>
        </w:rPr>
        <w:t>Eurostatu</w:t>
      </w:r>
      <w:proofErr w:type="spellEnd"/>
      <w:r w:rsidRPr="00AA688B">
        <w:rPr>
          <w:color w:val="000000"/>
        </w:rPr>
        <w:t xml:space="preserve"> roční inflace v Unii v lednu 2025 vzrostla na 2,8</w:t>
      </w:r>
      <w:r w:rsidR="00042FA4" w:rsidRPr="00AA688B">
        <w:rPr>
          <w:color w:val="000000"/>
        </w:rPr>
        <w:t> </w:t>
      </w:r>
      <w:bookmarkStart w:id="7" w:name="_GoBack"/>
      <w:bookmarkEnd w:id="7"/>
      <w:r w:rsidRPr="00AA688B">
        <w:rPr>
          <w:color w:val="000000"/>
        </w:rPr>
        <w:t>% oproti 2,7 % v prosinci 2024; vzhledem k tomu, že výše výdajů v okruhu 7 víceletého finančního rámce (VFR) na období 2021–2027 je založena na každoročním nárůstu o 2</w:t>
      </w:r>
      <w:r w:rsidR="00042FA4" w:rsidRPr="00AA688B">
        <w:rPr>
          <w:color w:val="000000"/>
        </w:rPr>
        <w:t> </w:t>
      </w:r>
      <w:r w:rsidRPr="00AA688B">
        <w:rPr>
          <w:color w:val="000000"/>
        </w:rPr>
        <w:t>%;</w:t>
      </w:r>
    </w:p>
    <w:p w14:paraId="7F32DC4C" w14:textId="77777777" w:rsidR="00E8114D" w:rsidRPr="00AA688B" w:rsidRDefault="00E8114D" w:rsidP="004A0BED">
      <w:pPr>
        <w:widowControl/>
        <w:tabs>
          <w:tab w:val="left" w:pos="357"/>
        </w:tabs>
        <w:spacing w:after="240"/>
        <w:ind w:left="567" w:hanging="567"/>
        <w:rPr>
          <w:color w:val="000000"/>
        </w:rPr>
      </w:pPr>
      <w:r w:rsidRPr="00AA688B">
        <w:rPr>
          <w:color w:val="000000"/>
        </w:rPr>
        <w:lastRenderedPageBreak/>
        <w:t>C.</w:t>
      </w:r>
      <w:r w:rsidRPr="00AA688B">
        <w:rPr>
          <w:color w:val="000000"/>
        </w:rPr>
        <w:tab/>
      </w:r>
      <w:r w:rsidRPr="00AA688B">
        <w:rPr>
          <w:color w:val="000000"/>
        </w:rPr>
        <w:tab/>
        <w:t xml:space="preserve">vzhledem k tomu, že má-li být Parlament důvěryhodný, musí být schopen plnit své hlavní rozpočtové, legislativní a kontrolní úkoly na nejvyšší úrovni a současně jít příkladem jiným orgánům Unie tím, že bude své výdaje plánovat a realizovat obezřetným a efektivním způsobem a zohledňovat panující hospodářskou situaci; </w:t>
      </w:r>
    </w:p>
    <w:p w14:paraId="5D3A4FF6" w14:textId="77777777" w:rsidR="00E8114D" w:rsidRPr="00AA688B" w:rsidRDefault="00E8114D" w:rsidP="004A0BED">
      <w:pPr>
        <w:widowControl/>
        <w:spacing w:after="240"/>
        <w:ind w:left="567" w:hanging="567"/>
        <w:rPr>
          <w:b/>
          <w:i/>
          <w:color w:val="000000"/>
        </w:rPr>
      </w:pPr>
      <w:r w:rsidRPr="00AA688B">
        <w:rPr>
          <w:b/>
          <w:i/>
          <w:color w:val="000000"/>
        </w:rPr>
        <w:t>Obecný rámec</w:t>
      </w:r>
    </w:p>
    <w:p w14:paraId="211A700E" w14:textId="77777777" w:rsidR="00E8114D" w:rsidRPr="00AA688B" w:rsidRDefault="00E8114D" w:rsidP="004A0BED">
      <w:pPr>
        <w:widowControl/>
        <w:spacing w:after="240"/>
        <w:ind w:left="567" w:hanging="567"/>
        <w:rPr>
          <w:color w:val="000000"/>
        </w:rPr>
      </w:pPr>
      <w:r w:rsidRPr="00AA688B">
        <w:rPr>
          <w:color w:val="000000"/>
        </w:rPr>
        <w:t>1.</w:t>
      </w:r>
      <w:r w:rsidRPr="00AA688B">
        <w:rPr>
          <w:color w:val="000000"/>
        </w:rPr>
        <w:tab/>
        <w:t xml:space="preserve">je znepokojen situací ohledně okruhu 7 ve </w:t>
      </w:r>
      <w:proofErr w:type="gramStart"/>
      <w:r w:rsidRPr="00AA688B">
        <w:rPr>
          <w:color w:val="000000"/>
        </w:rPr>
        <w:t>stávajícím</w:t>
      </w:r>
      <w:proofErr w:type="gramEnd"/>
      <w:r w:rsidRPr="00AA688B">
        <w:rPr>
          <w:color w:val="000000"/>
        </w:rPr>
        <w:t xml:space="preserve"> VFR; připomíná, že daná omezení jsou výsledkem škrtů, které při schvalování stávajícího VFR na období 2021–2027 provedla Rada v původním, již tak velmi nízkém návrhu Komise; vyjadřuje politování nad tím, že Rada nesouhlasila s návrhem Komise, aby byl v rámci revize VFR strop okruhu 7 od roku 2024 zvýšen; upozorňuje na skutečnost, že otázka stropu okruhu 7 nebyla v rámci revize VFR vyřešena; zdůrazňuje, že předpokládané záporné rozpětí na rok 2026 počítá s tím, že v okruhu 7 budou k tomuto účelu využity zvláštní nástroje;</w:t>
      </w:r>
    </w:p>
    <w:p w14:paraId="0E497AD7" w14:textId="77777777" w:rsidR="00E8114D" w:rsidRPr="00AA688B" w:rsidRDefault="00E8114D" w:rsidP="004A0BED">
      <w:pPr>
        <w:widowControl/>
        <w:spacing w:after="240"/>
        <w:ind w:left="567" w:hanging="567"/>
        <w:rPr>
          <w:color w:val="000000"/>
        </w:rPr>
      </w:pPr>
      <w:r w:rsidRPr="00AA688B">
        <w:rPr>
          <w:color w:val="000000"/>
        </w:rPr>
        <w:t>2.</w:t>
      </w:r>
      <w:r w:rsidRPr="00AA688B">
        <w:rPr>
          <w:color w:val="000000"/>
        </w:rPr>
        <w:tab/>
        <w:t>podporuje dohodu dosaženou na dohodovacím jednání mezi předsednictvem a Rozpočtovým výborem dne 18. března 2025, která stanoví zvýšení rozpočtu oproti rozpočtu na rok 2025 o 4,09 %, což odpovídá celkové výši odhadu příjmů a výdajů na rok 2026 v částce 2 636 241 620 EUR, a odpovídajícím způsobem snižuje navrhované prostředky v následujících rozpočtových položkách o celkem 12 378 000 EUR:</w:t>
      </w:r>
    </w:p>
    <w:p w14:paraId="33FA54F6" w14:textId="77777777" w:rsidR="00E8114D" w:rsidRPr="00AA688B" w:rsidRDefault="00E8114D" w:rsidP="004A0BED">
      <w:pPr>
        <w:widowControl/>
        <w:spacing w:after="240"/>
        <w:ind w:left="567"/>
        <w:rPr>
          <w:color w:val="000000"/>
        </w:rPr>
      </w:pPr>
      <w:r w:rsidRPr="00AA688B">
        <w:rPr>
          <w:color w:val="000000"/>
        </w:rPr>
        <w:t>1 0 0 6 – Příspěvek na všeobecné výdaje, 1 4 2 – Externí překladatelské služby, 2 0 0 0 – Nájem, 2 0 0 7 – Výstavba budov a zařízení prostor, 2 0 2 4 – Spotřeba energie, 2 1 0 1 – Správa provozních aplikací, 3 2 0 – Získávání odborného poradenství, 3 2 4 3 – Návštěvnická centra Evropského parlamentu, 3 2 4 8 – Výdaje na audiovizuální informační materiály, 4 4 – Schůze a jiné činnosti současných a bývalých poslanců;</w:t>
      </w:r>
    </w:p>
    <w:p w14:paraId="259A2674" w14:textId="77777777" w:rsidR="00E8114D" w:rsidRPr="00AA688B" w:rsidRDefault="00E8114D" w:rsidP="004A0BED">
      <w:pPr>
        <w:widowControl/>
        <w:spacing w:after="240"/>
        <w:ind w:left="567"/>
        <w:rPr>
          <w:color w:val="000000"/>
        </w:rPr>
      </w:pPr>
      <w:r w:rsidRPr="00AA688B">
        <w:rPr>
          <w:color w:val="000000"/>
        </w:rPr>
        <w:t>dále bylo rozhodnuto zvýšit výdaje v předběžném návrhu odhadu příjmů a výdajů schváleném předsednictvem dne 10. března 2025 o 7 010 000 EUR a odpovídajícím způsobem zvýšit navrhované prostředky v následujících rozpočtových položkách:</w:t>
      </w:r>
    </w:p>
    <w:p w14:paraId="25C1F5C0" w14:textId="77777777" w:rsidR="00E8114D" w:rsidRPr="00AA688B" w:rsidRDefault="00E8114D" w:rsidP="004A0BED">
      <w:pPr>
        <w:widowControl/>
        <w:spacing w:after="240"/>
        <w:ind w:left="567"/>
        <w:rPr>
          <w:color w:val="000000"/>
        </w:rPr>
      </w:pPr>
      <w:r w:rsidRPr="00AA688B">
        <w:rPr>
          <w:color w:val="000000"/>
        </w:rPr>
        <w:t>1 2 0 0 – Platy a příspěvky, 1 6 3 0 – Sociální péče: výdaje na sociální zabezpečení, 4 0 0 – Správní výdaje na chod a na politické informační činnosti politických skupin a nezařazených poslanců a 4 0 3 – Financování evropských politických nadací;</w:t>
      </w:r>
    </w:p>
    <w:p w14:paraId="1CFD96C7" w14:textId="0FA66BC7" w:rsidR="00E8114D" w:rsidRPr="00AA688B" w:rsidRDefault="005F30DE" w:rsidP="004A0BED">
      <w:pPr>
        <w:widowControl/>
        <w:spacing w:after="240"/>
        <w:ind w:left="567"/>
        <w:rPr>
          <w:color w:val="000000"/>
        </w:rPr>
      </w:pPr>
      <w:r>
        <w:rPr>
          <w:color w:val="000000"/>
        </w:rPr>
        <w:t>rovněž</w:t>
      </w:r>
      <w:r w:rsidR="00E8114D" w:rsidRPr="00AA688B">
        <w:rPr>
          <w:color w:val="000000"/>
        </w:rPr>
        <w:t xml:space="preserve"> bylo dohodnuto změnit rozpočtové poznámky k bodu 1 6 3 0 – Sociální zabezpečení: výdaje na sociální zabezpečení tak, aby zahrnovaly odkaz na výbor akreditovaných parlamentních asistentů;</w:t>
      </w:r>
    </w:p>
    <w:p w14:paraId="478E0378" w14:textId="77777777" w:rsidR="00E8114D" w:rsidRPr="00AA688B" w:rsidRDefault="00E8114D" w:rsidP="004A0BED">
      <w:pPr>
        <w:widowControl/>
        <w:spacing w:after="240"/>
        <w:ind w:left="567" w:hanging="567"/>
        <w:rPr>
          <w:color w:val="000000"/>
        </w:rPr>
      </w:pPr>
      <w:r w:rsidRPr="00AA688B">
        <w:rPr>
          <w:color w:val="000000"/>
        </w:rPr>
        <w:t>3.</w:t>
      </w:r>
      <w:r w:rsidRPr="00AA688B">
        <w:rPr>
          <w:color w:val="000000"/>
        </w:rPr>
        <w:tab/>
        <w:t>připomíná, že téměř dvě třetiny rozpočtu jsou tvořeny statutárními závazky; konstatuje, že z navýšení o 103,5 milionů EUR oproti rozpočtu na rok 2025 je zvýšení o 85,3 milionu EUR způsobeno statutárními finančními závazky, zejména v souvislosti s úpravami platů úředníků a dočasných zaměstnanců (52,7 milionu EUR), smluvních zaměstnanců (9,2 milionu EUR) a akreditovaných parlamentních asistentů (15,1 milionu EUR); připomíná, že Komise v současné době odhaduje valorizaci platů v souladu se služebním řádem a statutem poslanců Evropského parlamentu na 1,2 % v dubnu 2025, 4,6 % v červenci 2025, 0,6 % v dubnu 2026 a 3,4 % v červenci 2026;</w:t>
      </w:r>
    </w:p>
    <w:p w14:paraId="2E27EEC2" w14:textId="77777777" w:rsidR="00E8114D" w:rsidRPr="00AA688B" w:rsidRDefault="00E8114D" w:rsidP="004A0BED">
      <w:pPr>
        <w:widowControl/>
        <w:spacing w:after="240"/>
        <w:ind w:left="567" w:hanging="567"/>
        <w:rPr>
          <w:color w:val="000000"/>
        </w:rPr>
      </w:pPr>
      <w:r w:rsidRPr="00AA688B">
        <w:rPr>
          <w:color w:val="000000"/>
        </w:rPr>
        <w:t>4.</w:t>
      </w:r>
      <w:r w:rsidRPr="00AA688B">
        <w:rPr>
          <w:color w:val="000000"/>
        </w:rPr>
        <w:tab/>
        <w:t>konstatuje, že Parlament nepožaduje na rok 2026 žádná dodatečná pracovní místa, a to již třetí rok po sobě;</w:t>
      </w:r>
    </w:p>
    <w:p w14:paraId="4CFF4BFD" w14:textId="77777777" w:rsidR="00E8114D" w:rsidRPr="00AA688B" w:rsidRDefault="00E8114D" w:rsidP="004A0BED">
      <w:pPr>
        <w:widowControl/>
        <w:spacing w:after="240"/>
        <w:ind w:left="567" w:hanging="567"/>
        <w:rPr>
          <w:color w:val="000000"/>
        </w:rPr>
      </w:pPr>
      <w:r w:rsidRPr="00AA688B">
        <w:rPr>
          <w:color w:val="000000"/>
        </w:rPr>
        <w:t>5.</w:t>
      </w:r>
      <w:r w:rsidRPr="00AA688B">
        <w:rPr>
          <w:color w:val="000000"/>
        </w:rPr>
        <w:tab/>
        <w:t>konstatuje, že nárůst nestatutárních výdajů mezi lety 2025 a 2026 činí 1,96 %;</w:t>
      </w:r>
    </w:p>
    <w:p w14:paraId="7912F5A2" w14:textId="77777777" w:rsidR="00E8114D" w:rsidRPr="00AA688B" w:rsidRDefault="00E8114D" w:rsidP="004A0BED">
      <w:pPr>
        <w:widowControl/>
        <w:spacing w:after="240"/>
        <w:ind w:left="567" w:hanging="567"/>
        <w:rPr>
          <w:color w:val="000000"/>
        </w:rPr>
      </w:pPr>
      <w:r w:rsidRPr="00AA688B">
        <w:rPr>
          <w:color w:val="000000"/>
        </w:rPr>
        <w:lastRenderedPageBreak/>
        <w:t>6.</w:t>
      </w:r>
      <w:r w:rsidRPr="00AA688B">
        <w:rPr>
          <w:color w:val="000000"/>
        </w:rPr>
        <w:tab/>
        <w:t>vítá iniciativu generálního tajemníka provést rozsáhlé prověření, jehož cílem je nalézt příležitosti ke zjednodušení administrativy, eliminaci případů nehospodárnosti a zajištění hmatatelného snížení nákladů, čímž se zvýší efektivita a zajistí účinnější využívání zdrojů; žádá generálního tajemníka, aby Rozpočtovému výboru každého půl roku poskytoval aktuální informace o přijatých opatřeních a akčním plánu pro zjednodušení a o jejich dopadu na rozpočet a zaměstnance; zdůrazňuje, že administrativní postupy a řízení lidských zdrojů představují pro poslance velkou zátěž, zejména při náboru místních asistentů, a vyzývá, aby v této věci bylo dosaženo zjednodušení;</w:t>
      </w:r>
    </w:p>
    <w:p w14:paraId="6766480D" w14:textId="77777777" w:rsidR="00E8114D" w:rsidRPr="00AA688B" w:rsidRDefault="00E8114D" w:rsidP="004A0BED">
      <w:pPr>
        <w:pStyle w:val="NormalHanging12a"/>
      </w:pPr>
      <w:r w:rsidRPr="00AA688B">
        <w:t>7.</w:t>
      </w:r>
      <w:r w:rsidRPr="00AA688B">
        <w:tab/>
        <w:t>konstatuje, že rozpočet Parlamentu by měl být vypracován na realistickém základě a v souladu se zásadami rozpočtové kázně a řádného finančního řízení; zdůrazňuje, že je nezbytné zajistit, aby klíčovými prioritami zůstaly finanční obezřetnost a bezpečnost, a zároveň zaručit, aby tato opatření neomezovala účinnost, účelnost a provozní kapacitu orgánu a jeho nepostradatelných zaměstnanců při úspěšném plnění jejich povinností; zdůrazňuje, že vzhledem ke geopolitické situaci a investicím, které bude muset Unie provést v zájmu své strategické autonomie, musí jít Parlament příkladem v tom, jak řídí svůj rozpočet;</w:t>
      </w:r>
    </w:p>
    <w:p w14:paraId="59E712D5" w14:textId="7E81704E" w:rsidR="00E8114D" w:rsidRPr="00AA688B" w:rsidRDefault="00E8114D" w:rsidP="004A0BED">
      <w:pPr>
        <w:pStyle w:val="NormalHanging12a"/>
      </w:pPr>
      <w:r w:rsidRPr="00AA688B">
        <w:t>8.</w:t>
      </w:r>
      <w:r w:rsidRPr="00AA688B">
        <w:tab/>
        <w:t xml:space="preserve">zdůrazňuje úlohu Parlamentu při utváření evropského politického povědomí a podpoře hodnot Unie a jejích politik, jako je digitální a ekologická transformace; zdůrazňuje, že transparentnost, odpovědnost, genderová rovnost a integrita jsou základními zásadami v rámci orgánů Unie, a zejména pak v Parlamentu </w:t>
      </w:r>
      <w:r w:rsidR="00B03A57">
        <w:t>coby</w:t>
      </w:r>
      <w:r w:rsidR="00B03A57" w:rsidRPr="00AA688B">
        <w:t xml:space="preserve"> </w:t>
      </w:r>
      <w:r w:rsidRPr="00AA688B">
        <w:t>sídle evropské demokracie;</w:t>
      </w:r>
    </w:p>
    <w:p w14:paraId="10CA55BD" w14:textId="77777777" w:rsidR="00E8114D" w:rsidRPr="00AA688B" w:rsidRDefault="00E8114D" w:rsidP="004A0BED">
      <w:pPr>
        <w:widowControl/>
        <w:spacing w:after="240"/>
        <w:rPr>
          <w:b/>
          <w:i/>
          <w:color w:val="000000"/>
        </w:rPr>
      </w:pPr>
      <w:r w:rsidRPr="00AA688B">
        <w:rPr>
          <w:b/>
          <w:i/>
          <w:color w:val="000000"/>
        </w:rPr>
        <w:t>Posílení klíčových funkcí Parlamentu</w:t>
      </w:r>
    </w:p>
    <w:p w14:paraId="3D47FDC4" w14:textId="77777777" w:rsidR="00E8114D" w:rsidRPr="00AA688B" w:rsidRDefault="00E8114D" w:rsidP="004A0BED">
      <w:pPr>
        <w:pStyle w:val="NormalHanging12a"/>
      </w:pPr>
      <w:r w:rsidRPr="00AA688B">
        <w:t>9.</w:t>
      </w:r>
      <w:r w:rsidRPr="00AA688B">
        <w:tab/>
        <w:t xml:space="preserve">bere na vědomí čtyři nová tematická generální ředitelství (GŘ) vytvořená v září 2024 z předchozího generálního ředitelství pro vnitřní politiky a odpovědná za legislativní, rozpočtové a kontrolní činnosti, jejichž cílem je zlepšit fungování Parlamentu jako </w:t>
      </w:r>
      <w:proofErr w:type="spellStart"/>
      <w:r w:rsidRPr="00AA688B">
        <w:t>spolunormotvůrce</w:t>
      </w:r>
      <w:proofErr w:type="spellEnd"/>
      <w:r w:rsidRPr="00AA688B">
        <w:t>, jedné složky rozpočtového orgánu a orgánu příslušného k udělení absolutoria; žádá generálního tajemníka, aby Rozpočtovému výboru pravidelně poskytoval aktuální informace o vývoji pracovní činnosti a počtu zaměstnanců v těchto GŘ;</w:t>
      </w:r>
    </w:p>
    <w:p w14:paraId="0DDF1455" w14:textId="77777777" w:rsidR="00E8114D" w:rsidRPr="00AA688B" w:rsidRDefault="00E8114D" w:rsidP="004A0BED">
      <w:pPr>
        <w:pStyle w:val="NormalHanging12a"/>
      </w:pPr>
      <w:r w:rsidRPr="00AA688B">
        <w:t>10.</w:t>
      </w:r>
      <w:r w:rsidRPr="00AA688B">
        <w:tab/>
        <w:t>uznává, že je zapotřebí, aby se politické rozhodování ve větší míře zakládalo na důkazech a faktech; bere na vědomí rozpočet ve výši 16,75 milionu EUR na zvýšení správní kapacity Parlamentu při podpoře poslanců v jejich parlamentní činnosti a na posílení jeho schopnosti zvládat složitou a nejistou situaci;</w:t>
      </w:r>
    </w:p>
    <w:p w14:paraId="421BC956" w14:textId="77777777" w:rsidR="00E8114D" w:rsidRPr="00AA688B" w:rsidRDefault="00E8114D" w:rsidP="004A0BED">
      <w:pPr>
        <w:widowControl/>
        <w:spacing w:after="240"/>
        <w:ind w:left="567" w:hanging="567"/>
        <w:rPr>
          <w:color w:val="000000"/>
        </w:rPr>
      </w:pPr>
      <w:r w:rsidRPr="00AA688B">
        <w:rPr>
          <w:color w:val="000000"/>
        </w:rPr>
        <w:t>11.</w:t>
      </w:r>
      <w:r w:rsidRPr="00AA688B">
        <w:rPr>
          <w:color w:val="000000"/>
        </w:rPr>
        <w:tab/>
        <w:t>zdůrazňuje klíčovou úlohu politických skupin při poskytování odborných znalostí a politické podpory poslancům při jejich legislativní a parlamentní činnosti; zdůrazňuje, že je třeba zajistit důležitý cíl, kterým je posílení schopnosti Parlamentu podporovat práci poslanců;</w:t>
      </w:r>
    </w:p>
    <w:p w14:paraId="3F07B485" w14:textId="77777777" w:rsidR="00E8114D" w:rsidRPr="00AA688B" w:rsidRDefault="00E8114D" w:rsidP="004A0BED">
      <w:pPr>
        <w:widowControl/>
        <w:spacing w:after="240"/>
        <w:ind w:left="567" w:hanging="567"/>
        <w:rPr>
          <w:b/>
          <w:i/>
          <w:color w:val="000000"/>
        </w:rPr>
      </w:pPr>
      <w:r w:rsidRPr="00AA688B">
        <w:rPr>
          <w:b/>
          <w:i/>
          <w:color w:val="000000"/>
        </w:rPr>
        <w:t xml:space="preserve">Digitální transformace </w:t>
      </w:r>
    </w:p>
    <w:p w14:paraId="25A528B6" w14:textId="77777777" w:rsidR="00E8114D" w:rsidRPr="00AA688B" w:rsidRDefault="00E8114D" w:rsidP="004A0BED">
      <w:pPr>
        <w:widowControl/>
        <w:spacing w:after="240"/>
        <w:ind w:left="567" w:hanging="567"/>
        <w:rPr>
          <w:color w:val="000000"/>
        </w:rPr>
      </w:pPr>
      <w:r w:rsidRPr="00AA688B">
        <w:rPr>
          <w:color w:val="000000"/>
        </w:rPr>
        <w:t>12.</w:t>
      </w:r>
      <w:r w:rsidRPr="00AA688B">
        <w:rPr>
          <w:color w:val="000000"/>
        </w:rPr>
        <w:tab/>
        <w:t xml:space="preserve">zdůrazňuje, že kybernetická bezpečnost Parlamentu je klíčovou prioritou; konstatuje, že celkový rozpočet na IT představuje 7,40 % celkového rozpočtu v odhadu příjmů a výdajů na rok 2026; zdůrazňuje význam spolehlivé infrastruktury kybernetické bezpečnosti v geopoliticky neklidných dobách a vítá navýšení prostředků určených na kybernetickou bezpečnost; podporuje plánované postupné zvyšování finančních </w:t>
      </w:r>
      <w:r w:rsidRPr="00AA688B">
        <w:rPr>
          <w:color w:val="000000"/>
        </w:rPr>
        <w:lastRenderedPageBreak/>
        <w:t>prostředků na kybernetickou bezpečnost do roku 2027 na 10 % rozpočtu Parlamentu, který je vyhrazen na informační a komunikační technologie;</w:t>
      </w:r>
    </w:p>
    <w:p w14:paraId="4C179227" w14:textId="77777777" w:rsidR="00E8114D" w:rsidRPr="00AA688B" w:rsidRDefault="00E8114D" w:rsidP="004A0BED">
      <w:pPr>
        <w:widowControl/>
        <w:spacing w:after="240"/>
        <w:ind w:left="567" w:hanging="567"/>
        <w:rPr>
          <w:color w:val="000000"/>
        </w:rPr>
      </w:pPr>
      <w:r w:rsidRPr="00AA688B">
        <w:rPr>
          <w:color w:val="000000"/>
        </w:rPr>
        <w:t>13.</w:t>
      </w:r>
      <w:r w:rsidRPr="00AA688B">
        <w:rPr>
          <w:color w:val="000000"/>
        </w:rPr>
        <w:tab/>
        <w:t xml:space="preserve">vítá skutečnost, že předsednictvo dne 10. února 2025 přijalo interní rámec pro řízení, správu a kontrolu kybernetických bezpečnostních rizik; připomíná, že investice do kybernetické bezpečnosti mají klíčový význam pro ochranu demokratického hlasu Parlamentu a Unie; </w:t>
      </w:r>
    </w:p>
    <w:p w14:paraId="3F4EB94F" w14:textId="77777777" w:rsidR="00E8114D" w:rsidRPr="00AA688B" w:rsidRDefault="00E8114D" w:rsidP="004A0BED">
      <w:pPr>
        <w:widowControl/>
        <w:spacing w:after="240"/>
        <w:ind w:left="567" w:hanging="567"/>
        <w:rPr>
          <w:color w:val="000000"/>
        </w:rPr>
      </w:pPr>
      <w:r w:rsidRPr="00AA688B">
        <w:rPr>
          <w:color w:val="000000"/>
        </w:rPr>
        <w:t>14.</w:t>
      </w:r>
      <w:r w:rsidRPr="00AA688B">
        <w:rPr>
          <w:color w:val="000000"/>
        </w:rPr>
        <w:tab/>
        <w:t>vítá investice do umělé inteligence ve výši 1 milionu EUR; žádá, aby byla umělá inteligence v zájmu zvýšení efektivity více využívána, avšak aby se současně pamatovalo na související rizika, včetně etiky a ochrany údajů; zdůrazňuje potenciál umělé inteligence pro zefektivnění administrativních procesů; zdůrazňuje, že při zavádění umělé inteligence je nutné dosáhnout rovnováhy mezi inovacemi a nezbytnými zárukami; bere na vědomí, že vývoj umělé inteligence bude pozorně sledován v souladu se zásadami stanovenými předsednictvem, mezi něž patří důkladné posouzení rizik s využitím nových technologií; vyzývá sekretariát, aby poskytl řešení, jako jsou aplikace a nástroje, a co nejdříve je zpřístupnil poslancům a zaměstnancům;</w:t>
      </w:r>
    </w:p>
    <w:p w14:paraId="4A27EF0E" w14:textId="77777777" w:rsidR="00E8114D" w:rsidRPr="00AA688B" w:rsidRDefault="00E8114D" w:rsidP="004A0BED">
      <w:pPr>
        <w:keepNext/>
        <w:widowControl/>
        <w:spacing w:after="240"/>
        <w:ind w:left="357" w:hanging="357"/>
        <w:rPr>
          <w:b/>
          <w:i/>
          <w:color w:val="000000"/>
        </w:rPr>
      </w:pPr>
      <w:r w:rsidRPr="00AA688B">
        <w:rPr>
          <w:b/>
          <w:i/>
          <w:color w:val="000000"/>
        </w:rPr>
        <w:t>Ekologická transformace</w:t>
      </w:r>
    </w:p>
    <w:p w14:paraId="790AC061" w14:textId="77777777" w:rsidR="00E8114D" w:rsidRPr="00AA688B" w:rsidRDefault="00E8114D" w:rsidP="004A0BED">
      <w:pPr>
        <w:widowControl/>
        <w:spacing w:after="240"/>
        <w:ind w:left="567" w:hanging="567"/>
        <w:rPr>
          <w:color w:val="000000"/>
        </w:rPr>
      </w:pPr>
      <w:r w:rsidRPr="00AA688B">
        <w:rPr>
          <w:color w:val="000000"/>
        </w:rPr>
        <w:t>15.</w:t>
      </w:r>
      <w:r w:rsidRPr="00AA688B">
        <w:rPr>
          <w:color w:val="000000"/>
        </w:rPr>
        <w:tab/>
        <w:t>vítá cíle systému environmentálního řízení Parlamentu (EMAS) na období 2025–2029; připomíná, že dobrým způsobem, jak dosáhnout ekonomicky výhodného řešení, jsou investice do energetické účinnosti; bere na vědomí, že na investice do energetické účinnosti a životního prostředí, jež mají dále zlepšit environmentální výkonnost budov Parlamentu, je v odhadu příjmů a výdajů na rok 2026 rozpočet ve výši 8,45 milionu EUR; konstatuje, že to odpovídá zvýšení o 74 % ve srovnání s rozpočtem na rok 2025; uznává však, že tato environmentální opatření jsou součástí rozpočtové položky 2 0 0 7 „Výstavba budov a zařízení prostor“, jejíž celková výše se v roce 2026 oproti roku 2025 snížila o 3,7 milionu EUR;</w:t>
      </w:r>
    </w:p>
    <w:p w14:paraId="2C833057" w14:textId="77777777" w:rsidR="00E8114D" w:rsidRPr="00AA688B" w:rsidRDefault="00E8114D" w:rsidP="004A0BED">
      <w:pPr>
        <w:widowControl/>
        <w:spacing w:after="240"/>
        <w:ind w:left="567" w:hanging="567"/>
        <w:rPr>
          <w:color w:val="000000"/>
        </w:rPr>
      </w:pPr>
      <w:r w:rsidRPr="00AA688B">
        <w:rPr>
          <w:color w:val="000000"/>
        </w:rPr>
        <w:t>16.</w:t>
      </w:r>
      <w:r w:rsidRPr="00AA688B">
        <w:rPr>
          <w:color w:val="000000"/>
        </w:rPr>
        <w:tab/>
        <w:t>připomíná, že téměř dvě třetiny uhlíkové stopy Parlamentu vznikají při přepravě osob; žádá, aby byly přiměřeně omezeny cesty na schůze, které lze účinně vést distančně nebo hybridně, a aby byly pro všechny zbylé cesty upřednostňovány nízkouhlíkové alternativy, pokud to nebude mít vliv na kvalitu legislativní a politické činnosti;</w:t>
      </w:r>
    </w:p>
    <w:p w14:paraId="3FE2510C" w14:textId="77777777" w:rsidR="00E8114D" w:rsidRPr="00AA688B" w:rsidRDefault="00E8114D" w:rsidP="004A0BED">
      <w:pPr>
        <w:widowControl/>
        <w:spacing w:after="240"/>
        <w:ind w:left="567" w:hanging="567"/>
        <w:rPr>
          <w:color w:val="000000"/>
        </w:rPr>
      </w:pPr>
      <w:r w:rsidRPr="00AA688B">
        <w:rPr>
          <w:color w:val="000000"/>
        </w:rPr>
        <w:t>17.</w:t>
      </w:r>
      <w:r w:rsidRPr="00AA688B">
        <w:rPr>
          <w:color w:val="000000"/>
        </w:rPr>
        <w:tab/>
        <w:t>bere na vědomí, že pokud by došlo k předpokládanému zvýšení cen uhlíkových kreditů, vyžádalo by si to v roce 2026 při současné úrovni emisí přibližně 900 000 EUR; vyzývá správu, aby v souladu s řádným finančním řízením i nadále snižovala emise Parlamentu, spíše než nakupovala uhlíkové kredity; považuje rozšíření nabídky vlaků pro pracovní cesty do Štrasburku od července 2025 za pozitivní krok ke snížení emisí CO</w:t>
      </w:r>
      <w:r w:rsidRPr="00AA688B">
        <w:rPr>
          <w:color w:val="000000"/>
          <w:vertAlign w:val="subscript"/>
        </w:rPr>
        <w:t>2</w:t>
      </w:r>
      <w:r w:rsidRPr="00AA688B">
        <w:rPr>
          <w:color w:val="000000"/>
        </w:rPr>
        <w:t>;</w:t>
      </w:r>
    </w:p>
    <w:p w14:paraId="684C1239" w14:textId="77777777" w:rsidR="00E8114D" w:rsidRPr="00AA688B" w:rsidRDefault="00E8114D" w:rsidP="004A0BED">
      <w:pPr>
        <w:widowControl/>
        <w:spacing w:after="240"/>
        <w:ind w:left="567" w:hanging="567"/>
        <w:rPr>
          <w:color w:val="000000"/>
        </w:rPr>
      </w:pPr>
      <w:r w:rsidRPr="00AA688B">
        <w:rPr>
          <w:color w:val="000000"/>
        </w:rPr>
        <w:t>18.</w:t>
      </w:r>
      <w:r w:rsidRPr="00AA688B">
        <w:rPr>
          <w:color w:val="000000"/>
        </w:rPr>
        <w:tab/>
        <w:t xml:space="preserve">konstatuje, že Parlament v zájmu dalšího zvýšení podílu energie z obnovitelných zdrojů vyrobené na místě a dosažení cíle ve výši 25 % již nainstaloval a nepřestává instalovat </w:t>
      </w:r>
      <w:proofErr w:type="spellStart"/>
      <w:r w:rsidRPr="00AA688B">
        <w:rPr>
          <w:color w:val="000000"/>
        </w:rPr>
        <w:t>fotovoltaické</w:t>
      </w:r>
      <w:proofErr w:type="spellEnd"/>
      <w:r w:rsidRPr="00AA688B">
        <w:rPr>
          <w:color w:val="000000"/>
        </w:rPr>
        <w:t xml:space="preserve"> solární panely; bere na vědomí odpovědi generálního tajemníka v souvislosti s odhadem příjmů a výdajů Parlamentu na rozpočtový rok 2024 a poukazuje na to, že v letech 2022 až 2023 byla provedena studie o využívání </w:t>
      </w:r>
      <w:proofErr w:type="spellStart"/>
      <w:r w:rsidRPr="00AA688B">
        <w:rPr>
          <w:color w:val="000000"/>
        </w:rPr>
        <w:t>fotovoltaických</w:t>
      </w:r>
      <w:proofErr w:type="spellEnd"/>
      <w:r w:rsidRPr="00AA688B">
        <w:rPr>
          <w:color w:val="000000"/>
        </w:rPr>
        <w:t xml:space="preserve"> panelů pro budovy ve Štrasburku a že v roce 2024 měly být provedeny další studie životaschopných řešení, zejména pro budovu WEISS;</w:t>
      </w:r>
    </w:p>
    <w:p w14:paraId="4963FEE1" w14:textId="77777777" w:rsidR="00E8114D" w:rsidRPr="00AA688B" w:rsidRDefault="00E8114D" w:rsidP="004A0BED">
      <w:pPr>
        <w:spacing w:after="240"/>
        <w:rPr>
          <w:b/>
          <w:i/>
          <w:color w:val="000000"/>
        </w:rPr>
      </w:pPr>
      <w:r w:rsidRPr="00AA688B">
        <w:rPr>
          <w:b/>
          <w:i/>
          <w:color w:val="000000"/>
        </w:rPr>
        <w:t>Mnohojazyčnost, komunikace a dezinformace</w:t>
      </w:r>
    </w:p>
    <w:p w14:paraId="1C35E657" w14:textId="77777777" w:rsidR="00E8114D" w:rsidRPr="00AA688B" w:rsidRDefault="00E8114D" w:rsidP="004A0BED">
      <w:pPr>
        <w:widowControl/>
        <w:spacing w:after="240"/>
        <w:ind w:left="567" w:hanging="567"/>
        <w:rPr>
          <w:color w:val="000000"/>
        </w:rPr>
      </w:pPr>
      <w:r w:rsidRPr="00AA688B">
        <w:rPr>
          <w:color w:val="000000"/>
        </w:rPr>
        <w:lastRenderedPageBreak/>
        <w:t>19.</w:t>
      </w:r>
      <w:r w:rsidRPr="00AA688B">
        <w:rPr>
          <w:color w:val="000000"/>
        </w:rPr>
        <w:tab/>
        <w:t>zdůrazňuje, že klíčovou zásadou, na níž je založena činnost Parlamentu, je mnohojazyčnost; bere na vědomí revizi pravidel pro uplatňování mnohojazyčnosti plánovanou na jaro 2025; žádá, aby Parlament tam, kde je to vhodné, využíval významného technologického vývoje služeb v oblasti mnohojazyčnosti, včetně vývoje a využívání umělé inteligence; žádá generálního tajemníka, aby včas informoval Rozpočtový výbor o veškerých rozpočtových dopadech této revize;</w:t>
      </w:r>
    </w:p>
    <w:p w14:paraId="5AD260F5" w14:textId="77777777" w:rsidR="00E8114D" w:rsidRPr="00AA688B" w:rsidRDefault="00E8114D" w:rsidP="004A0BED">
      <w:pPr>
        <w:widowControl/>
        <w:spacing w:after="240"/>
        <w:ind w:left="567" w:hanging="567"/>
        <w:rPr>
          <w:color w:val="000000"/>
        </w:rPr>
      </w:pPr>
      <w:r w:rsidRPr="00AA688B">
        <w:rPr>
          <w:color w:val="000000"/>
        </w:rPr>
        <w:t>20.</w:t>
      </w:r>
      <w:r w:rsidRPr="00AA688B">
        <w:rPr>
          <w:color w:val="000000"/>
        </w:rPr>
        <w:tab/>
        <w:t>zdůrazňuje úlohu, již hrají v boji proti zahraničnímu vměšování a dezinformacím kontaktní kanceláře Evropského parlamentu; bere v této souvislosti na vědomí, že činnost kontaktních kanceláří aktivně propaguje prostřednictvím řady různých kanálů práci Parlamentu v místních jazycích; zdůrazňuje úlohu kontaktních kanceláří ve Spojeném království, kde jsou pro státní příslušníky Unie, kteří mají bydliště ve Spojeném království, hlavním kontaktním místem, poskytují jim informace o Parlamentu a vybízejí je, aby se účastnili voleb do Evropského parlamentu; žádá předsednictvo, aby rozšířilo produkci a přístupné a inkluzivní šíření komunikačních materiálů;</w:t>
      </w:r>
    </w:p>
    <w:p w14:paraId="53DE9089" w14:textId="77777777" w:rsidR="00E8114D" w:rsidRPr="00AA688B" w:rsidRDefault="00E8114D" w:rsidP="004A0BED">
      <w:pPr>
        <w:widowControl/>
        <w:spacing w:after="240"/>
        <w:ind w:left="567" w:hanging="567"/>
        <w:rPr>
          <w:color w:val="000000"/>
        </w:rPr>
      </w:pPr>
      <w:r w:rsidRPr="00AA688B">
        <w:rPr>
          <w:color w:val="000000"/>
        </w:rPr>
        <w:t>21.</w:t>
      </w:r>
      <w:r w:rsidRPr="00AA688B">
        <w:rPr>
          <w:color w:val="000000"/>
        </w:rPr>
        <w:tab/>
        <w:t>upozorňuje na nízkou míru účasti mladých lidí v nedávných volbách do Evropského parlamentu v některých regionech Unie a na úlohu Parlamentu při posilování výchovy k občanství EU;</w:t>
      </w:r>
    </w:p>
    <w:p w14:paraId="1C5BC970" w14:textId="77777777" w:rsidR="00E8114D" w:rsidRPr="00AA688B" w:rsidRDefault="00E8114D" w:rsidP="004A0BED">
      <w:pPr>
        <w:widowControl/>
        <w:spacing w:after="240"/>
        <w:ind w:left="567" w:hanging="567"/>
        <w:rPr>
          <w:color w:val="000000"/>
        </w:rPr>
      </w:pPr>
      <w:r w:rsidRPr="00AA688B">
        <w:rPr>
          <w:color w:val="000000"/>
        </w:rPr>
        <w:t>22.</w:t>
      </w:r>
      <w:r w:rsidRPr="00AA688B">
        <w:rPr>
          <w:color w:val="000000"/>
        </w:rPr>
        <w:tab/>
        <w:t xml:space="preserve">připomíná význam programu Evropského parlamentu „Vyslanci do škol“, jenž má podporovat aktivní zapojení mladých Evropanů, a vzdělávacího programu pro mladé novináře pojmenovaného na počest Davida </w:t>
      </w:r>
      <w:proofErr w:type="spellStart"/>
      <w:r w:rsidRPr="00AA688B">
        <w:rPr>
          <w:color w:val="000000"/>
        </w:rPr>
        <w:t>Sassoliho</w:t>
      </w:r>
      <w:proofErr w:type="spellEnd"/>
      <w:r w:rsidRPr="00AA688B">
        <w:rPr>
          <w:color w:val="000000"/>
        </w:rPr>
        <w:t>, jenž má zlepšovat porozumění Unii a jejímu fungování mezi novináři, neboť se jedná o nejlepší prostředek boje proti dezinformacím, s ohledem na nedávné trendy svědčící o znepokojivém poklesu svobody a nezávislosti sdělovacích prostředků v Unii;</w:t>
      </w:r>
    </w:p>
    <w:p w14:paraId="084B9639" w14:textId="77777777" w:rsidR="00E8114D" w:rsidRPr="00AA688B" w:rsidRDefault="00E8114D" w:rsidP="004A0BED">
      <w:pPr>
        <w:widowControl/>
        <w:spacing w:after="240"/>
        <w:ind w:left="567" w:hanging="567"/>
        <w:rPr>
          <w:color w:val="000000"/>
        </w:rPr>
      </w:pPr>
      <w:r w:rsidRPr="00AA688B">
        <w:rPr>
          <w:color w:val="000000"/>
        </w:rPr>
        <w:t>23.</w:t>
      </w:r>
      <w:r w:rsidRPr="00AA688B">
        <w:rPr>
          <w:color w:val="000000"/>
        </w:rPr>
        <w:tab/>
        <w:t>uznává význam skupinových návštěv, které jsou důležitým nástrojem pro propojení občanů s prací poslanců; vítá v tomto ohledu, že byly od 1. ledna 2025 zvýšeny stropy a nákladové faktory pro výpočet finančního příspěvku návštěvníkům pod záštitou poslance;</w:t>
      </w:r>
      <w:r w:rsidRPr="00AA688B">
        <w:t xml:space="preserve"> </w:t>
      </w:r>
      <w:r w:rsidRPr="00AA688B">
        <w:rPr>
          <w:color w:val="000000"/>
        </w:rPr>
        <w:t>žádá předsednictvo, aby posoudilo dopad revidovaných pravidel týkajících se skupinových návštěv, pokud jde o cestovní náklady, s přihlédnutím k výkyvům na trhu, a pokud jde o zabránění nepřímé zeměpisné diskriminaci návštěvníků; konstatuje, že poslanci přibližně 15 % kvóty pro návštěvníky historicky nevyužívají; vyzývá generálního tajemníka, aby předsednictvu předložil návrh, podle nějž bude nevyužitá kvóta dána k dispozici poslancům, kteří o to projeví zájem; konstatuje, že rozpočet na skupinové návštěvy představuje 22 % celkového rozpočtu generálního ředitelství pro komunikaci;</w:t>
      </w:r>
    </w:p>
    <w:p w14:paraId="56CEB597" w14:textId="77777777" w:rsidR="00E8114D" w:rsidRPr="00AA688B" w:rsidRDefault="00E8114D" w:rsidP="004A0BED">
      <w:pPr>
        <w:widowControl/>
        <w:spacing w:after="240"/>
        <w:ind w:left="567" w:hanging="567"/>
        <w:rPr>
          <w:color w:val="000000"/>
        </w:rPr>
      </w:pPr>
      <w:r w:rsidRPr="00AA688B">
        <w:rPr>
          <w:color w:val="000000"/>
        </w:rPr>
        <w:t>24.</w:t>
      </w:r>
      <w:r w:rsidRPr="00AA688B">
        <w:rPr>
          <w:color w:val="000000"/>
        </w:rPr>
        <w:tab/>
        <w:t>se znepokojením bere na vědomí vnitřní pravidla pro skupinové návštěvy pod záštitou poslanců, podle nichž musí akreditovaní parlamentní asistenti uhradit za určitých okolností 30 % počátečních nákladů; upozorňuje na praktickou neproveditelnost těchto pravidel a na finanční zátěž, kterou to pro akreditované parlamentní asistenty představuje; bere na vědomí odpovědi generálního tajemníka v souvislosti s odhadem příjmů a výdajů Parlamentu na rozpočtový rok 2024, pokud jde o odůvodnění dvoufázového přístupu; chápe dané důvody, ale zdůrazňuje rostoucí výzvy, které z toho, vzhledem k ustavičnému zpřísňování pravidel, plynou pro akreditované parlamentní asistenty;</w:t>
      </w:r>
    </w:p>
    <w:p w14:paraId="53193420" w14:textId="77777777" w:rsidR="00E8114D" w:rsidRPr="00AA688B" w:rsidRDefault="00E8114D" w:rsidP="004A0BED">
      <w:pPr>
        <w:widowControl/>
        <w:spacing w:after="240"/>
        <w:ind w:left="567" w:hanging="567"/>
        <w:rPr>
          <w:color w:val="000000"/>
        </w:rPr>
      </w:pPr>
      <w:r w:rsidRPr="00AA688B">
        <w:rPr>
          <w:color w:val="000000"/>
        </w:rPr>
        <w:t>25.</w:t>
      </w:r>
      <w:r w:rsidRPr="00AA688B">
        <w:rPr>
          <w:color w:val="000000"/>
        </w:rPr>
        <w:tab/>
        <w:t xml:space="preserve">zdůrazňuje, že stále roste náročnost komunikačního prostředí a přibývá způsobů, jak by se měla politická komunikace provádět, od zapojení do různých platforem sociálních </w:t>
      </w:r>
      <w:r w:rsidRPr="00AA688B">
        <w:rPr>
          <w:color w:val="000000"/>
        </w:rPr>
        <w:lastRenderedPageBreak/>
        <w:t>médií po práci s dalšími sdělovací prostředky; zdůrazňuje, že je třeba, aby politické skupiny sdělovaly a vyjadřovaly svá poselství ve všech členských státech, což je zásada klíčová pro dobré fungování evropské demokracie;</w:t>
      </w:r>
    </w:p>
    <w:p w14:paraId="08F19A67" w14:textId="77777777" w:rsidR="00E8114D" w:rsidRPr="00AA688B" w:rsidRDefault="00E8114D" w:rsidP="004A0BED">
      <w:pPr>
        <w:spacing w:after="240"/>
        <w:rPr>
          <w:b/>
          <w:i/>
          <w:color w:val="000000"/>
        </w:rPr>
      </w:pPr>
      <w:r w:rsidRPr="00AA688B">
        <w:rPr>
          <w:b/>
          <w:i/>
          <w:color w:val="000000"/>
        </w:rPr>
        <w:t>Infrastruktura</w:t>
      </w:r>
    </w:p>
    <w:p w14:paraId="37BD0EAD" w14:textId="77777777" w:rsidR="00E8114D" w:rsidRPr="00AA688B" w:rsidRDefault="00E8114D" w:rsidP="004A0BED">
      <w:pPr>
        <w:widowControl/>
        <w:spacing w:after="240"/>
        <w:ind w:left="567" w:hanging="567"/>
        <w:rPr>
          <w:color w:val="000000"/>
        </w:rPr>
      </w:pPr>
      <w:r w:rsidRPr="00AA688B">
        <w:rPr>
          <w:color w:val="000000"/>
        </w:rPr>
        <w:t>26.</w:t>
      </w:r>
      <w:r w:rsidRPr="00AA688B">
        <w:rPr>
          <w:color w:val="000000"/>
        </w:rPr>
        <w:tab/>
        <w:t>bere na vědomí nový přístup týkající se budov, na jehož základě Parlament po období akvizice vstoupil do fáze konsolidace budov a přihlíží při tom k udržitelnosti, přístupnosti a mobilitě poslanců a zaměstnanců;</w:t>
      </w:r>
    </w:p>
    <w:p w14:paraId="6AE8D198" w14:textId="77777777" w:rsidR="00E8114D" w:rsidRPr="00AA688B" w:rsidRDefault="00E8114D" w:rsidP="004A0BED">
      <w:pPr>
        <w:widowControl/>
        <w:spacing w:after="240"/>
        <w:ind w:left="567" w:hanging="567"/>
        <w:rPr>
          <w:color w:val="000000"/>
        </w:rPr>
      </w:pPr>
      <w:r w:rsidRPr="00AA688B">
        <w:rPr>
          <w:color w:val="000000"/>
        </w:rPr>
        <w:t>27.</w:t>
      </w:r>
      <w:r w:rsidRPr="00AA688B">
        <w:rPr>
          <w:color w:val="000000"/>
        </w:rPr>
        <w:tab/>
        <w:t>bere na vědomí, že do odhadu příjmů a výdajů na rok 2026 jsou zahrnuty 4 miliony EUR na studie a přípravné práce dodavatele v souvislosti s renovací budovy SPAAK, přičemž celkové náklady se odhadují na 36 milionů EUR; konstatuje proto, že do odhadu příjmů a výdajů na rok 2026 nejsou zahrnuty náklady na renovaci budovy SPAAK ve výši 32 milionů EUR; konstatuje, že generální tajemník má v úmyslu pokrýt tyto náklady sběrným převodem nebo využitím půjčky; žádá generálního tajemníka, aby Rozpočtovému výboru co nejdříve poskytl podrobné informace o možné půjčce na pokrytí těchto nákladů v souladu s čl. 272 odst. 6 finančního nařízení, jakož i kompletní plán prací, včetně naplánování nákladů; trvá na tom, že náklady, které nejsou přímo spojeny s renovačními pracemi, by měly být rovněž jasně uvedeny a zahrnuty do rozpočtu; konstatuje, že k prosinci 2024 činily přímé náklady na projekt SPAAK 14,12 milionu EUR;</w:t>
      </w:r>
    </w:p>
    <w:p w14:paraId="00BDB0C1" w14:textId="77777777" w:rsidR="00E8114D" w:rsidRPr="00AA688B" w:rsidRDefault="00E8114D" w:rsidP="004A0BED">
      <w:pPr>
        <w:widowControl/>
        <w:spacing w:after="240"/>
        <w:ind w:left="567" w:hanging="567"/>
        <w:rPr>
          <w:color w:val="000000"/>
        </w:rPr>
      </w:pPr>
      <w:r w:rsidRPr="00AA688B">
        <w:rPr>
          <w:color w:val="000000"/>
        </w:rPr>
        <w:t>28.</w:t>
      </w:r>
      <w:r w:rsidRPr="00AA688B">
        <w:rPr>
          <w:color w:val="000000"/>
        </w:rPr>
        <w:tab/>
        <w:t xml:space="preserve">vítá pilotní projekt GŘ INLO zaměřený na odstranění </w:t>
      </w:r>
      <w:proofErr w:type="spellStart"/>
      <w:r w:rsidRPr="00AA688B">
        <w:rPr>
          <w:color w:val="000000"/>
        </w:rPr>
        <w:t>legionelly</w:t>
      </w:r>
      <w:proofErr w:type="spellEnd"/>
      <w:r w:rsidRPr="00AA688B">
        <w:rPr>
          <w:color w:val="000000"/>
        </w:rPr>
        <w:t xml:space="preserve"> ze systému potrubí Parlamentu a zdůrazňuje, že jediným účinným způsobem, jak bojovat proti dalšímu šíření </w:t>
      </w:r>
      <w:proofErr w:type="spellStart"/>
      <w:r w:rsidRPr="00AA688B">
        <w:rPr>
          <w:color w:val="000000"/>
        </w:rPr>
        <w:t>legionelly</w:t>
      </w:r>
      <w:proofErr w:type="spellEnd"/>
      <w:r w:rsidRPr="00AA688B">
        <w:rPr>
          <w:color w:val="000000"/>
        </w:rPr>
        <w:t>, je snížit na omezenou dobu teplotu vody uvnitř potrubí na 55 °C;</w:t>
      </w:r>
    </w:p>
    <w:p w14:paraId="08328B66" w14:textId="77777777" w:rsidR="00E8114D" w:rsidRPr="00AA688B" w:rsidRDefault="00E8114D" w:rsidP="004A0BED">
      <w:pPr>
        <w:widowControl/>
        <w:spacing w:after="240"/>
        <w:ind w:left="567" w:hanging="567"/>
        <w:rPr>
          <w:color w:val="000000"/>
        </w:rPr>
      </w:pPr>
      <w:bookmarkStart w:id="8" w:name="_heading=h.30j0zll"/>
      <w:bookmarkEnd w:id="8"/>
      <w:r w:rsidRPr="00AA688B">
        <w:rPr>
          <w:color w:val="000000"/>
        </w:rPr>
        <w:t>29.</w:t>
      </w:r>
      <w:r w:rsidRPr="00AA688B">
        <w:rPr>
          <w:color w:val="000000"/>
        </w:rPr>
        <w:tab/>
        <w:t xml:space="preserve">konstatuje, že v roce 2026 se plánuje investovat 11,45 milionu EUR do center Europa </w:t>
      </w:r>
      <w:proofErr w:type="spellStart"/>
      <w:r w:rsidRPr="00AA688B">
        <w:rPr>
          <w:color w:val="000000"/>
        </w:rPr>
        <w:t>Experience</w:t>
      </w:r>
      <w:proofErr w:type="spellEnd"/>
      <w:r w:rsidRPr="00AA688B">
        <w:rPr>
          <w:color w:val="000000"/>
        </w:rPr>
        <w:t xml:space="preserve">; bere na vědomí rozhodnutí předsednictva z listopadu 2024 přehodnotit koncepci Europa </w:t>
      </w:r>
      <w:proofErr w:type="spellStart"/>
      <w:r w:rsidRPr="00AA688B">
        <w:rPr>
          <w:color w:val="000000"/>
        </w:rPr>
        <w:t>Experience</w:t>
      </w:r>
      <w:proofErr w:type="spellEnd"/>
      <w:r w:rsidRPr="00AA688B">
        <w:rPr>
          <w:color w:val="000000"/>
        </w:rPr>
        <w:t xml:space="preserve"> a očekává, že revidovaná koncepce bude nákladově efektivnější a atraktivnější pro návštěvníky; vyjadřuje politování nad tím, že v Bukurešti, Rize, Madridu, Lisabonu, Nikósii, Vallettě nebo Vilniusu stále neexistují žádná centra Europa </w:t>
      </w:r>
      <w:proofErr w:type="spellStart"/>
      <w:r w:rsidRPr="00AA688B">
        <w:rPr>
          <w:color w:val="000000"/>
        </w:rPr>
        <w:t>Experience</w:t>
      </w:r>
      <w:proofErr w:type="spellEnd"/>
      <w:r w:rsidRPr="00AA688B">
        <w:rPr>
          <w:color w:val="000000"/>
        </w:rPr>
        <w:t xml:space="preserve">; vyzývá ke zřízení center Europa </w:t>
      </w:r>
      <w:proofErr w:type="spellStart"/>
      <w:r w:rsidRPr="00AA688B">
        <w:rPr>
          <w:color w:val="000000"/>
        </w:rPr>
        <w:t>Experience</w:t>
      </w:r>
      <w:proofErr w:type="spellEnd"/>
      <w:r w:rsidRPr="00AA688B">
        <w:rPr>
          <w:color w:val="000000"/>
        </w:rPr>
        <w:t xml:space="preserve"> ve všech členských státech, jakmile bude revidovaná koncepce vytvořena; připomíná, že centra Europa </w:t>
      </w:r>
      <w:proofErr w:type="spellStart"/>
      <w:r w:rsidRPr="00AA688B">
        <w:rPr>
          <w:color w:val="000000"/>
        </w:rPr>
        <w:t>Experience</w:t>
      </w:r>
      <w:proofErr w:type="spellEnd"/>
      <w:r w:rsidRPr="00AA688B">
        <w:rPr>
          <w:color w:val="000000"/>
        </w:rPr>
        <w:t xml:space="preserve"> by měla občanům umožnit lépe pochopit, jak funguje Unie, a dozvědět se více o našich sdílených hodnotách; opakuje proto, že centra Europa </w:t>
      </w:r>
      <w:proofErr w:type="spellStart"/>
      <w:r w:rsidRPr="00AA688B">
        <w:rPr>
          <w:color w:val="000000"/>
        </w:rPr>
        <w:t>Experience</w:t>
      </w:r>
      <w:proofErr w:type="spellEnd"/>
      <w:r w:rsidRPr="00AA688B">
        <w:rPr>
          <w:color w:val="000000"/>
        </w:rPr>
        <w:t xml:space="preserve"> jsou nedílnou součástí pokračující spolupráce Parlamentu s občany Unie;</w:t>
      </w:r>
    </w:p>
    <w:p w14:paraId="161A6CC6" w14:textId="77777777" w:rsidR="00E8114D" w:rsidRPr="00AA688B" w:rsidRDefault="00E8114D" w:rsidP="004A0BED">
      <w:pPr>
        <w:widowControl/>
        <w:spacing w:after="240"/>
        <w:ind w:left="567" w:hanging="567"/>
        <w:rPr>
          <w:color w:val="000000"/>
        </w:rPr>
      </w:pPr>
      <w:r w:rsidRPr="00AA688B">
        <w:rPr>
          <w:color w:val="000000"/>
        </w:rPr>
        <w:t>30.</w:t>
      </w:r>
      <w:r w:rsidRPr="00AA688B">
        <w:rPr>
          <w:color w:val="000000"/>
        </w:rPr>
        <w:tab/>
        <w:t>konstatuje, že pro otevření kanceláří Parlamentu v Moldavsku a na západním Balkáně nejsou zapotřebí žádné další finanční prostředky, neboť tyto kanceláře budou zřízeny v prostorách ESVČ; zdůrazňuje význam přítomnosti Parlamentu v těchto zemích jako znamení evropské solidarity a závazku Parlamentu k procesu přistoupení;</w:t>
      </w:r>
    </w:p>
    <w:p w14:paraId="0ECBA70F" w14:textId="77777777" w:rsidR="00E8114D" w:rsidRPr="00AA688B" w:rsidRDefault="00E8114D" w:rsidP="004A0BED">
      <w:pPr>
        <w:widowControl/>
        <w:spacing w:after="240"/>
        <w:ind w:left="567" w:hanging="567"/>
        <w:rPr>
          <w:color w:val="000000"/>
        </w:rPr>
      </w:pPr>
      <w:r w:rsidRPr="00AA688B">
        <w:rPr>
          <w:color w:val="000000"/>
        </w:rPr>
        <w:t>31.</w:t>
      </w:r>
      <w:r w:rsidRPr="00AA688B">
        <w:rPr>
          <w:color w:val="000000"/>
        </w:rPr>
        <w:tab/>
        <w:t xml:space="preserve">bere na vědomí předčasné ukončení smlouvy s předchozím poskytovatelem jeslí </w:t>
      </w:r>
      <w:proofErr w:type="spellStart"/>
      <w:r w:rsidRPr="00AA688B">
        <w:rPr>
          <w:color w:val="000000"/>
        </w:rPr>
        <w:t>Crèche</w:t>
      </w:r>
      <w:proofErr w:type="spellEnd"/>
      <w:r w:rsidRPr="00AA688B">
        <w:rPr>
          <w:color w:val="000000"/>
        </w:rPr>
        <w:t xml:space="preserve"> </w:t>
      </w:r>
      <w:proofErr w:type="spellStart"/>
      <w:r w:rsidRPr="00AA688B">
        <w:rPr>
          <w:color w:val="000000"/>
        </w:rPr>
        <w:t>Wayenberg</w:t>
      </w:r>
      <w:proofErr w:type="spellEnd"/>
      <w:r w:rsidRPr="00AA688B">
        <w:rPr>
          <w:color w:val="000000"/>
        </w:rPr>
        <w:t xml:space="preserve"> poté, co byla vůči provozovateli vznesena řada závažných obvinění; vítá dohodu s novým poskytovatelem, která předpokládá lepší pracovní podmínky pro zaměstnance a lepší kvalitu služeb pro děti; uznává nicméně, že to vede ke zvýšení rozpočtu nezbytného pro tento účel, zdůrazňuje však, že důstojné pracovní podmínky pro externí pracovníky by měly být ze zásady při zadávání veřejných zakázek Parlamentu prioritou;</w:t>
      </w:r>
    </w:p>
    <w:p w14:paraId="35D4B258" w14:textId="77777777" w:rsidR="00E8114D" w:rsidRPr="00AA688B" w:rsidRDefault="00E8114D" w:rsidP="004A0BED">
      <w:pPr>
        <w:widowControl/>
        <w:spacing w:after="240"/>
        <w:ind w:left="567" w:hanging="567"/>
        <w:rPr>
          <w:color w:val="000000"/>
        </w:rPr>
      </w:pPr>
      <w:r w:rsidRPr="00AA688B">
        <w:rPr>
          <w:color w:val="000000"/>
        </w:rPr>
        <w:lastRenderedPageBreak/>
        <w:t>32.</w:t>
      </w:r>
      <w:r w:rsidRPr="00AA688B">
        <w:rPr>
          <w:color w:val="000000"/>
        </w:rPr>
        <w:tab/>
        <w:t>opakuje, že prostory vyhrazené pro péči o děti v prostorách Parlamentu se musí vyznačovat vysokou kvalitou, a vyzývá příslušné útvary, aby modernizovaly stávající zařízení, pokud jde o vybavení, prostor a přístupnost, aby byla uzpůsobena dětem; vyzývá k posouzení dopadů v souvislosti s potřebou zřídit v prostorách Parlamentu v Bruselu rodinnou místnost pro děti poslanců, kteří nemají v Bruselu trvalý pobyt, která by napodobila rodinnou místnost ve Štrasburku;</w:t>
      </w:r>
    </w:p>
    <w:p w14:paraId="3BCAAB87" w14:textId="77777777" w:rsidR="00E8114D" w:rsidRPr="00AA688B" w:rsidRDefault="00E8114D" w:rsidP="004A0BED">
      <w:pPr>
        <w:spacing w:after="240"/>
        <w:rPr>
          <w:b/>
          <w:i/>
          <w:color w:val="000000"/>
        </w:rPr>
      </w:pPr>
      <w:r w:rsidRPr="00AA688B">
        <w:rPr>
          <w:b/>
          <w:i/>
          <w:color w:val="000000"/>
        </w:rPr>
        <w:t>Jiné</w:t>
      </w:r>
    </w:p>
    <w:p w14:paraId="69233C32" w14:textId="77777777" w:rsidR="00E8114D" w:rsidRPr="00AA688B" w:rsidRDefault="00E8114D" w:rsidP="004A0BED">
      <w:pPr>
        <w:spacing w:after="240"/>
        <w:ind w:left="567" w:hanging="567"/>
        <w:rPr>
          <w:color w:val="000000"/>
        </w:rPr>
      </w:pPr>
      <w:r w:rsidRPr="00AA688B">
        <w:rPr>
          <w:color w:val="000000"/>
        </w:rPr>
        <w:t>33.</w:t>
      </w:r>
      <w:r w:rsidRPr="00AA688B">
        <w:rPr>
          <w:color w:val="000000"/>
        </w:rPr>
        <w:tab/>
        <w:t>znovu opakuje svou žádost, která byla několikrát přijata na plenárním zasedání, aby příslušné orgány vypracovaly řešení, které by poslancům umožnilo během čerpání mateřské nebo otcovské dovolené či během dlouhodobé nemoci doložené osvědčením vykonávat své právo hlasovat na dálku, a využilo přitom zkušeností získaných během pandemie, pokud jde o technické aspekty tohoto způsobu hlasování;</w:t>
      </w:r>
    </w:p>
    <w:p w14:paraId="07C9486C" w14:textId="77777777" w:rsidR="00E8114D" w:rsidRPr="00AA688B" w:rsidRDefault="00E8114D" w:rsidP="004A0BED">
      <w:pPr>
        <w:spacing w:after="240"/>
        <w:ind w:left="567" w:hanging="567"/>
        <w:rPr>
          <w:color w:val="000000"/>
        </w:rPr>
      </w:pPr>
      <w:r w:rsidRPr="00AA688B">
        <w:rPr>
          <w:color w:val="000000"/>
        </w:rPr>
        <w:t>34.</w:t>
      </w:r>
      <w:r w:rsidRPr="00AA688B">
        <w:rPr>
          <w:color w:val="000000"/>
        </w:rPr>
        <w:tab/>
        <w:t>opakuje svou výzvu generálnímu tajemníkovi, aby trval na tom, že je důležité, aby byl veškerý nábor zaměstnanců založen na jejich kompetencích, a zároveň respektoval potřebu zeměpisné vyváženosti všech členských států na všech úrovních zaměstnanců; vyzývá Parlament, aby budoval vlastní kapacity pro navazování kontaktů s cílem přilákat do výběrových řízení kvalitní uchazeče, které Parlament potřebuje, a to z hlediska profilu, věku, genderu a státní příslušnosti, zejména pokud jde o uchazeče z nedostatečně zastoupených zemí; zdůrazňuje, že dosažení spravedlivého zeměpisného zastoupení má zásadní význam pro podporu skutečně evropské veřejné služby; konstatuje, že Parlament důsledně přijímá opatření na podporu tohoto cíle, včetně pořádání výběrových řízení pro jednotlivé země, a zároveň důsledně dodržuje postup výběru na základě zásluh;</w:t>
      </w:r>
    </w:p>
    <w:p w14:paraId="4FEC0D2F" w14:textId="77777777" w:rsidR="00E8114D" w:rsidRPr="00AA688B" w:rsidRDefault="00E8114D" w:rsidP="004A0BED">
      <w:pPr>
        <w:spacing w:after="240"/>
        <w:ind w:left="567" w:hanging="567"/>
        <w:rPr>
          <w:color w:val="000000"/>
        </w:rPr>
      </w:pPr>
      <w:r w:rsidRPr="00AA688B">
        <w:rPr>
          <w:color w:val="000000"/>
        </w:rPr>
        <w:t>35.</w:t>
      </w:r>
      <w:r w:rsidRPr="00AA688B">
        <w:rPr>
          <w:color w:val="000000"/>
        </w:rPr>
        <w:tab/>
        <w:t>domnívá se, že Parlament by měl jít příkladem, pokud jde o práva osob se zdravotním postižením, a to jako zaměstnavatel i jako veřejná instituce; vítá politiku Parlamentu, jejímž cílem je zajistit, aby mohly osoby se zdravotním postižením využívat budovy Parlamentu zcela nezávisle, a podporuje další opatření a úpravy, které budou v tomto ohledu nezbytné; konstatuje, že rozpočet na tento účel počítá s částkou 3,7 milionu EUR;</w:t>
      </w:r>
    </w:p>
    <w:p w14:paraId="2DC29586" w14:textId="6764655A" w:rsidR="00E8114D" w:rsidRPr="00AA688B" w:rsidRDefault="00E8114D" w:rsidP="004A0BED">
      <w:pPr>
        <w:spacing w:after="240"/>
        <w:ind w:left="567" w:hanging="567"/>
        <w:rPr>
          <w:color w:val="000000"/>
        </w:rPr>
      </w:pPr>
      <w:r w:rsidRPr="00AA688B">
        <w:rPr>
          <w:color w:val="000000"/>
        </w:rPr>
        <w:t>36.</w:t>
      </w:r>
      <w:r w:rsidRPr="00AA688B">
        <w:rPr>
          <w:color w:val="000000"/>
        </w:rPr>
        <w:tab/>
        <w:t>zdůrazňuje skutečnost, že Parlament</w:t>
      </w:r>
      <w:r w:rsidR="00B03A57">
        <w:rPr>
          <w:color w:val="000000"/>
        </w:rPr>
        <w:t xml:space="preserve"> s </w:t>
      </w:r>
      <w:r w:rsidRPr="00AA688B">
        <w:rPr>
          <w:color w:val="000000"/>
        </w:rPr>
        <w:t xml:space="preserve"> jedin</w:t>
      </w:r>
      <w:r w:rsidR="00B03A57">
        <w:rPr>
          <w:color w:val="000000"/>
        </w:rPr>
        <w:t>ým</w:t>
      </w:r>
      <w:r w:rsidRPr="00AA688B">
        <w:rPr>
          <w:color w:val="000000"/>
        </w:rPr>
        <w:t xml:space="preserve"> sídl</w:t>
      </w:r>
      <w:r w:rsidR="00B03A57">
        <w:rPr>
          <w:color w:val="000000"/>
        </w:rPr>
        <w:t>em</w:t>
      </w:r>
      <w:r w:rsidRPr="00AA688B">
        <w:rPr>
          <w:color w:val="000000"/>
        </w:rPr>
        <w:t xml:space="preserve"> by mohl snížit finanční a environmentální náklady; připomíná, že podle Smlouvy o Evropské unii má mít Parlament sídlo ve Štrasburku; konstatuje, že trvalé změny by vyžadovaly změnu Smlouvy, k níž je zapotřebí jednomyslné schválení;</w:t>
      </w:r>
    </w:p>
    <w:p w14:paraId="1CEEFA2B" w14:textId="77777777" w:rsidR="00E8114D" w:rsidRPr="00AA688B" w:rsidRDefault="00E8114D" w:rsidP="004A0BED">
      <w:pPr>
        <w:spacing w:after="240"/>
        <w:ind w:left="567" w:hanging="567"/>
        <w:rPr>
          <w:color w:val="000000"/>
        </w:rPr>
      </w:pPr>
      <w:r w:rsidRPr="00AA688B">
        <w:t>37.</w:t>
      </w:r>
      <w:r w:rsidRPr="00AA688B">
        <w:tab/>
      </w:r>
      <w:r w:rsidRPr="00AA688B">
        <w:rPr>
          <w:color w:val="000000"/>
        </w:rPr>
        <w:t xml:space="preserve">konstatuje, že výdaje na služební cesty poslanců a zaměstnanců v rozpočtu Parlamentu činí 116 milionů EUR; vyzývá orgány Parlamentu k zamyšlení nad postupy služebních cest a k revizi pravidel a postupů pro služební cesty, tak aby se celkově dále zlepšovala povaha služebních cest a dále snižovaly související finanční a environmentální náklady; </w:t>
      </w:r>
      <w:r w:rsidRPr="00AA688B">
        <w:t>nabádá poslance, aby používali nízkouhlíkové dopravní alternativy, a zasazuje se o odpovědné a rozvážné využívání možností cenově nejvýhodnějších letů a o upřednostňování cestování vlakem tam, kde je to relevantní;</w:t>
      </w:r>
    </w:p>
    <w:p w14:paraId="16FFF7D9" w14:textId="77777777" w:rsidR="00E8114D" w:rsidRPr="00AA688B" w:rsidRDefault="00E8114D" w:rsidP="004A0BED">
      <w:pPr>
        <w:spacing w:after="240"/>
        <w:ind w:left="567" w:hanging="567"/>
        <w:rPr>
          <w:color w:val="000000"/>
        </w:rPr>
      </w:pPr>
      <w:r w:rsidRPr="00AA688B">
        <w:rPr>
          <w:color w:val="000000"/>
        </w:rPr>
        <w:t>38.</w:t>
      </w:r>
      <w:r w:rsidRPr="00AA688B">
        <w:rPr>
          <w:color w:val="000000"/>
        </w:rPr>
        <w:tab/>
        <w:t xml:space="preserve">bere na vědomí, že v čl. 46 odst. 2 prováděcích opatření ke statutu poslanců Evropského parlamentu je stanovena možnost poslanců financovat dodatečné náklady spojené s rozpočtem na parlamentní asistenci z prostředků ze svého příspěvku na všeobecné výdaje; vyzývá správu Parlamentu, aby přijala nezbytná opatření, jež by poslancům, kteří si to přejí, umožnila využít jejich příspěvek na všeobecné výdaje na pokrytí </w:t>
      </w:r>
      <w:r w:rsidRPr="00AA688B">
        <w:rPr>
          <w:color w:val="000000"/>
        </w:rPr>
        <w:lastRenderedPageBreak/>
        <w:t>nákladů na služební cesty akreditovaných parlamentních asistentů; zdůrazňuje, že takové opatření by řešilo rostoucí náklady související s kancelářemi poslanců a zároveň by bylo rozpočtově neutrální;</w:t>
      </w:r>
    </w:p>
    <w:p w14:paraId="74D40A75" w14:textId="0D52AF6B" w:rsidR="00E8114D" w:rsidRDefault="00E8114D" w:rsidP="004A0BED">
      <w:pPr>
        <w:spacing w:after="240"/>
        <w:ind w:left="567" w:hanging="567"/>
        <w:rPr>
          <w:color w:val="000000"/>
        </w:rPr>
      </w:pPr>
      <w:r w:rsidRPr="00AA688B">
        <w:rPr>
          <w:color w:val="000000"/>
        </w:rPr>
        <w:t>39.</w:t>
      </w:r>
      <w:r w:rsidRPr="00AA688B">
        <w:rPr>
          <w:color w:val="000000"/>
        </w:rPr>
        <w:tab/>
        <w:t>vyzývá předsednictvo, aby upustilo od indexace příspěvku na všeobecné výdaje a aby tento příspěvek nepřiznávalo bývalým poslancům, což by umožnilo významné úspory statutárních nákladů;</w:t>
      </w:r>
    </w:p>
    <w:p w14:paraId="38204AC7" w14:textId="3F9442B9" w:rsidR="00D85D2E" w:rsidRPr="00AA688B" w:rsidRDefault="00D85D2E" w:rsidP="004A0BED">
      <w:pPr>
        <w:spacing w:after="240"/>
        <w:ind w:left="567" w:hanging="567"/>
        <w:rPr>
          <w:color w:val="000000"/>
        </w:rPr>
      </w:pPr>
      <w:r>
        <w:rPr>
          <w:color w:val="000000"/>
        </w:rPr>
        <w:t>40</w:t>
      </w:r>
      <w:r w:rsidRPr="00D85D2E">
        <w:rPr>
          <w:color w:val="000000"/>
        </w:rPr>
        <w:t>.</w:t>
      </w:r>
      <w:r w:rsidRPr="00D85D2E">
        <w:rPr>
          <w:color w:val="000000"/>
        </w:rPr>
        <w:tab/>
        <w:t xml:space="preserve">vyzývá předsednictvo, aby </w:t>
      </w:r>
      <w:r w:rsidR="00323819">
        <w:rPr>
          <w:color w:val="000000"/>
        </w:rPr>
        <w:t>z</w:t>
      </w:r>
      <w:r w:rsidRPr="00D85D2E">
        <w:rPr>
          <w:color w:val="000000"/>
        </w:rPr>
        <w:t>revidovalo pr</w:t>
      </w:r>
      <w:r w:rsidR="00A301E9">
        <w:rPr>
          <w:color w:val="000000"/>
        </w:rPr>
        <w:t>avidla</w:t>
      </w:r>
      <w:r w:rsidRPr="00D85D2E">
        <w:rPr>
          <w:color w:val="000000"/>
        </w:rPr>
        <w:t xml:space="preserve"> a zavedlo pro bývalé poslance přechodné období, během něhož se nemohou zapojit do lobbování nebo zastupování v Parlamentu, jehož délka by odpovídala </w:t>
      </w:r>
      <w:r w:rsidR="00323819">
        <w:rPr>
          <w:color w:val="000000"/>
        </w:rPr>
        <w:t>období</w:t>
      </w:r>
      <w:r w:rsidRPr="00D85D2E">
        <w:rPr>
          <w:color w:val="000000"/>
        </w:rPr>
        <w:t>, po kter</w:t>
      </w:r>
      <w:r w:rsidR="00323819">
        <w:rPr>
          <w:color w:val="000000"/>
        </w:rPr>
        <w:t>é</w:t>
      </w:r>
      <w:r w:rsidRPr="00D85D2E">
        <w:rPr>
          <w:color w:val="000000"/>
        </w:rPr>
        <w:t xml:space="preserve"> poslanci pobírají odchodné;</w:t>
      </w:r>
    </w:p>
    <w:p w14:paraId="6C938E1A" w14:textId="06ADDBC2" w:rsidR="00323819" w:rsidRPr="00AA688B" w:rsidRDefault="00D85D2E" w:rsidP="004A0BED">
      <w:pPr>
        <w:spacing w:after="240"/>
        <w:ind w:left="567" w:hanging="567"/>
        <w:rPr>
          <w:color w:val="000000"/>
        </w:rPr>
      </w:pPr>
      <w:r w:rsidRPr="00AA688B">
        <w:rPr>
          <w:color w:val="000000"/>
        </w:rPr>
        <w:t>4</w:t>
      </w:r>
      <w:r>
        <w:rPr>
          <w:color w:val="000000"/>
        </w:rPr>
        <w:t>1</w:t>
      </w:r>
      <w:r w:rsidR="00E8114D" w:rsidRPr="00AA688B">
        <w:rPr>
          <w:color w:val="000000"/>
        </w:rPr>
        <w:t>.</w:t>
      </w:r>
      <w:r w:rsidR="00E8114D" w:rsidRPr="00AA688B">
        <w:rPr>
          <w:color w:val="000000"/>
        </w:rPr>
        <w:tab/>
      </w:r>
      <w:r w:rsidRPr="00D85D2E">
        <w:rPr>
          <w:color w:val="000000"/>
        </w:rPr>
        <w:t xml:space="preserve">připomíná, že Parlament od roku 2018 na plenárním zasedání </w:t>
      </w:r>
      <w:r w:rsidR="00323819">
        <w:rPr>
          <w:color w:val="000000"/>
        </w:rPr>
        <w:t>důsledně</w:t>
      </w:r>
      <w:r w:rsidRPr="00D85D2E">
        <w:rPr>
          <w:color w:val="000000"/>
        </w:rPr>
        <w:t xml:space="preserve"> hlas</w:t>
      </w:r>
      <w:r w:rsidR="00A301E9">
        <w:rPr>
          <w:color w:val="000000"/>
        </w:rPr>
        <w:t>oval</w:t>
      </w:r>
      <w:r w:rsidRPr="00D85D2E">
        <w:rPr>
          <w:color w:val="000000"/>
        </w:rPr>
        <w:t xml:space="preserve"> </w:t>
      </w:r>
      <w:r w:rsidR="00323819">
        <w:rPr>
          <w:color w:val="000000"/>
        </w:rPr>
        <w:t>pr</w:t>
      </w:r>
      <w:r w:rsidRPr="00D85D2E">
        <w:rPr>
          <w:color w:val="000000"/>
        </w:rPr>
        <w:t xml:space="preserve">o to, </w:t>
      </w:r>
      <w:r w:rsidR="00323819">
        <w:rPr>
          <w:color w:val="000000"/>
        </w:rPr>
        <w:t xml:space="preserve">aby bylo </w:t>
      </w:r>
      <w:r w:rsidRPr="00D85D2E">
        <w:rPr>
          <w:color w:val="000000"/>
        </w:rPr>
        <w:t>zváž</w:t>
      </w:r>
      <w:r w:rsidR="00323819">
        <w:rPr>
          <w:color w:val="000000"/>
        </w:rPr>
        <w:t>eno</w:t>
      </w:r>
      <w:r w:rsidRPr="00D85D2E">
        <w:rPr>
          <w:color w:val="000000"/>
        </w:rPr>
        <w:t xml:space="preserve"> zrušení celkového zákazu účasti akreditovaných parlamentních asistentů na oficiálních delegacích a služebních cestách; vyjadřuje politování nad tím, že </w:t>
      </w:r>
      <w:r w:rsidR="00E8114D" w:rsidRPr="00AA688B">
        <w:rPr>
          <w:color w:val="000000"/>
        </w:rPr>
        <w:t xml:space="preserve"> rozhodnutí Konference předsedů z března 2025 o prováděcích ustanoveních týkajících se služebních cest mimo tři pracovní místa Evropského parlamentu </w:t>
      </w:r>
      <w:r w:rsidRPr="00D85D2E">
        <w:rPr>
          <w:color w:val="000000"/>
        </w:rPr>
        <w:t xml:space="preserve">nereagovalo na výzvu plenárního zasedání; trvá na svém postoji, že akreditovaní parlamentní asistenti by měli mít za určitých podmínek možnost doprovázet poslance na oficiálních delegacích a služebních cestách; vyzývá své příslušné orgány, aby neprodleně změnily příslušné články svých vnitřních </w:t>
      </w:r>
      <w:r w:rsidR="00A301E9">
        <w:rPr>
          <w:color w:val="000000"/>
        </w:rPr>
        <w:t>pravidel</w:t>
      </w:r>
      <w:r w:rsidRPr="00D85D2E">
        <w:rPr>
          <w:color w:val="000000"/>
        </w:rPr>
        <w:t xml:space="preserve"> s cílem umožnit účast akreditovaných parlamentních asistentů na oficiálních služebních cestách a delegacích mimo tři pracovní místa Parlamentu;</w:t>
      </w:r>
      <w:r w:rsidR="00E8114D" w:rsidRPr="00AA688B">
        <w:rPr>
          <w:color w:val="000000"/>
        </w:rPr>
        <w:t>;</w:t>
      </w:r>
    </w:p>
    <w:p w14:paraId="38CEB931" w14:textId="56D44F8E" w:rsidR="00E8114D" w:rsidRPr="00AA688B" w:rsidRDefault="00D85D2E" w:rsidP="004A0BED">
      <w:pPr>
        <w:spacing w:after="240"/>
        <w:ind w:left="567" w:hanging="567"/>
        <w:rPr>
          <w:color w:val="000000"/>
        </w:rPr>
      </w:pPr>
      <w:r w:rsidRPr="00AA688B">
        <w:rPr>
          <w:color w:val="000000"/>
        </w:rPr>
        <w:t>4</w:t>
      </w:r>
      <w:r>
        <w:rPr>
          <w:color w:val="000000"/>
        </w:rPr>
        <w:t>2</w:t>
      </w:r>
      <w:r w:rsidR="00E8114D" w:rsidRPr="00AA688B">
        <w:rPr>
          <w:color w:val="000000"/>
        </w:rPr>
        <w:t>.</w:t>
      </w:r>
      <w:r w:rsidR="00E8114D" w:rsidRPr="00AA688B">
        <w:rPr>
          <w:color w:val="000000"/>
        </w:rPr>
        <w:tab/>
        <w:t>vítá práci výboru akreditovaných parlamentních asistentů, který zastupuje přibližně 2 000 parlamentních asistentů, jejichž práce má zásadní význam pro hladký průběh každodenních činností poslanců EP; bere na vědomí vyčlenění částky ve výši 10 000 EUR na to, aby výbor akreditovaných parlamentních asistentů mohl plnit svou úlohu a aby byly zajištěny dostatečné zdroje na účinnou podporu a řádné zastupování akreditovaných parlamentních asistentů;</w:t>
      </w:r>
    </w:p>
    <w:p w14:paraId="6DA362AB" w14:textId="29FCEFA0" w:rsidR="00E8114D" w:rsidRPr="00AA688B" w:rsidRDefault="00D85D2E" w:rsidP="004A0BED">
      <w:pPr>
        <w:widowControl/>
        <w:spacing w:after="240"/>
        <w:ind w:left="567" w:hanging="567"/>
        <w:rPr>
          <w:color w:val="000000"/>
        </w:rPr>
      </w:pPr>
      <w:r w:rsidRPr="00AA688B">
        <w:rPr>
          <w:color w:val="000000"/>
        </w:rPr>
        <w:t>4</w:t>
      </w:r>
      <w:r>
        <w:rPr>
          <w:color w:val="000000"/>
        </w:rPr>
        <w:t>3</w:t>
      </w:r>
      <w:r w:rsidR="00E8114D" w:rsidRPr="00AA688B">
        <w:rPr>
          <w:color w:val="000000"/>
        </w:rPr>
        <w:t>.</w:t>
      </w:r>
      <w:r w:rsidR="00E8114D" w:rsidRPr="00AA688B">
        <w:rPr>
          <w:color w:val="000000"/>
        </w:rPr>
        <w:tab/>
        <w:t>vítá výjimečné 10% zvýšení stipendií pro každého stážistu v roce 2026, které bylo ve výši 1 milion EUR zahrnuto do rozpočtu na rok 2026, s cílem pomoci jim vyrovnat se s rostoucími náklady na bydlení v Bruselu a Lucemburku;</w:t>
      </w:r>
    </w:p>
    <w:p w14:paraId="300D1A1B" w14:textId="67819C52" w:rsidR="00E8114D" w:rsidRDefault="00D85D2E" w:rsidP="004A0BED">
      <w:pPr>
        <w:widowControl/>
        <w:spacing w:after="240"/>
        <w:ind w:left="567" w:hanging="567"/>
        <w:rPr>
          <w:color w:val="000000"/>
        </w:rPr>
      </w:pPr>
      <w:r w:rsidRPr="00AA688B">
        <w:rPr>
          <w:color w:val="000000"/>
        </w:rPr>
        <w:t>4</w:t>
      </w:r>
      <w:r>
        <w:rPr>
          <w:color w:val="000000"/>
        </w:rPr>
        <w:t>4</w:t>
      </w:r>
      <w:r w:rsidR="00E8114D" w:rsidRPr="00AA688B">
        <w:rPr>
          <w:color w:val="000000"/>
        </w:rPr>
        <w:t>.</w:t>
      </w:r>
      <w:r w:rsidR="00E8114D" w:rsidRPr="00AA688B">
        <w:rPr>
          <w:color w:val="000000"/>
        </w:rPr>
        <w:tab/>
        <w:t>očekává, že požadavky odhlasované plénem budou odpovědné orgány neprodleně řešit jakožto vysoce prioritní;</w:t>
      </w:r>
    </w:p>
    <w:p w14:paraId="01AF4B83" w14:textId="77777777" w:rsidR="00565873" w:rsidRDefault="00565873" w:rsidP="00565873">
      <w:pPr>
        <w:widowControl/>
        <w:spacing w:after="240"/>
        <w:jc w:val="center"/>
        <w:rPr>
          <w:color w:val="000000"/>
        </w:rPr>
      </w:pPr>
      <w:r>
        <w:rPr>
          <w:color w:val="000000"/>
        </w:rPr>
        <w:t>°</w:t>
      </w:r>
    </w:p>
    <w:p w14:paraId="3CF0A1EE" w14:textId="77777777" w:rsidR="00565873" w:rsidRDefault="00565873" w:rsidP="00565873">
      <w:pPr>
        <w:widowControl/>
        <w:spacing w:after="240"/>
        <w:jc w:val="center"/>
        <w:rPr>
          <w:color w:val="000000"/>
        </w:rPr>
      </w:pPr>
      <w:r>
        <w:rPr>
          <w:color w:val="000000"/>
        </w:rPr>
        <w:t>°     °</w:t>
      </w:r>
    </w:p>
    <w:p w14:paraId="4A9AF7FF" w14:textId="7256F5C4" w:rsidR="00E8114D" w:rsidRPr="00AA688B" w:rsidRDefault="00D85D2E" w:rsidP="004A0BED">
      <w:pPr>
        <w:tabs>
          <w:tab w:val="left" w:pos="357"/>
        </w:tabs>
        <w:spacing w:after="240"/>
        <w:ind w:left="567" w:hanging="567"/>
        <w:rPr>
          <w:color w:val="000000"/>
        </w:rPr>
      </w:pPr>
      <w:r w:rsidRPr="00AA688B">
        <w:rPr>
          <w:color w:val="000000"/>
        </w:rPr>
        <w:t>4</w:t>
      </w:r>
      <w:r>
        <w:rPr>
          <w:color w:val="000000"/>
        </w:rPr>
        <w:t>5</w:t>
      </w:r>
      <w:r w:rsidR="00E8114D" w:rsidRPr="00AA688B">
        <w:rPr>
          <w:color w:val="000000"/>
        </w:rPr>
        <w:t>.</w:t>
      </w:r>
      <w:r w:rsidR="00E8114D" w:rsidRPr="00AA688B">
        <w:rPr>
          <w:color w:val="000000"/>
        </w:rPr>
        <w:tab/>
      </w:r>
      <w:r w:rsidR="00E8114D" w:rsidRPr="00AA688B">
        <w:rPr>
          <w:color w:val="000000"/>
        </w:rPr>
        <w:tab/>
        <w:t>přijímá odhad příjmů a výdajů na rozpočtový rok 2026;</w:t>
      </w:r>
    </w:p>
    <w:p w14:paraId="3628D5D1" w14:textId="0D1F4356" w:rsidR="00E8114D" w:rsidRPr="00AA688B" w:rsidRDefault="00D85D2E" w:rsidP="004A0BED">
      <w:pPr>
        <w:tabs>
          <w:tab w:val="left" w:pos="357"/>
        </w:tabs>
        <w:spacing w:after="240"/>
        <w:ind w:left="567" w:hanging="567"/>
        <w:rPr>
          <w:color w:val="000000"/>
        </w:rPr>
      </w:pPr>
      <w:r w:rsidRPr="00AA688B">
        <w:rPr>
          <w:color w:val="000000"/>
        </w:rPr>
        <w:t>4</w:t>
      </w:r>
      <w:r>
        <w:rPr>
          <w:color w:val="000000"/>
        </w:rPr>
        <w:t>6</w:t>
      </w:r>
      <w:r w:rsidR="00E8114D" w:rsidRPr="00AA688B">
        <w:rPr>
          <w:color w:val="000000"/>
        </w:rPr>
        <w:t>.</w:t>
      </w:r>
      <w:r w:rsidR="00E8114D" w:rsidRPr="00AA688B">
        <w:rPr>
          <w:color w:val="000000"/>
        </w:rPr>
        <w:tab/>
      </w:r>
      <w:r w:rsidR="00E8114D" w:rsidRPr="00AA688B">
        <w:rPr>
          <w:color w:val="000000"/>
        </w:rPr>
        <w:tab/>
        <w:t>pověřuje svou předsedkyni, aby předala toto usnesení a odhad příjmů a výdajů Radě a Komisi.</w:t>
      </w:r>
    </w:p>
    <w:p w14:paraId="579F8725" w14:textId="77777777" w:rsidR="00E8114D" w:rsidRDefault="00E8114D" w:rsidP="00E8114D">
      <w:pPr>
        <w:pStyle w:val="NormalHanging12a"/>
      </w:pPr>
    </w:p>
    <w:sectPr w:rsidR="00E8114D" w:rsidSect="005658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20E4B" w14:textId="77777777" w:rsidR="00796B54" w:rsidRPr="00AA688B" w:rsidRDefault="00796B54">
      <w:r w:rsidRPr="00AA688B">
        <w:separator/>
      </w:r>
    </w:p>
  </w:endnote>
  <w:endnote w:type="continuationSeparator" w:id="0">
    <w:p w14:paraId="0F717067" w14:textId="77777777" w:rsidR="00796B54" w:rsidRPr="00AA688B" w:rsidRDefault="00796B54">
      <w:r w:rsidRPr="00AA68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53E84" w14:textId="77777777" w:rsidR="00064002" w:rsidRPr="00AA68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93CDB" w14:textId="77777777" w:rsidR="00064002" w:rsidRPr="00AA68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94CC" w14:textId="77777777" w:rsidR="00064002" w:rsidRPr="00AA68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00591" w14:textId="77777777" w:rsidR="00796B54" w:rsidRPr="00AA688B" w:rsidRDefault="00796B54">
      <w:r w:rsidRPr="00AA688B">
        <w:separator/>
      </w:r>
    </w:p>
  </w:footnote>
  <w:footnote w:type="continuationSeparator" w:id="0">
    <w:p w14:paraId="3B01806D" w14:textId="77777777" w:rsidR="00796B54" w:rsidRPr="00AA688B" w:rsidRDefault="00796B54">
      <w:r w:rsidRPr="00AA688B">
        <w:continuationSeparator/>
      </w:r>
    </w:p>
  </w:footnote>
  <w:footnote w:id="1">
    <w:p w14:paraId="20AC8F3E" w14:textId="77777777" w:rsidR="00E8114D" w:rsidRPr="00AA688B" w:rsidRDefault="00E8114D" w:rsidP="00AA688B">
      <w:pPr>
        <w:ind w:left="567" w:hanging="567"/>
        <w:rPr>
          <w:color w:val="000000"/>
        </w:rPr>
      </w:pPr>
      <w:r w:rsidRPr="00AA688B">
        <w:rPr>
          <w:rStyle w:val="FootnoteReference"/>
        </w:rPr>
        <w:footnoteRef/>
      </w:r>
      <w:r w:rsidR="00AA688B" w:rsidRPr="00AA688B">
        <w:t xml:space="preserve"> </w:t>
      </w:r>
      <w:r w:rsidR="00AA688B" w:rsidRPr="00AA688B">
        <w:tab/>
      </w:r>
      <w:proofErr w:type="spellStart"/>
      <w:r w:rsidRPr="00AA688B">
        <w:t>Úř</w:t>
      </w:r>
      <w:proofErr w:type="spellEnd"/>
      <w:r w:rsidRPr="00AA688B">
        <w:t xml:space="preserve">. </w:t>
      </w:r>
      <w:proofErr w:type="spellStart"/>
      <w:proofErr w:type="gramStart"/>
      <w:r w:rsidRPr="00AA688B">
        <w:t>věst</w:t>
      </w:r>
      <w:proofErr w:type="spellEnd"/>
      <w:proofErr w:type="gramEnd"/>
      <w:r w:rsidRPr="00AA688B">
        <w:t xml:space="preserve">. L 433 I, </w:t>
      </w:r>
      <w:proofErr w:type="gramStart"/>
      <w:r w:rsidRPr="00AA688B">
        <w:t>22.12.2020</w:t>
      </w:r>
      <w:proofErr w:type="gramEnd"/>
      <w:r w:rsidRPr="00AA688B">
        <w:t>, s. 11, ELI:</w:t>
      </w:r>
      <w:r w:rsidRPr="00AA688B">
        <w:rPr>
          <w:color w:val="000000"/>
        </w:rPr>
        <w:t xml:space="preserve"> </w:t>
      </w:r>
      <w:hyperlink r:id="rId1" w:history="1">
        <w:r w:rsidRPr="00AA688B">
          <w:rPr>
            <w:rStyle w:val="Hyperlink"/>
          </w:rPr>
          <w:t>http://data.europa.eu/eli/reg/2020/2093/oj</w:t>
        </w:r>
      </w:hyperlink>
      <w:r w:rsidRPr="00AA688B">
        <w:rPr>
          <w:color w:val="000000"/>
        </w:rPr>
        <w:t>.</w:t>
      </w:r>
    </w:p>
  </w:footnote>
  <w:footnote w:id="2">
    <w:p w14:paraId="16FFEF0E" w14:textId="77777777" w:rsidR="00E8114D" w:rsidRPr="00AA688B" w:rsidRDefault="00E8114D" w:rsidP="00AA688B">
      <w:pPr>
        <w:ind w:left="567" w:hanging="567"/>
        <w:rPr>
          <w:color w:val="000000"/>
        </w:rPr>
      </w:pPr>
      <w:r w:rsidRPr="00AA688B">
        <w:rPr>
          <w:rStyle w:val="FootnoteReference"/>
        </w:rPr>
        <w:footnoteRef/>
      </w:r>
      <w:r w:rsidR="00AA688B" w:rsidRPr="00AA688B">
        <w:t xml:space="preserve"> </w:t>
      </w:r>
      <w:r w:rsidR="00AA688B" w:rsidRPr="00AA688B">
        <w:tab/>
      </w:r>
      <w:proofErr w:type="spellStart"/>
      <w:r w:rsidRPr="00AA688B">
        <w:t>Úř</w:t>
      </w:r>
      <w:proofErr w:type="spellEnd"/>
      <w:r w:rsidRPr="00AA688B">
        <w:t xml:space="preserve">. </w:t>
      </w:r>
      <w:proofErr w:type="spellStart"/>
      <w:proofErr w:type="gramStart"/>
      <w:r w:rsidRPr="00AA688B">
        <w:t>věst</w:t>
      </w:r>
      <w:proofErr w:type="spellEnd"/>
      <w:proofErr w:type="gramEnd"/>
      <w:r w:rsidRPr="00AA688B">
        <w:t xml:space="preserve">. C 444 I, </w:t>
      </w:r>
      <w:proofErr w:type="gramStart"/>
      <w:r w:rsidRPr="00AA688B">
        <w:t>22.12.2020</w:t>
      </w:r>
      <w:proofErr w:type="gramEnd"/>
      <w:r w:rsidRPr="00AA688B">
        <w:t>, s. 4.</w:t>
      </w:r>
    </w:p>
  </w:footnote>
  <w:footnote w:id="3">
    <w:p w14:paraId="7382A208" w14:textId="77777777" w:rsidR="00E8114D" w:rsidRPr="00AA688B" w:rsidRDefault="00E8114D" w:rsidP="00AA688B">
      <w:pPr>
        <w:ind w:left="567" w:hanging="567"/>
        <w:rPr>
          <w:color w:val="000000"/>
        </w:rPr>
      </w:pPr>
      <w:r w:rsidRPr="00AA688B">
        <w:rPr>
          <w:rStyle w:val="FootnoteReference"/>
        </w:rPr>
        <w:footnoteRef/>
      </w:r>
      <w:r w:rsidR="00AA688B" w:rsidRPr="00AA688B">
        <w:t xml:space="preserve"> </w:t>
      </w:r>
      <w:r w:rsidR="00AA688B" w:rsidRPr="00AA688B">
        <w:tab/>
      </w:r>
      <w:proofErr w:type="spellStart"/>
      <w:r w:rsidRPr="00AA688B">
        <w:t>Úř</w:t>
      </w:r>
      <w:proofErr w:type="spellEnd"/>
      <w:r w:rsidRPr="00AA688B">
        <w:t xml:space="preserve">. </w:t>
      </w:r>
      <w:proofErr w:type="spellStart"/>
      <w:proofErr w:type="gramStart"/>
      <w:r w:rsidRPr="00AA688B">
        <w:t>věst</w:t>
      </w:r>
      <w:proofErr w:type="spellEnd"/>
      <w:proofErr w:type="gramEnd"/>
      <w:r w:rsidRPr="00AA688B">
        <w:t xml:space="preserve">. C 445, </w:t>
      </w:r>
      <w:proofErr w:type="gramStart"/>
      <w:r w:rsidRPr="00AA688B">
        <w:t>29.10.2021</w:t>
      </w:r>
      <w:proofErr w:type="gramEnd"/>
      <w:r w:rsidRPr="00AA688B">
        <w:t>, s. 252.</w:t>
      </w:r>
    </w:p>
  </w:footnote>
  <w:footnote w:id="4">
    <w:p w14:paraId="758F04B7" w14:textId="77777777" w:rsidR="00E8114D" w:rsidRPr="00AA688B" w:rsidRDefault="00E8114D" w:rsidP="00AA688B">
      <w:pPr>
        <w:ind w:left="567" w:hanging="567"/>
      </w:pPr>
      <w:r w:rsidRPr="00AA688B">
        <w:rPr>
          <w:rStyle w:val="FootnoteReference"/>
          <w:rFonts w:eastAsiaTheme="majorEastAsia"/>
        </w:rPr>
        <w:footnoteRef/>
      </w:r>
      <w:r w:rsidR="00AA688B" w:rsidRPr="00AA688B">
        <w:t xml:space="preserve"> </w:t>
      </w:r>
      <w:r w:rsidR="00AA688B" w:rsidRPr="00AA688B">
        <w:tab/>
      </w:r>
      <w:proofErr w:type="spellStart"/>
      <w:r w:rsidRPr="00AA688B">
        <w:t>Úř</w:t>
      </w:r>
      <w:proofErr w:type="spellEnd"/>
      <w:r w:rsidRPr="00AA688B">
        <w:t xml:space="preserve">. </w:t>
      </w:r>
      <w:proofErr w:type="spellStart"/>
      <w:proofErr w:type="gramStart"/>
      <w:r w:rsidRPr="00AA688B">
        <w:t>věst</w:t>
      </w:r>
      <w:proofErr w:type="spellEnd"/>
      <w:proofErr w:type="gramEnd"/>
      <w:r w:rsidRPr="00AA688B">
        <w:t xml:space="preserve">. L 325, </w:t>
      </w:r>
      <w:proofErr w:type="gramStart"/>
      <w:r w:rsidRPr="00AA688B">
        <w:t>20.12.2022</w:t>
      </w:r>
      <w:proofErr w:type="gramEnd"/>
      <w:r w:rsidRPr="00AA688B">
        <w:t xml:space="preserve">, s. 11, ELI: </w:t>
      </w:r>
      <w:hyperlink r:id="rId2" w:history="1">
        <w:r w:rsidRPr="00AA688B">
          <w:rPr>
            <w:rStyle w:val="Hyperlink"/>
          </w:rPr>
          <w:t>http://data.europa.eu/eli/reg/2022/2496/oj</w:t>
        </w:r>
      </w:hyperlink>
      <w:r w:rsidRPr="00AA688B">
        <w:t>.</w:t>
      </w:r>
    </w:p>
  </w:footnote>
  <w:footnote w:id="5">
    <w:p w14:paraId="0AB4CB68" w14:textId="77777777" w:rsidR="00E8114D" w:rsidRPr="00AA688B" w:rsidRDefault="00E8114D" w:rsidP="00AA688B">
      <w:pPr>
        <w:ind w:left="567" w:hanging="567"/>
      </w:pPr>
      <w:r w:rsidRPr="00AA688B">
        <w:rPr>
          <w:rStyle w:val="FootnoteReference"/>
        </w:rPr>
        <w:footnoteRef/>
      </w:r>
      <w:r w:rsidR="00AA688B" w:rsidRPr="00AA688B">
        <w:t xml:space="preserve"> </w:t>
      </w:r>
      <w:r w:rsidR="00AA688B" w:rsidRPr="00AA688B">
        <w:tab/>
      </w:r>
      <w:proofErr w:type="spellStart"/>
      <w:r w:rsidRPr="00AA688B">
        <w:t>Úř</w:t>
      </w:r>
      <w:proofErr w:type="spellEnd"/>
      <w:r w:rsidRPr="00AA688B">
        <w:t xml:space="preserve">. </w:t>
      </w:r>
      <w:proofErr w:type="spellStart"/>
      <w:proofErr w:type="gramStart"/>
      <w:r w:rsidRPr="00AA688B">
        <w:t>věst</w:t>
      </w:r>
      <w:proofErr w:type="spellEnd"/>
      <w:proofErr w:type="gramEnd"/>
      <w:r w:rsidRPr="00AA688B">
        <w:t xml:space="preserve">. L, 2024/765, </w:t>
      </w:r>
      <w:proofErr w:type="gramStart"/>
      <w:r w:rsidRPr="00AA688B">
        <w:t>29.2.2024</w:t>
      </w:r>
      <w:proofErr w:type="gramEnd"/>
      <w:r w:rsidRPr="00AA688B">
        <w:t xml:space="preserve">, ELI: </w:t>
      </w:r>
      <w:hyperlink r:id="rId3" w:history="1">
        <w:r w:rsidRPr="00AA688B">
          <w:rPr>
            <w:rStyle w:val="Hyperlink"/>
          </w:rPr>
          <w:t>http://data.europa.eu/eli/reg/2024/765/oj</w:t>
        </w:r>
      </w:hyperlink>
      <w:r w:rsidRPr="00AA688B">
        <w:t>.</w:t>
      </w:r>
    </w:p>
  </w:footnote>
  <w:footnote w:id="6">
    <w:p w14:paraId="54EC100C" w14:textId="77777777" w:rsidR="00E8114D" w:rsidRPr="00AA688B" w:rsidRDefault="00E8114D" w:rsidP="00AA688B">
      <w:pPr>
        <w:ind w:left="567" w:hanging="567"/>
        <w:rPr>
          <w:color w:val="000000"/>
        </w:rPr>
      </w:pPr>
      <w:r w:rsidRPr="00AA688B">
        <w:rPr>
          <w:rStyle w:val="FootnoteReference"/>
        </w:rPr>
        <w:footnoteRef/>
      </w:r>
      <w:r w:rsidR="00AA688B" w:rsidRPr="00AA688B">
        <w:t xml:space="preserve"> </w:t>
      </w:r>
      <w:r w:rsidR="00AA688B" w:rsidRPr="00AA688B">
        <w:tab/>
      </w:r>
      <w:proofErr w:type="spellStart"/>
      <w:r w:rsidRPr="00AA688B">
        <w:t>Úř</w:t>
      </w:r>
      <w:proofErr w:type="spellEnd"/>
      <w:r w:rsidRPr="00AA688B">
        <w:t xml:space="preserve">. </w:t>
      </w:r>
      <w:proofErr w:type="spellStart"/>
      <w:proofErr w:type="gramStart"/>
      <w:r w:rsidRPr="00AA688B">
        <w:t>věst</w:t>
      </w:r>
      <w:proofErr w:type="spellEnd"/>
      <w:proofErr w:type="gramEnd"/>
      <w:r w:rsidRPr="00AA688B">
        <w:t xml:space="preserve">. C 445, </w:t>
      </w:r>
      <w:proofErr w:type="gramStart"/>
      <w:r w:rsidRPr="00AA688B">
        <w:t>29.10.2021</w:t>
      </w:r>
      <w:proofErr w:type="gramEnd"/>
      <w:r w:rsidRPr="00AA688B">
        <w:t>, s. 240.</w:t>
      </w:r>
    </w:p>
  </w:footnote>
  <w:footnote w:id="7">
    <w:p w14:paraId="7F309032" w14:textId="77777777" w:rsidR="00E8114D" w:rsidRPr="00AA688B" w:rsidRDefault="00E8114D" w:rsidP="00AA688B">
      <w:pPr>
        <w:ind w:left="567" w:hanging="567"/>
        <w:rPr>
          <w:color w:val="000000"/>
        </w:rPr>
      </w:pPr>
      <w:r w:rsidRPr="00AA688B">
        <w:rPr>
          <w:rStyle w:val="FootnoteReference"/>
        </w:rPr>
        <w:footnoteRef/>
      </w:r>
      <w:r w:rsidR="00AA688B" w:rsidRPr="00AA688B">
        <w:rPr>
          <w:color w:val="000000"/>
        </w:rPr>
        <w:t xml:space="preserve"> </w:t>
      </w:r>
      <w:r w:rsidR="00AA688B" w:rsidRPr="00AA688B">
        <w:rPr>
          <w:color w:val="000000"/>
        </w:rPr>
        <w:tab/>
      </w:r>
      <w:proofErr w:type="spellStart"/>
      <w:r w:rsidRPr="00AA688B">
        <w:rPr>
          <w:color w:val="000000"/>
        </w:rPr>
        <w:t>Úř</w:t>
      </w:r>
      <w:proofErr w:type="spellEnd"/>
      <w:r w:rsidRPr="00AA688B">
        <w:rPr>
          <w:color w:val="000000"/>
        </w:rPr>
        <w:t xml:space="preserve">. </w:t>
      </w:r>
      <w:proofErr w:type="spellStart"/>
      <w:proofErr w:type="gramStart"/>
      <w:r w:rsidRPr="00AA688B">
        <w:rPr>
          <w:color w:val="000000"/>
        </w:rPr>
        <w:t>věst</w:t>
      </w:r>
      <w:proofErr w:type="spellEnd"/>
      <w:proofErr w:type="gramEnd"/>
      <w:r w:rsidRPr="00AA688B">
        <w:rPr>
          <w:color w:val="000000"/>
        </w:rPr>
        <w:t xml:space="preserve">. C 177, </w:t>
      </w:r>
      <w:proofErr w:type="gramStart"/>
      <w:r w:rsidRPr="00AA688B">
        <w:rPr>
          <w:color w:val="000000"/>
        </w:rPr>
        <w:t>17.5.2023</w:t>
      </w:r>
      <w:proofErr w:type="gramEnd"/>
      <w:r w:rsidRPr="00AA688B">
        <w:rPr>
          <w:color w:val="000000"/>
        </w:rPr>
        <w:t>, s. 115.</w:t>
      </w:r>
    </w:p>
  </w:footnote>
  <w:footnote w:id="8">
    <w:p w14:paraId="0518C754" w14:textId="77777777" w:rsidR="00E8114D" w:rsidRPr="00AA688B" w:rsidRDefault="00E8114D" w:rsidP="00AA688B">
      <w:pPr>
        <w:ind w:left="567" w:hanging="567"/>
        <w:rPr>
          <w:color w:val="000000"/>
        </w:rPr>
      </w:pPr>
      <w:r w:rsidRPr="00AA688B">
        <w:rPr>
          <w:rStyle w:val="FootnoteReference"/>
        </w:rPr>
        <w:footnoteRef/>
      </w:r>
      <w:r w:rsidR="00AA688B" w:rsidRPr="00AA688B">
        <w:rPr>
          <w:color w:val="000000"/>
        </w:rPr>
        <w:t xml:space="preserve"> </w:t>
      </w:r>
      <w:r w:rsidR="00AA688B" w:rsidRPr="00AA688B">
        <w:rPr>
          <w:color w:val="000000"/>
        </w:rPr>
        <w:tab/>
      </w:r>
      <w:proofErr w:type="spellStart"/>
      <w:r w:rsidRPr="00AA688B">
        <w:rPr>
          <w:color w:val="000000"/>
        </w:rPr>
        <w:t>Úř</w:t>
      </w:r>
      <w:proofErr w:type="spellEnd"/>
      <w:r w:rsidRPr="00AA688B">
        <w:rPr>
          <w:color w:val="000000"/>
        </w:rPr>
        <w:t xml:space="preserve">. </w:t>
      </w:r>
      <w:proofErr w:type="spellStart"/>
      <w:proofErr w:type="gramStart"/>
      <w:r w:rsidRPr="00AA688B">
        <w:rPr>
          <w:color w:val="000000"/>
        </w:rPr>
        <w:t>věst</w:t>
      </w:r>
      <w:proofErr w:type="spellEnd"/>
      <w:proofErr w:type="gramEnd"/>
      <w:r w:rsidRPr="00AA688B">
        <w:rPr>
          <w:color w:val="000000"/>
        </w:rPr>
        <w:t xml:space="preserve">. C, C/2024/1195, </w:t>
      </w:r>
      <w:proofErr w:type="gramStart"/>
      <w:r w:rsidRPr="00AA688B">
        <w:rPr>
          <w:color w:val="000000"/>
        </w:rPr>
        <w:t>23.2.2024</w:t>
      </w:r>
      <w:proofErr w:type="gramEnd"/>
      <w:r w:rsidRPr="00AA688B">
        <w:rPr>
          <w:color w:val="000000"/>
        </w:rPr>
        <w:t xml:space="preserve">, ELI: </w:t>
      </w:r>
      <w:hyperlink r:id="rId4" w:history="1">
        <w:r w:rsidRPr="00AA688B">
          <w:rPr>
            <w:rStyle w:val="Hyperlink"/>
          </w:rPr>
          <w:t>http://data.europa.eu/eli/C/2024/1195/oj</w:t>
        </w:r>
      </w:hyperlink>
      <w:r w:rsidRPr="00AA688B">
        <w:rPr>
          <w:color w:val="000000"/>
        </w:rPr>
        <w:t>.</w:t>
      </w:r>
    </w:p>
  </w:footnote>
  <w:footnote w:id="9">
    <w:p w14:paraId="22A38A0E" w14:textId="77777777" w:rsidR="00E8114D" w:rsidRPr="00AA688B" w:rsidRDefault="00E8114D" w:rsidP="00AA688B">
      <w:pPr>
        <w:ind w:left="567" w:hanging="567"/>
        <w:rPr>
          <w:color w:val="000000"/>
        </w:rPr>
      </w:pPr>
      <w:r w:rsidRPr="00AA688B">
        <w:rPr>
          <w:rStyle w:val="FootnoteReference"/>
        </w:rPr>
        <w:footnoteRef/>
      </w:r>
      <w:r w:rsidR="00AA688B" w:rsidRPr="00AA688B">
        <w:rPr>
          <w:color w:val="000000"/>
        </w:rPr>
        <w:t xml:space="preserve"> </w:t>
      </w:r>
      <w:r w:rsidR="00AA688B" w:rsidRPr="00AA688B">
        <w:rPr>
          <w:color w:val="000000"/>
        </w:rPr>
        <w:tab/>
      </w:r>
      <w:proofErr w:type="spellStart"/>
      <w:r w:rsidRPr="00AA688B">
        <w:rPr>
          <w:color w:val="000000"/>
        </w:rPr>
        <w:t>Úř</w:t>
      </w:r>
      <w:proofErr w:type="spellEnd"/>
      <w:r w:rsidRPr="00AA688B">
        <w:rPr>
          <w:color w:val="000000"/>
        </w:rPr>
        <w:t xml:space="preserve">. </w:t>
      </w:r>
      <w:proofErr w:type="spellStart"/>
      <w:proofErr w:type="gramStart"/>
      <w:r w:rsidRPr="00AA688B">
        <w:rPr>
          <w:color w:val="000000"/>
        </w:rPr>
        <w:t>věst</w:t>
      </w:r>
      <w:proofErr w:type="spellEnd"/>
      <w:proofErr w:type="gramEnd"/>
      <w:r w:rsidRPr="00AA688B">
        <w:rPr>
          <w:color w:val="000000"/>
        </w:rPr>
        <w:t xml:space="preserve">. C, C/2024/6751, </w:t>
      </w:r>
      <w:proofErr w:type="gramStart"/>
      <w:r w:rsidRPr="00AA688B">
        <w:rPr>
          <w:color w:val="000000"/>
        </w:rPr>
        <w:t>26.11.2024</w:t>
      </w:r>
      <w:proofErr w:type="gramEnd"/>
      <w:r w:rsidRPr="00AA688B">
        <w:rPr>
          <w:color w:val="000000"/>
        </w:rPr>
        <w:t xml:space="preserve">, ELI: </w:t>
      </w:r>
      <w:hyperlink r:id="rId5" w:history="1">
        <w:r w:rsidRPr="00AA688B">
          <w:rPr>
            <w:rStyle w:val="Hyperlink"/>
          </w:rPr>
          <w:t>http://data.europa.eu/eli/C/2024/6751/oj</w:t>
        </w:r>
      </w:hyperlink>
      <w:r w:rsidRPr="00AA688B">
        <w:rPr>
          <w:color w:val="000000"/>
        </w:rPr>
        <w:t>.</w:t>
      </w:r>
    </w:p>
  </w:footnote>
  <w:footnote w:id="10">
    <w:p w14:paraId="76F3F8D3" w14:textId="77777777" w:rsidR="00E8114D" w:rsidRPr="00AA688B" w:rsidRDefault="00E8114D" w:rsidP="00AA688B">
      <w:pPr>
        <w:ind w:left="567" w:hanging="567"/>
        <w:rPr>
          <w:color w:val="000000"/>
        </w:rPr>
      </w:pPr>
      <w:r w:rsidRPr="00AA688B">
        <w:rPr>
          <w:rStyle w:val="FootnoteReference"/>
        </w:rPr>
        <w:footnoteRef/>
      </w:r>
      <w:r w:rsidR="00AA688B" w:rsidRPr="00AA688B">
        <w:rPr>
          <w:color w:val="000000"/>
        </w:rPr>
        <w:t xml:space="preserve"> </w:t>
      </w:r>
      <w:r w:rsidR="00AA688B" w:rsidRPr="00AA688B">
        <w:rPr>
          <w:color w:val="000000"/>
        </w:rPr>
        <w:tab/>
      </w:r>
      <w:proofErr w:type="spellStart"/>
      <w:r w:rsidRPr="00AA688B">
        <w:rPr>
          <w:color w:val="000000"/>
        </w:rPr>
        <w:t>Úř</w:t>
      </w:r>
      <w:proofErr w:type="spellEnd"/>
      <w:r w:rsidRPr="00AA688B">
        <w:rPr>
          <w:color w:val="000000"/>
        </w:rPr>
        <w:t xml:space="preserve">. </w:t>
      </w:r>
      <w:proofErr w:type="spellStart"/>
      <w:proofErr w:type="gramStart"/>
      <w:r w:rsidRPr="00AA688B">
        <w:rPr>
          <w:color w:val="000000"/>
        </w:rPr>
        <w:t>věst</w:t>
      </w:r>
      <w:proofErr w:type="spellEnd"/>
      <w:proofErr w:type="gramEnd"/>
      <w:r w:rsidRPr="00AA688B">
        <w:rPr>
          <w:color w:val="000000"/>
        </w:rPr>
        <w:t xml:space="preserve">. L, 2024/2509, </w:t>
      </w:r>
      <w:proofErr w:type="gramStart"/>
      <w:r w:rsidRPr="00AA688B">
        <w:rPr>
          <w:color w:val="000000"/>
        </w:rPr>
        <w:t>26.9.2024</w:t>
      </w:r>
      <w:proofErr w:type="gramEnd"/>
      <w:r w:rsidRPr="00AA688B">
        <w:rPr>
          <w:color w:val="000000"/>
        </w:rPr>
        <w:t xml:space="preserve">, ELI: </w:t>
      </w:r>
      <w:r w:rsidRPr="00AA688B">
        <w:rPr>
          <w:color w:val="337AB7"/>
          <w:u w:val="single"/>
        </w:rPr>
        <w:t>http://data.europa.eu/eli/reg/2024/2509/oj.</w:t>
      </w:r>
    </w:p>
  </w:footnote>
  <w:footnote w:id="11">
    <w:p w14:paraId="089DAA45" w14:textId="77777777" w:rsidR="00E8114D" w:rsidRPr="00AA688B" w:rsidRDefault="00E8114D" w:rsidP="00AA688B">
      <w:pPr>
        <w:ind w:left="567" w:hanging="567"/>
        <w:rPr>
          <w:color w:val="000000"/>
        </w:rPr>
      </w:pPr>
      <w:r w:rsidRPr="00AA688B">
        <w:rPr>
          <w:rStyle w:val="FootnoteReference"/>
        </w:rPr>
        <w:footnoteRef/>
      </w:r>
      <w:r w:rsidR="00AA688B" w:rsidRPr="00AA688B">
        <w:t xml:space="preserve"> </w:t>
      </w:r>
      <w:r w:rsidR="00AA688B" w:rsidRPr="00AA688B">
        <w:tab/>
      </w:r>
      <w:proofErr w:type="spellStart"/>
      <w:r w:rsidRPr="00AA688B">
        <w:t>Úř</w:t>
      </w:r>
      <w:proofErr w:type="spellEnd"/>
      <w:r w:rsidRPr="00AA688B">
        <w:t>. </w:t>
      </w:r>
      <w:proofErr w:type="spellStart"/>
      <w:proofErr w:type="gramStart"/>
      <w:r w:rsidRPr="00AA688B">
        <w:t>věst</w:t>
      </w:r>
      <w:proofErr w:type="spellEnd"/>
      <w:proofErr w:type="gramEnd"/>
      <w:r w:rsidRPr="00AA688B">
        <w:t xml:space="preserve">. L 433 I, </w:t>
      </w:r>
      <w:proofErr w:type="gramStart"/>
      <w:r w:rsidRPr="00AA688B">
        <w:t>22.12.2020</w:t>
      </w:r>
      <w:proofErr w:type="gramEnd"/>
      <w:r w:rsidRPr="00AA688B">
        <w:t>, s. 28, ELI:</w:t>
      </w:r>
      <w:r w:rsidRPr="00AA688B">
        <w:rPr>
          <w:color w:val="000000"/>
        </w:rPr>
        <w:t xml:space="preserve"> </w:t>
      </w:r>
      <w:hyperlink r:id="rId6" w:history="1">
        <w:r w:rsidRPr="00AA688B">
          <w:rPr>
            <w:rStyle w:val="Hyperlink"/>
          </w:rPr>
          <w:t>http://data.europa.eu/eli/agree_interinstit/2020/1222/oj</w:t>
        </w:r>
      </w:hyperlink>
      <w:r w:rsidRPr="00AA688B">
        <w:rPr>
          <w:color w:val="000000"/>
        </w:rPr>
        <w:t>.</w:t>
      </w:r>
    </w:p>
  </w:footnote>
  <w:footnote w:id="12">
    <w:p w14:paraId="2399D709" w14:textId="77777777" w:rsidR="00E8114D" w:rsidRPr="00AA688B" w:rsidRDefault="00E8114D" w:rsidP="00AA688B">
      <w:pPr>
        <w:ind w:left="567" w:hanging="567"/>
        <w:rPr>
          <w:color w:val="000000"/>
        </w:rPr>
      </w:pPr>
      <w:r w:rsidRPr="00AA688B">
        <w:rPr>
          <w:rStyle w:val="FootnoteReference"/>
        </w:rPr>
        <w:footnoteRef/>
      </w:r>
      <w:r w:rsidR="00AA688B" w:rsidRPr="00AA688B">
        <w:rPr>
          <w:color w:val="000000"/>
        </w:rPr>
        <w:t xml:space="preserve"> </w:t>
      </w:r>
      <w:r w:rsidR="00AA688B" w:rsidRPr="00AA688B">
        <w:rPr>
          <w:color w:val="000000"/>
        </w:rPr>
        <w:tab/>
      </w:r>
      <w:proofErr w:type="spellStart"/>
      <w:r w:rsidRPr="00AA688B">
        <w:rPr>
          <w:color w:val="000000"/>
        </w:rPr>
        <w:t>Úř</w:t>
      </w:r>
      <w:proofErr w:type="spellEnd"/>
      <w:r w:rsidRPr="00AA688B">
        <w:rPr>
          <w:color w:val="000000"/>
        </w:rPr>
        <w:t>. </w:t>
      </w:r>
      <w:proofErr w:type="spellStart"/>
      <w:proofErr w:type="gramStart"/>
      <w:r w:rsidRPr="00AA688B">
        <w:rPr>
          <w:color w:val="000000"/>
        </w:rPr>
        <w:t>věst</w:t>
      </w:r>
      <w:proofErr w:type="spellEnd"/>
      <w:proofErr w:type="gramEnd"/>
      <w:r w:rsidRPr="00AA688B">
        <w:rPr>
          <w:color w:val="000000"/>
        </w:rPr>
        <w:t xml:space="preserve">. L, 2025/31, </w:t>
      </w:r>
      <w:proofErr w:type="gramStart"/>
      <w:r w:rsidRPr="00AA688B">
        <w:rPr>
          <w:color w:val="000000"/>
        </w:rPr>
        <w:t>27.2.2025</w:t>
      </w:r>
      <w:proofErr w:type="gramEnd"/>
      <w:r w:rsidRPr="00AA688B">
        <w:rPr>
          <w:color w:val="000000"/>
        </w:rPr>
        <w:t xml:space="preserve">, ELI: </w:t>
      </w:r>
      <w:hyperlink r:id="rId7" w:history="1">
        <w:r w:rsidRPr="00AA688B">
          <w:rPr>
            <w:rStyle w:val="Hyperlink"/>
          </w:rPr>
          <w:t>http://data.europa.eu/eli/budget/2025/31/oj</w:t>
        </w:r>
      </w:hyperlink>
      <w:r w:rsidRPr="00AA688B">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DF4AF" w14:textId="77777777" w:rsidR="00064002" w:rsidRPr="00AA68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6D7FF" w14:textId="77777777" w:rsidR="00064002" w:rsidRPr="00AA68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81A86" w14:textId="77777777" w:rsidR="00064002" w:rsidRPr="00AA68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00007F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3" w15:restartNumberingAfterBreak="0">
    <w:nsid w:val="000007F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4" w15:restartNumberingAfterBreak="0">
    <w:nsid w:val="000007F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1B59677E"/>
    <w:multiLevelType w:val="hybridMultilevel"/>
    <w:tmpl w:val="4374264C"/>
    <w:lvl w:ilvl="0" w:tplc="666E0C8C">
      <w:start w:val="1"/>
      <w:numFmt w:val="bullet"/>
      <w:lvlText w:val=""/>
      <w:lvlJc w:val="left"/>
      <w:pPr>
        <w:ind w:left="360" w:hanging="360"/>
      </w:pPr>
      <w:rPr>
        <w:rFonts w:ascii="Symbol" w:hAnsi="Symbol" w:hint="default"/>
      </w:rPr>
    </w:lvl>
    <w:lvl w:ilvl="1" w:tplc="A2C4B2AC" w:tentative="1">
      <w:start w:val="1"/>
      <w:numFmt w:val="bullet"/>
      <w:lvlText w:val="o"/>
      <w:lvlJc w:val="left"/>
      <w:pPr>
        <w:ind w:left="1080" w:hanging="360"/>
      </w:pPr>
      <w:rPr>
        <w:rFonts w:ascii="Courier New" w:hAnsi="Courier New" w:cs="Courier New" w:hint="default"/>
      </w:rPr>
    </w:lvl>
    <w:lvl w:ilvl="2" w:tplc="DDC68078" w:tentative="1">
      <w:start w:val="1"/>
      <w:numFmt w:val="bullet"/>
      <w:lvlText w:val=""/>
      <w:lvlJc w:val="left"/>
      <w:pPr>
        <w:ind w:left="1800" w:hanging="360"/>
      </w:pPr>
      <w:rPr>
        <w:rFonts w:ascii="Wingdings" w:hAnsi="Wingdings" w:hint="default"/>
      </w:rPr>
    </w:lvl>
    <w:lvl w:ilvl="3" w:tplc="F594CC86" w:tentative="1">
      <w:start w:val="1"/>
      <w:numFmt w:val="bullet"/>
      <w:lvlText w:val=""/>
      <w:lvlJc w:val="left"/>
      <w:pPr>
        <w:ind w:left="2520" w:hanging="360"/>
      </w:pPr>
      <w:rPr>
        <w:rFonts w:ascii="Symbol" w:hAnsi="Symbol" w:hint="default"/>
      </w:rPr>
    </w:lvl>
    <w:lvl w:ilvl="4" w:tplc="CEEE344E" w:tentative="1">
      <w:start w:val="1"/>
      <w:numFmt w:val="bullet"/>
      <w:lvlText w:val="o"/>
      <w:lvlJc w:val="left"/>
      <w:pPr>
        <w:ind w:left="3240" w:hanging="360"/>
      </w:pPr>
      <w:rPr>
        <w:rFonts w:ascii="Courier New" w:hAnsi="Courier New" w:cs="Courier New" w:hint="default"/>
      </w:rPr>
    </w:lvl>
    <w:lvl w:ilvl="5" w:tplc="F3E8AD92" w:tentative="1">
      <w:start w:val="1"/>
      <w:numFmt w:val="bullet"/>
      <w:lvlText w:val=""/>
      <w:lvlJc w:val="left"/>
      <w:pPr>
        <w:ind w:left="3960" w:hanging="360"/>
      </w:pPr>
      <w:rPr>
        <w:rFonts w:ascii="Wingdings" w:hAnsi="Wingdings" w:hint="default"/>
      </w:rPr>
    </w:lvl>
    <w:lvl w:ilvl="6" w:tplc="57642070" w:tentative="1">
      <w:start w:val="1"/>
      <w:numFmt w:val="bullet"/>
      <w:lvlText w:val=""/>
      <w:lvlJc w:val="left"/>
      <w:pPr>
        <w:ind w:left="4680" w:hanging="360"/>
      </w:pPr>
      <w:rPr>
        <w:rFonts w:ascii="Symbol" w:hAnsi="Symbol" w:hint="default"/>
      </w:rPr>
    </w:lvl>
    <w:lvl w:ilvl="7" w:tplc="C47C5A68" w:tentative="1">
      <w:start w:val="1"/>
      <w:numFmt w:val="bullet"/>
      <w:lvlText w:val="o"/>
      <w:lvlJc w:val="left"/>
      <w:pPr>
        <w:ind w:left="5400" w:hanging="360"/>
      </w:pPr>
      <w:rPr>
        <w:rFonts w:ascii="Courier New" w:hAnsi="Courier New" w:cs="Courier New" w:hint="default"/>
      </w:rPr>
    </w:lvl>
    <w:lvl w:ilvl="8" w:tplc="C194FCA8" w:tentative="1">
      <w:start w:val="1"/>
      <w:numFmt w:val="bullet"/>
      <w:lvlText w:val=""/>
      <w:lvlJc w:val="left"/>
      <w:pPr>
        <w:ind w:left="6120" w:hanging="360"/>
      </w:pPr>
      <w:rPr>
        <w:rFonts w:ascii="Wingdings" w:hAnsi="Wingdings" w:hint="default"/>
      </w:rPr>
    </w:lvl>
  </w:abstractNum>
  <w:abstractNum w:abstractNumId="3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5"/>
  </w:num>
  <w:num w:numId="2">
    <w:abstractNumId w:val="37"/>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CS"/>
    <w:docVar w:name="dvnumam" w:val="0"/>
    <w:docVar w:name="dvpe" w:val="770.074"/>
    <w:docVar w:name="dvrapporteur" w:val="Zpravodaj: "/>
    <w:docVar w:name="dvtitre" w:val="Usnesení Evropského parlamentu ze dne.... 2025 o odhadu příjmů a výdajů Evropského parlamentu na rozpočtový rok 2026(2024/2111(BUI))"/>
  </w:docVars>
  <w:rsids>
    <w:rsidRoot w:val="00796B54"/>
    <w:rsid w:val="00002272"/>
    <w:rsid w:val="00042FA4"/>
    <w:rsid w:val="00064002"/>
    <w:rsid w:val="000677B9"/>
    <w:rsid w:val="000831BA"/>
    <w:rsid w:val="000A42CC"/>
    <w:rsid w:val="000E7DD9"/>
    <w:rsid w:val="0010095E"/>
    <w:rsid w:val="00125B37"/>
    <w:rsid w:val="001477DF"/>
    <w:rsid w:val="00187494"/>
    <w:rsid w:val="001F32AE"/>
    <w:rsid w:val="002767FF"/>
    <w:rsid w:val="002B18FE"/>
    <w:rsid w:val="002B5493"/>
    <w:rsid w:val="00323819"/>
    <w:rsid w:val="00343214"/>
    <w:rsid w:val="00361C00"/>
    <w:rsid w:val="00395FA1"/>
    <w:rsid w:val="003E15D4"/>
    <w:rsid w:val="00411CCE"/>
    <w:rsid w:val="0041666E"/>
    <w:rsid w:val="00421060"/>
    <w:rsid w:val="00471C19"/>
    <w:rsid w:val="004867E3"/>
    <w:rsid w:val="00494A28"/>
    <w:rsid w:val="004A0BED"/>
    <w:rsid w:val="004C0004"/>
    <w:rsid w:val="004C5D52"/>
    <w:rsid w:val="0050519A"/>
    <w:rsid w:val="005072A1"/>
    <w:rsid w:val="00514517"/>
    <w:rsid w:val="00545827"/>
    <w:rsid w:val="00560270"/>
    <w:rsid w:val="00565873"/>
    <w:rsid w:val="005C2568"/>
    <w:rsid w:val="005F1B17"/>
    <w:rsid w:val="005F30DE"/>
    <w:rsid w:val="006037C0"/>
    <w:rsid w:val="00662086"/>
    <w:rsid w:val="006631B6"/>
    <w:rsid w:val="00680577"/>
    <w:rsid w:val="006F74FA"/>
    <w:rsid w:val="00731ADD"/>
    <w:rsid w:val="00734777"/>
    <w:rsid w:val="00747932"/>
    <w:rsid w:val="00751A4A"/>
    <w:rsid w:val="00756632"/>
    <w:rsid w:val="00762C74"/>
    <w:rsid w:val="00786EC0"/>
    <w:rsid w:val="00796B54"/>
    <w:rsid w:val="007D1690"/>
    <w:rsid w:val="007E22AD"/>
    <w:rsid w:val="00817416"/>
    <w:rsid w:val="00821FE1"/>
    <w:rsid w:val="00842779"/>
    <w:rsid w:val="00865F67"/>
    <w:rsid w:val="00881A7B"/>
    <w:rsid w:val="008840E5"/>
    <w:rsid w:val="00887B3E"/>
    <w:rsid w:val="008C2AC6"/>
    <w:rsid w:val="00930C23"/>
    <w:rsid w:val="0093193B"/>
    <w:rsid w:val="009509D8"/>
    <w:rsid w:val="00950B64"/>
    <w:rsid w:val="00981893"/>
    <w:rsid w:val="00A1687D"/>
    <w:rsid w:val="00A301E9"/>
    <w:rsid w:val="00A43E52"/>
    <w:rsid w:val="00A4678D"/>
    <w:rsid w:val="00A778C7"/>
    <w:rsid w:val="00AA688B"/>
    <w:rsid w:val="00AB441E"/>
    <w:rsid w:val="00AB6293"/>
    <w:rsid w:val="00AE0928"/>
    <w:rsid w:val="00AF3B82"/>
    <w:rsid w:val="00B03A57"/>
    <w:rsid w:val="00B12E95"/>
    <w:rsid w:val="00B22876"/>
    <w:rsid w:val="00B558F0"/>
    <w:rsid w:val="00BD48FE"/>
    <w:rsid w:val="00BD7BD8"/>
    <w:rsid w:val="00BE6ADC"/>
    <w:rsid w:val="00C05BFE"/>
    <w:rsid w:val="00C23CD4"/>
    <w:rsid w:val="00C61C0C"/>
    <w:rsid w:val="00C941CB"/>
    <w:rsid w:val="00CC2357"/>
    <w:rsid w:val="00CC4684"/>
    <w:rsid w:val="00CF071A"/>
    <w:rsid w:val="00D058B8"/>
    <w:rsid w:val="00D56C11"/>
    <w:rsid w:val="00D834A0"/>
    <w:rsid w:val="00D85D2E"/>
    <w:rsid w:val="00D872DF"/>
    <w:rsid w:val="00D91E21"/>
    <w:rsid w:val="00DA7FCD"/>
    <w:rsid w:val="00E365E1"/>
    <w:rsid w:val="00E8114D"/>
    <w:rsid w:val="00E820A4"/>
    <w:rsid w:val="00EB006A"/>
    <w:rsid w:val="00EB4772"/>
    <w:rsid w:val="00ED169E"/>
    <w:rsid w:val="00ED4235"/>
    <w:rsid w:val="00F04346"/>
    <w:rsid w:val="00F075DC"/>
    <w:rsid w:val="00F149E9"/>
    <w:rsid w:val="00F430B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12480"/>
  <w15:chartTrackingRefBased/>
  <w15:docId w15:val="{F478B321-99C5-4528-B709-2C5F415F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8114D"/>
    <w:rPr>
      <w:b/>
      <w:kern w:val="28"/>
      <w:sz w:val="28"/>
      <w:lang w:val="fr-FR" w:eastAsia="fr-FR"/>
    </w:rPr>
  </w:style>
  <w:style w:type="character" w:customStyle="1" w:styleId="Heading2Char">
    <w:name w:val="Heading 2 Char"/>
    <w:basedOn w:val="DefaultParagraphFont"/>
    <w:link w:val="Heading2"/>
    <w:uiPriority w:val="9"/>
    <w:rsid w:val="00E8114D"/>
    <w:rPr>
      <w:sz w:val="24"/>
      <w:lang w:val="fr-FR" w:eastAsia="fr-FR"/>
    </w:rPr>
  </w:style>
  <w:style w:type="character" w:customStyle="1" w:styleId="Heading3Char">
    <w:name w:val="Heading 3 Char"/>
    <w:basedOn w:val="DefaultParagraphFont"/>
    <w:link w:val="Heading3"/>
    <w:uiPriority w:val="9"/>
    <w:rsid w:val="00E8114D"/>
    <w:rPr>
      <w:rFonts w:ascii="Arial" w:hAnsi="Arial"/>
      <w:sz w:val="24"/>
      <w:lang w:val="fr-FR" w:eastAsia="fr-FR"/>
    </w:rPr>
  </w:style>
  <w:style w:type="character" w:customStyle="1" w:styleId="Heading4Char">
    <w:name w:val="Heading 4 Char"/>
    <w:basedOn w:val="DefaultParagraphFont"/>
    <w:link w:val="Heading4"/>
    <w:uiPriority w:val="9"/>
    <w:rsid w:val="00E8114D"/>
    <w:rPr>
      <w:sz w:val="24"/>
      <w:lang w:val="en-US" w:eastAsia="fr-FR"/>
    </w:rPr>
  </w:style>
  <w:style w:type="character" w:customStyle="1" w:styleId="Heading5Char">
    <w:name w:val="Heading 5 Char"/>
    <w:basedOn w:val="DefaultParagraphFont"/>
    <w:link w:val="Heading5"/>
    <w:uiPriority w:val="9"/>
    <w:rsid w:val="00E8114D"/>
    <w:rPr>
      <w:sz w:val="24"/>
      <w:lang w:val="en-US" w:eastAsia="fr-FR"/>
    </w:rPr>
  </w:style>
  <w:style w:type="character" w:customStyle="1" w:styleId="Heading6Char">
    <w:name w:val="Heading 6 Char"/>
    <w:basedOn w:val="DefaultParagraphFont"/>
    <w:link w:val="Heading6"/>
    <w:uiPriority w:val="9"/>
    <w:rsid w:val="00E8114D"/>
    <w:rPr>
      <w:i/>
      <w:sz w:val="22"/>
      <w:lang w:val="cs-CZ"/>
    </w:rPr>
  </w:style>
  <w:style w:type="character" w:customStyle="1" w:styleId="Heading7Char">
    <w:name w:val="Heading 7 Char"/>
    <w:basedOn w:val="DefaultParagraphFont"/>
    <w:link w:val="Heading7"/>
    <w:uiPriority w:val="9"/>
    <w:rsid w:val="00E8114D"/>
    <w:rPr>
      <w:rFonts w:ascii="Arial" w:hAnsi="Arial"/>
      <w:sz w:val="24"/>
      <w:lang w:val="cs-CZ"/>
    </w:rPr>
  </w:style>
  <w:style w:type="character" w:customStyle="1" w:styleId="Heading8Char">
    <w:name w:val="Heading 8 Char"/>
    <w:basedOn w:val="DefaultParagraphFont"/>
    <w:link w:val="Heading8"/>
    <w:uiPriority w:val="9"/>
    <w:rsid w:val="00E8114D"/>
    <w:rPr>
      <w:rFonts w:ascii="Arial" w:hAnsi="Arial"/>
      <w:i/>
      <w:sz w:val="24"/>
      <w:lang w:val="cs-CZ"/>
    </w:rPr>
  </w:style>
  <w:style w:type="character" w:customStyle="1" w:styleId="Heading9Char">
    <w:name w:val="Heading 9 Char"/>
    <w:basedOn w:val="DefaultParagraphFont"/>
    <w:link w:val="Heading9"/>
    <w:uiPriority w:val="9"/>
    <w:rsid w:val="00E8114D"/>
    <w:rPr>
      <w:rFonts w:ascii="Arial" w:hAnsi="Arial"/>
      <w:b/>
      <w:i/>
      <w:sz w:val="18"/>
      <w:lang w:val="cs-CZ"/>
    </w:rPr>
  </w:style>
  <w:style w:type="paragraph" w:styleId="TOCHeading">
    <w:name w:val="TOC Heading"/>
    <w:basedOn w:val="Normal"/>
    <w:next w:val="Normal"/>
    <w:uiPriority w:val="39"/>
    <w:unhideWhenUsed/>
    <w:qFormat/>
    <w:rsid w:val="00E8114D"/>
    <w:pPr>
      <w:widowControl/>
      <w:spacing w:after="240"/>
    </w:pPr>
    <w:rPr>
      <w:lang w:val="en-GB"/>
    </w:rPr>
  </w:style>
  <w:style w:type="paragraph" w:customStyle="1" w:styleId="EPFooter2">
    <w:name w:val="EPFooter2"/>
    <w:basedOn w:val="Normal"/>
    <w:next w:val="Normal"/>
    <w:rsid w:val="00E8114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8114D"/>
    <w:pPr>
      <w:spacing w:after="240"/>
    </w:pPr>
  </w:style>
  <w:style w:type="paragraph" w:customStyle="1" w:styleId="TOCPage">
    <w:name w:val="TOC Page"/>
    <w:basedOn w:val="Normal"/>
    <w:next w:val="TOC1"/>
    <w:rsid w:val="00E8114D"/>
    <w:pPr>
      <w:keepNext/>
      <w:spacing w:after="240"/>
      <w:jc w:val="right"/>
    </w:pPr>
    <w:rPr>
      <w:rFonts w:ascii="Arial" w:hAnsi="Arial"/>
      <w:b/>
    </w:rPr>
  </w:style>
  <w:style w:type="paragraph" w:customStyle="1" w:styleId="PageHeading">
    <w:name w:val="PageHeading"/>
    <w:basedOn w:val="Normal"/>
    <w:rsid w:val="00E8114D"/>
    <w:pPr>
      <w:keepNext/>
      <w:spacing w:after="480"/>
      <w:jc w:val="center"/>
    </w:pPr>
    <w:rPr>
      <w:rFonts w:ascii="Arial" w:hAnsi="Arial" w:cs="Arial"/>
      <w:b/>
    </w:rPr>
  </w:style>
  <w:style w:type="paragraph" w:customStyle="1" w:styleId="NormalBold">
    <w:name w:val="NormalBold"/>
    <w:basedOn w:val="Normal"/>
    <w:rsid w:val="00E8114D"/>
    <w:rPr>
      <w:b/>
    </w:rPr>
  </w:style>
  <w:style w:type="paragraph" w:customStyle="1" w:styleId="NormalHanging12a">
    <w:name w:val="NormalHanging12a"/>
    <w:basedOn w:val="Normal"/>
    <w:link w:val="NormalHanging12aChar"/>
    <w:rsid w:val="00E8114D"/>
    <w:pPr>
      <w:spacing w:after="240"/>
      <w:ind w:left="567" w:hanging="567"/>
    </w:pPr>
  </w:style>
  <w:style w:type="paragraph" w:customStyle="1" w:styleId="CoverNormal24a">
    <w:name w:val="CoverNormal24a"/>
    <w:basedOn w:val="Normal"/>
    <w:rsid w:val="00E8114D"/>
    <w:pPr>
      <w:spacing w:after="480"/>
      <w:ind w:left="1417"/>
    </w:pPr>
  </w:style>
  <w:style w:type="paragraph" w:customStyle="1" w:styleId="CoverNormal">
    <w:name w:val="CoverNormal"/>
    <w:basedOn w:val="Normal"/>
    <w:rsid w:val="00E8114D"/>
    <w:pPr>
      <w:ind w:left="1418"/>
    </w:pPr>
  </w:style>
  <w:style w:type="paragraph" w:customStyle="1" w:styleId="CoverReference">
    <w:name w:val="CoverReference"/>
    <w:basedOn w:val="Normal"/>
    <w:rsid w:val="00E8114D"/>
    <w:pPr>
      <w:spacing w:before="1080"/>
      <w:jc w:val="right"/>
    </w:pPr>
    <w:rPr>
      <w:rFonts w:ascii="Arial" w:hAnsi="Arial" w:cs="Arial"/>
      <w:b/>
    </w:rPr>
  </w:style>
  <w:style w:type="paragraph" w:customStyle="1" w:styleId="CoverDocType24a">
    <w:name w:val="CoverDocType24a"/>
    <w:basedOn w:val="Normal"/>
    <w:rsid w:val="00E8114D"/>
    <w:pPr>
      <w:spacing w:after="480"/>
      <w:ind w:left="1418"/>
    </w:pPr>
    <w:rPr>
      <w:rFonts w:ascii="Arial" w:hAnsi="Arial"/>
      <w:b/>
      <w:sz w:val="48"/>
    </w:rPr>
  </w:style>
  <w:style w:type="paragraph" w:customStyle="1" w:styleId="CoverDate">
    <w:name w:val="CoverDate"/>
    <w:basedOn w:val="Normal"/>
    <w:rsid w:val="00E8114D"/>
    <w:pPr>
      <w:spacing w:before="240" w:after="1200"/>
    </w:pPr>
  </w:style>
  <w:style w:type="paragraph" w:customStyle="1" w:styleId="EPBody">
    <w:name w:val="EPBody"/>
    <w:basedOn w:val="Normal"/>
    <w:rsid w:val="00E8114D"/>
    <w:pPr>
      <w:jc w:val="center"/>
    </w:pPr>
    <w:rPr>
      <w:rFonts w:ascii="Arial" w:hAnsi="Arial" w:cs="Arial"/>
      <w:i/>
      <w:sz w:val="22"/>
      <w:szCs w:val="22"/>
    </w:rPr>
  </w:style>
  <w:style w:type="paragraph" w:customStyle="1" w:styleId="EPFooter">
    <w:name w:val="EPFooter"/>
    <w:basedOn w:val="Normal"/>
    <w:rsid w:val="00E8114D"/>
    <w:pPr>
      <w:tabs>
        <w:tab w:val="center" w:pos="4535"/>
        <w:tab w:val="right" w:pos="9071"/>
      </w:tabs>
      <w:spacing w:before="240" w:after="240"/>
    </w:pPr>
    <w:rPr>
      <w:color w:val="010000"/>
      <w:sz w:val="22"/>
    </w:rPr>
  </w:style>
  <w:style w:type="paragraph" w:styleId="Header">
    <w:name w:val="header"/>
    <w:basedOn w:val="Normal"/>
    <w:link w:val="HeaderChar"/>
    <w:uiPriority w:val="99"/>
    <w:rsid w:val="00E8114D"/>
    <w:pPr>
      <w:tabs>
        <w:tab w:val="center" w:pos="4513"/>
        <w:tab w:val="right" w:pos="9026"/>
      </w:tabs>
    </w:pPr>
  </w:style>
  <w:style w:type="character" w:customStyle="1" w:styleId="HeaderChar">
    <w:name w:val="Header Char"/>
    <w:basedOn w:val="DefaultParagraphFont"/>
    <w:link w:val="Header"/>
    <w:uiPriority w:val="99"/>
    <w:rsid w:val="00E8114D"/>
    <w:rPr>
      <w:sz w:val="24"/>
      <w:lang w:val="cs-CZ"/>
    </w:rPr>
  </w:style>
  <w:style w:type="paragraph" w:customStyle="1" w:styleId="EPComma">
    <w:name w:val="EPComma"/>
    <w:basedOn w:val="Normal"/>
    <w:rsid w:val="00E8114D"/>
    <w:pPr>
      <w:spacing w:before="480" w:after="240"/>
    </w:pPr>
  </w:style>
  <w:style w:type="character" w:styleId="Hyperlink">
    <w:name w:val="Hyperlink"/>
    <w:basedOn w:val="DefaultParagraphFont"/>
    <w:uiPriority w:val="99"/>
    <w:rsid w:val="00E8114D"/>
    <w:rPr>
      <w:color w:val="0563C1" w:themeColor="hyperlink"/>
      <w:u w:val="single"/>
    </w:rPr>
  </w:style>
  <w:style w:type="paragraph" w:customStyle="1" w:styleId="FootnoteReference1">
    <w:name w:val="Footnote Reference1"/>
    <w:basedOn w:val="Normal"/>
    <w:link w:val="FootnoteReference"/>
    <w:rsid w:val="00E8114D"/>
    <w:pPr>
      <w:widowControl/>
      <w:spacing w:after="160" w:line="240" w:lineRule="exact"/>
    </w:pPr>
    <w:rPr>
      <w:sz w:val="20"/>
      <w:vertAlign w:val="superscript"/>
      <w:lang w:val="en-GB"/>
    </w:rPr>
  </w:style>
  <w:style w:type="paragraph" w:styleId="Footer">
    <w:name w:val="footer"/>
    <w:basedOn w:val="Normal"/>
    <w:link w:val="FooterChar"/>
    <w:uiPriority w:val="99"/>
    <w:rsid w:val="00E8114D"/>
    <w:pPr>
      <w:tabs>
        <w:tab w:val="center" w:pos="4513"/>
        <w:tab w:val="right" w:pos="9026"/>
      </w:tabs>
    </w:pPr>
  </w:style>
  <w:style w:type="character" w:customStyle="1" w:styleId="FooterChar">
    <w:name w:val="Footer Char"/>
    <w:basedOn w:val="DefaultParagraphFont"/>
    <w:link w:val="Footer"/>
    <w:uiPriority w:val="99"/>
    <w:rsid w:val="00E8114D"/>
    <w:rPr>
      <w:sz w:val="24"/>
      <w:lang w:val="cs-CZ"/>
    </w:rPr>
  </w:style>
  <w:style w:type="character" w:customStyle="1" w:styleId="NormalHanging12aChar">
    <w:name w:val="NormalHanging12a Char"/>
    <w:basedOn w:val="DefaultParagraphFont"/>
    <w:link w:val="NormalHanging12a"/>
    <w:locked/>
    <w:rsid w:val="00E8114D"/>
    <w:rPr>
      <w:sz w:val="24"/>
      <w:lang w:val="cs-CZ"/>
    </w:rPr>
  </w:style>
  <w:style w:type="paragraph" w:styleId="Title">
    <w:name w:val="Title"/>
    <w:basedOn w:val="Normal"/>
    <w:next w:val="Normal"/>
    <w:link w:val="TitleChar"/>
    <w:uiPriority w:val="10"/>
    <w:qFormat/>
    <w:rsid w:val="00E8114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8114D"/>
    <w:rPr>
      <w:rFonts w:ascii="Arial" w:eastAsiaTheme="majorEastAsia" w:hAnsi="Arial" w:cs="Arial"/>
      <w:b/>
      <w:bCs/>
      <w:kern w:val="28"/>
      <w:sz w:val="32"/>
      <w:szCs w:val="32"/>
      <w:lang w:val="cs-CZ" w:eastAsia="en-US"/>
    </w:rPr>
  </w:style>
  <w:style w:type="paragraph" w:styleId="Subtitle">
    <w:name w:val="Subtitle"/>
    <w:basedOn w:val="Normal"/>
    <w:next w:val="Normal"/>
    <w:link w:val="SubtitleChar"/>
    <w:uiPriority w:val="11"/>
    <w:qFormat/>
    <w:rsid w:val="00E8114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8114D"/>
    <w:rPr>
      <w:rFonts w:ascii="Arial" w:eastAsiaTheme="majorEastAsia" w:hAnsi="Arial" w:cs="Arial"/>
      <w:sz w:val="24"/>
      <w:szCs w:val="24"/>
      <w:lang w:val="cs-CZ" w:eastAsia="en-US"/>
    </w:rPr>
  </w:style>
  <w:style w:type="character" w:styleId="Strong">
    <w:name w:val="Strong"/>
    <w:basedOn w:val="DefaultParagraphFont"/>
    <w:uiPriority w:val="22"/>
    <w:qFormat/>
    <w:rsid w:val="00E8114D"/>
    <w:rPr>
      <w:b/>
      <w:bCs/>
    </w:rPr>
  </w:style>
  <w:style w:type="character" w:styleId="Emphasis">
    <w:name w:val="Emphasis"/>
    <w:basedOn w:val="DefaultParagraphFont"/>
    <w:uiPriority w:val="20"/>
    <w:qFormat/>
    <w:rsid w:val="00E8114D"/>
    <w:rPr>
      <w:rFonts w:asciiTheme="minorHAnsi" w:hAnsiTheme="minorHAnsi"/>
      <w:b/>
      <w:i/>
      <w:iCs/>
    </w:rPr>
  </w:style>
  <w:style w:type="paragraph" w:styleId="NoSpacing">
    <w:name w:val="No Spacing"/>
    <w:basedOn w:val="Normal"/>
    <w:uiPriority w:val="1"/>
    <w:qFormat/>
    <w:rsid w:val="00E8114D"/>
    <w:pPr>
      <w:widowControl/>
      <w:jc w:val="both"/>
    </w:pPr>
    <w:rPr>
      <w:rFonts w:eastAsiaTheme="minorHAnsi"/>
      <w:szCs w:val="32"/>
      <w:lang w:eastAsia="en-US"/>
    </w:rPr>
  </w:style>
  <w:style w:type="paragraph" w:styleId="ListParagraph">
    <w:name w:val="List Paragraph"/>
    <w:aliases w:val="1st level - Bullet List Paragraph,L,Lettre d'introduction,List Paragraph1,List1,List11,List111,List1111,List11111,List111111,List1111111,List11111111,Medium Grid 1 - Accent 21,Nad,Numbered paragraph 1,Paragrafo elenco,Paragraphe de liste1"/>
    <w:basedOn w:val="Normal"/>
    <w:link w:val="ListParagraphChar"/>
    <w:uiPriority w:val="34"/>
    <w:qFormat/>
    <w:rsid w:val="00E8114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8114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8114D"/>
    <w:rPr>
      <w:rFonts w:eastAsiaTheme="minorHAnsi"/>
      <w:i/>
      <w:sz w:val="24"/>
      <w:szCs w:val="24"/>
      <w:lang w:val="cs-CZ" w:eastAsia="en-US"/>
    </w:rPr>
  </w:style>
  <w:style w:type="paragraph" w:styleId="IntenseQuote">
    <w:name w:val="Intense Quote"/>
    <w:basedOn w:val="Normal"/>
    <w:next w:val="Normal"/>
    <w:link w:val="IntenseQuoteChar"/>
    <w:uiPriority w:val="30"/>
    <w:qFormat/>
    <w:rsid w:val="00E8114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8114D"/>
    <w:rPr>
      <w:rFonts w:eastAsiaTheme="minorHAnsi"/>
      <w:b/>
      <w:i/>
      <w:sz w:val="24"/>
      <w:szCs w:val="22"/>
      <w:lang w:val="cs-CZ" w:eastAsia="en-US"/>
    </w:rPr>
  </w:style>
  <w:style w:type="character" w:styleId="SubtleEmphasis">
    <w:name w:val="Subtle Emphasis"/>
    <w:uiPriority w:val="19"/>
    <w:qFormat/>
    <w:rsid w:val="00E8114D"/>
    <w:rPr>
      <w:i/>
      <w:color w:val="5A5A5A" w:themeColor="text1" w:themeTint="A5"/>
    </w:rPr>
  </w:style>
  <w:style w:type="character" w:styleId="IntenseEmphasis">
    <w:name w:val="Intense Emphasis"/>
    <w:basedOn w:val="DefaultParagraphFont"/>
    <w:uiPriority w:val="21"/>
    <w:qFormat/>
    <w:rsid w:val="00E8114D"/>
    <w:rPr>
      <w:b/>
      <w:i/>
      <w:sz w:val="24"/>
      <w:szCs w:val="24"/>
      <w:u w:val="single"/>
    </w:rPr>
  </w:style>
  <w:style w:type="character" w:styleId="SubtleReference">
    <w:name w:val="Subtle Reference"/>
    <w:basedOn w:val="DefaultParagraphFont"/>
    <w:uiPriority w:val="31"/>
    <w:qFormat/>
    <w:rsid w:val="00E8114D"/>
    <w:rPr>
      <w:sz w:val="24"/>
      <w:szCs w:val="24"/>
      <w:u w:val="single"/>
    </w:rPr>
  </w:style>
  <w:style w:type="character" w:styleId="IntenseReference">
    <w:name w:val="Intense Reference"/>
    <w:basedOn w:val="DefaultParagraphFont"/>
    <w:uiPriority w:val="32"/>
    <w:qFormat/>
    <w:rsid w:val="00E8114D"/>
    <w:rPr>
      <w:b/>
      <w:sz w:val="24"/>
      <w:u w:val="single"/>
    </w:rPr>
  </w:style>
  <w:style w:type="character" w:styleId="BookTitle">
    <w:name w:val="Book Title"/>
    <w:basedOn w:val="DefaultParagraphFont"/>
    <w:uiPriority w:val="33"/>
    <w:qFormat/>
    <w:rsid w:val="00E8114D"/>
    <w:rPr>
      <w:rFonts w:asciiTheme="majorHAnsi" w:eastAsiaTheme="majorEastAsia" w:hAnsiTheme="majorHAnsi"/>
      <w:b/>
      <w:i/>
      <w:sz w:val="24"/>
      <w:szCs w:val="24"/>
    </w:rPr>
  </w:style>
  <w:style w:type="paragraph" w:customStyle="1" w:styleId="TableTitle">
    <w:name w:val="Table Title"/>
    <w:basedOn w:val="Normal"/>
    <w:uiPriority w:val="99"/>
    <w:rsid w:val="00E8114D"/>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E8114D"/>
    <w:pPr>
      <w:keepNext/>
      <w:widowControl/>
    </w:pPr>
    <w:rPr>
      <w:rFonts w:eastAsiaTheme="minorEastAsia"/>
      <w:sz w:val="18"/>
      <w:szCs w:val="18"/>
    </w:rPr>
  </w:style>
  <w:style w:type="paragraph" w:customStyle="1" w:styleId="NormalRight">
    <w:name w:val="Normal Right"/>
    <w:basedOn w:val="Normal"/>
    <w:next w:val="Normal"/>
    <w:uiPriority w:val="99"/>
    <w:rsid w:val="00E8114D"/>
    <w:pPr>
      <w:widowControl/>
      <w:spacing w:before="120" w:after="120"/>
      <w:jc w:val="right"/>
    </w:pPr>
    <w:rPr>
      <w:rFonts w:eastAsiaTheme="minorEastAsia"/>
      <w:szCs w:val="24"/>
    </w:rPr>
  </w:style>
  <w:style w:type="paragraph" w:customStyle="1" w:styleId="ReusedInfo">
    <w:name w:val="ReusedInfo"/>
    <w:next w:val="Normal"/>
    <w:uiPriority w:val="99"/>
    <w:rsid w:val="00E8114D"/>
    <w:pPr>
      <w:shd w:val="clear" w:color="auto" w:fill="C0C0C0"/>
      <w:spacing w:before="60" w:after="60"/>
    </w:pPr>
    <w:rPr>
      <w:rFonts w:eastAsiaTheme="minorEastAsia"/>
      <w:lang w:val="cs-CZ"/>
    </w:rPr>
  </w:style>
  <w:style w:type="paragraph" w:customStyle="1" w:styleId="Section">
    <w:name w:val="Section"/>
    <w:basedOn w:val="Normal"/>
    <w:next w:val="Normal"/>
    <w:uiPriority w:val="99"/>
    <w:rsid w:val="00E8114D"/>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E8114D"/>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E8114D"/>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E8114D"/>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E8114D"/>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E8114D"/>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E8114D"/>
    <w:pPr>
      <w:keepNext/>
      <w:widowControl/>
      <w:spacing w:before="480" w:after="120"/>
    </w:pPr>
    <w:rPr>
      <w:rFonts w:eastAsiaTheme="minorEastAsia"/>
      <w:b/>
      <w:bCs/>
      <w:i/>
      <w:iCs/>
      <w:szCs w:val="24"/>
    </w:rPr>
  </w:style>
  <w:style w:type="paragraph" w:customStyle="1" w:styleId="Item">
    <w:name w:val="Item"/>
    <w:basedOn w:val="Normal"/>
    <w:next w:val="Normal"/>
    <w:uiPriority w:val="99"/>
    <w:rsid w:val="00E8114D"/>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E8114D"/>
    <w:pPr>
      <w:keepNext/>
      <w:widowControl/>
      <w:spacing w:before="480" w:after="120"/>
    </w:pPr>
    <w:rPr>
      <w:rFonts w:eastAsiaTheme="minorEastAsia"/>
      <w:sz w:val="20"/>
    </w:rPr>
  </w:style>
  <w:style w:type="paragraph" w:customStyle="1" w:styleId="Annex">
    <w:name w:val="Annex"/>
    <w:basedOn w:val="Normal"/>
    <w:next w:val="Normal"/>
    <w:uiPriority w:val="99"/>
    <w:rsid w:val="00E8114D"/>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E8114D"/>
    <w:pPr>
      <w:widowControl/>
      <w:spacing w:before="120" w:after="120"/>
    </w:pPr>
    <w:rPr>
      <w:rFonts w:eastAsiaTheme="minorEastAsia"/>
      <w:i/>
      <w:iCs/>
      <w:sz w:val="20"/>
    </w:rPr>
  </w:style>
  <w:style w:type="paragraph" w:customStyle="1" w:styleId="Objective">
    <w:name w:val="Objective"/>
    <w:basedOn w:val="Normal"/>
    <w:next w:val="Normal"/>
    <w:uiPriority w:val="99"/>
    <w:rsid w:val="00E8114D"/>
    <w:pPr>
      <w:keepNext/>
      <w:widowControl/>
      <w:spacing w:before="120" w:after="120"/>
    </w:pPr>
    <w:rPr>
      <w:rFonts w:eastAsiaTheme="minorEastAsia"/>
      <w:i/>
      <w:iCs/>
      <w:sz w:val="20"/>
    </w:rPr>
  </w:style>
  <w:style w:type="paragraph" w:customStyle="1" w:styleId="Figures">
    <w:name w:val="Figures"/>
    <w:basedOn w:val="Normal"/>
    <w:next w:val="Normal"/>
    <w:uiPriority w:val="99"/>
    <w:rsid w:val="00E8114D"/>
    <w:pPr>
      <w:keepNext/>
      <w:widowControl/>
      <w:spacing w:before="120" w:after="120"/>
    </w:pPr>
    <w:rPr>
      <w:rFonts w:eastAsiaTheme="minorEastAsia"/>
      <w:i/>
      <w:iCs/>
      <w:sz w:val="20"/>
    </w:rPr>
  </w:style>
  <w:style w:type="paragraph" w:customStyle="1" w:styleId="Remarks">
    <w:name w:val="Remarks"/>
    <w:basedOn w:val="Normal"/>
    <w:next w:val="Normal"/>
    <w:uiPriority w:val="99"/>
    <w:rsid w:val="00E8114D"/>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E8114D"/>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E8114D"/>
    <w:pPr>
      <w:keepNext/>
      <w:widowControl/>
      <w:spacing w:before="120" w:after="120"/>
    </w:pPr>
    <w:rPr>
      <w:rFonts w:eastAsiaTheme="minorEastAsia"/>
      <w:i/>
      <w:iCs/>
      <w:sz w:val="20"/>
    </w:rPr>
  </w:style>
  <w:style w:type="paragraph" w:customStyle="1" w:styleId="Reference">
    <w:name w:val="Reference"/>
    <w:basedOn w:val="Normal"/>
    <w:next w:val="Normal"/>
    <w:uiPriority w:val="99"/>
    <w:rsid w:val="00E8114D"/>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E8114D"/>
  </w:style>
  <w:style w:type="character" w:customStyle="1" w:styleId="tw4winInternal">
    <w:name w:val="tw4winInternal"/>
    <w:basedOn w:val="DefaultParagraphFont"/>
    <w:uiPriority w:val="99"/>
    <w:rsid w:val="00E8114D"/>
    <w:rPr>
      <w:sz w:val="16"/>
      <w:szCs w:val="16"/>
      <w:u w:val="dash"/>
      <w:shd w:val="clear" w:color="auto" w:fill="FFFF00"/>
    </w:rPr>
  </w:style>
  <w:style w:type="character" w:customStyle="1" w:styleId="ReusedInlineInfo">
    <w:name w:val="ReusedInlineInfo"/>
    <w:basedOn w:val="DefaultParagraphFont"/>
    <w:uiPriority w:val="99"/>
    <w:rsid w:val="00E8114D"/>
    <w:rPr>
      <w:sz w:val="16"/>
      <w:szCs w:val="16"/>
      <w:u w:val="dash"/>
      <w:shd w:val="clear" w:color="auto" w:fill="FFFF00"/>
    </w:rPr>
  </w:style>
  <w:style w:type="character" w:customStyle="1" w:styleId="Error">
    <w:name w:val="Error"/>
    <w:basedOn w:val="DefaultParagraphFont"/>
    <w:uiPriority w:val="99"/>
    <w:rsid w:val="00E8114D"/>
    <w:rPr>
      <w:shd w:val="clear" w:color="auto" w:fill="FF0000"/>
    </w:rPr>
  </w:style>
  <w:style w:type="paragraph" w:styleId="BalloonText">
    <w:name w:val="Balloon Text"/>
    <w:basedOn w:val="Normal"/>
    <w:link w:val="BalloonTextChar"/>
    <w:uiPriority w:val="99"/>
    <w:unhideWhenUsed/>
    <w:rsid w:val="00E8114D"/>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E8114D"/>
    <w:rPr>
      <w:rFonts w:ascii="Segoe UI" w:eastAsiaTheme="minorHAnsi" w:hAnsi="Segoe UI" w:cs="Segoe UI"/>
      <w:sz w:val="18"/>
      <w:szCs w:val="18"/>
      <w:lang w:val="cs-CZ" w:eastAsia="en-US"/>
    </w:rPr>
  </w:style>
  <w:style w:type="character" w:styleId="CommentReference">
    <w:name w:val="annotation reference"/>
    <w:basedOn w:val="DefaultParagraphFont"/>
    <w:unhideWhenUsed/>
    <w:rsid w:val="00E8114D"/>
    <w:rPr>
      <w:sz w:val="16"/>
      <w:szCs w:val="16"/>
    </w:rPr>
  </w:style>
  <w:style w:type="paragraph" w:styleId="CommentText">
    <w:name w:val="annotation text"/>
    <w:basedOn w:val="Normal"/>
    <w:link w:val="CommentTextChar"/>
    <w:uiPriority w:val="99"/>
    <w:unhideWhenUsed/>
    <w:rsid w:val="00E8114D"/>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E8114D"/>
    <w:rPr>
      <w:rFonts w:eastAsiaTheme="minorHAnsi"/>
      <w:lang w:val="cs-CZ" w:eastAsia="en-US"/>
    </w:rPr>
  </w:style>
  <w:style w:type="paragraph" w:styleId="CommentSubject">
    <w:name w:val="annotation subject"/>
    <w:basedOn w:val="CommentText"/>
    <w:next w:val="CommentText"/>
    <w:link w:val="CommentSubjectChar"/>
    <w:uiPriority w:val="99"/>
    <w:unhideWhenUsed/>
    <w:rsid w:val="00E8114D"/>
    <w:rPr>
      <w:b/>
      <w:bCs/>
    </w:rPr>
  </w:style>
  <w:style w:type="character" w:customStyle="1" w:styleId="CommentSubjectChar">
    <w:name w:val="Comment Subject Char"/>
    <w:basedOn w:val="CommentTextChar"/>
    <w:link w:val="CommentSubject"/>
    <w:uiPriority w:val="99"/>
    <w:rsid w:val="00E8114D"/>
    <w:rPr>
      <w:rFonts w:eastAsiaTheme="minorHAnsi"/>
      <w:b/>
      <w:bCs/>
      <w:lang w:val="cs-CZ" w:eastAsia="en-US"/>
    </w:rPr>
  </w:style>
  <w:style w:type="paragraph" w:styleId="Revision">
    <w:name w:val="Revision"/>
    <w:hidden/>
    <w:uiPriority w:val="99"/>
    <w:semiHidden/>
    <w:rsid w:val="00E8114D"/>
    <w:rPr>
      <w:rFonts w:eastAsiaTheme="minorHAnsi"/>
      <w:sz w:val="24"/>
      <w:szCs w:val="24"/>
      <w:lang w:val="cs-CZ" w:eastAsia="en-US"/>
    </w:rPr>
  </w:style>
  <w:style w:type="numbering" w:customStyle="1" w:styleId="NoList1">
    <w:name w:val="No List1"/>
    <w:next w:val="NoList"/>
    <w:uiPriority w:val="99"/>
    <w:semiHidden/>
    <w:unhideWhenUsed/>
    <w:rsid w:val="00E8114D"/>
  </w:style>
  <w:style w:type="numbering" w:customStyle="1" w:styleId="NoList2">
    <w:name w:val="No List2"/>
    <w:next w:val="NoList"/>
    <w:uiPriority w:val="99"/>
    <w:semiHidden/>
    <w:unhideWhenUsed/>
    <w:rsid w:val="00E8114D"/>
  </w:style>
  <w:style w:type="paragraph" w:customStyle="1" w:styleId="Default">
    <w:name w:val="Default"/>
    <w:rsid w:val="00E8114D"/>
    <w:pPr>
      <w:autoSpaceDE w:val="0"/>
      <w:autoSpaceDN w:val="0"/>
      <w:adjustRightInd w:val="0"/>
    </w:pPr>
    <w:rPr>
      <w:rFonts w:eastAsiaTheme="minorHAnsi"/>
      <w:color w:val="000000"/>
      <w:sz w:val="24"/>
      <w:szCs w:val="24"/>
      <w:lang w:val="cs-CZ" w:eastAsia="en-US"/>
    </w:rPr>
  </w:style>
  <w:style w:type="character" w:customStyle="1" w:styleId="ListParagraphChar">
    <w:name w:val="List Paragraph Char"/>
    <w:aliases w:val="1st level - Bullet List Paragraph Char,L Char,Lettre d'introduction Char,List Paragraph1 Char,List1 Char,List11 Char,List111 Char,List1111 Char,List11111 Char,List111111 Char,List1111111 Char,List11111111 Char,Nad Char"/>
    <w:basedOn w:val="DefaultParagraphFont"/>
    <w:link w:val="ListParagraph"/>
    <w:uiPriority w:val="34"/>
    <w:qFormat/>
    <w:locked/>
    <w:rsid w:val="00E8114D"/>
    <w:rPr>
      <w:rFonts w:eastAsiaTheme="minorHAnsi"/>
      <w:sz w:val="24"/>
      <w:szCs w:val="24"/>
      <w:lang w:val="cs-CZ" w:eastAsia="en-US"/>
    </w:rPr>
  </w:style>
  <w:style w:type="paragraph" w:customStyle="1" w:styleId="RollCallVotes">
    <w:name w:val="RollCallVotes"/>
    <w:basedOn w:val="Normal"/>
    <w:rsid w:val="00E8114D"/>
    <w:pPr>
      <w:spacing w:before="120" w:after="120"/>
      <w:jc w:val="center"/>
    </w:pPr>
    <w:rPr>
      <w:b/>
      <w:bCs/>
      <w:snapToGrid w:val="0"/>
      <w:sz w:val="16"/>
      <w:lang w:val="en-GB" w:eastAsia="en-US"/>
    </w:rPr>
  </w:style>
  <w:style w:type="paragraph" w:customStyle="1" w:styleId="RollCallTabs">
    <w:name w:val="RollCallTabs"/>
    <w:basedOn w:val="Normal"/>
    <w:qFormat/>
    <w:rsid w:val="00E8114D"/>
    <w:pPr>
      <w:tabs>
        <w:tab w:val="center" w:pos="284"/>
        <w:tab w:val="left" w:pos="426"/>
      </w:tabs>
    </w:pPr>
    <w:rPr>
      <w:snapToGrid w:val="0"/>
      <w:lang w:val="en-GB" w:eastAsia="en-US"/>
    </w:rPr>
  </w:style>
  <w:style w:type="paragraph" w:customStyle="1" w:styleId="RollCallSymbols14pt">
    <w:name w:val="RollCallSymbols14pt"/>
    <w:basedOn w:val="Normal"/>
    <w:rsid w:val="00E8114D"/>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E8114D"/>
    <w:pPr>
      <w:spacing w:before="120" w:after="120"/>
    </w:pPr>
    <w:rPr>
      <w:snapToGrid w:val="0"/>
      <w:sz w:val="16"/>
      <w:lang w:val="en-GB" w:eastAsia="en-US"/>
    </w:rPr>
  </w:style>
  <w:style w:type="paragraph" w:customStyle="1" w:styleId="Normal24a">
    <w:name w:val="Normal24a"/>
    <w:basedOn w:val="Normal"/>
    <w:rsid w:val="00E8114D"/>
    <w:pPr>
      <w:spacing w:after="480"/>
    </w:pPr>
    <w:rPr>
      <w:lang w:val="en-GB"/>
    </w:rPr>
  </w:style>
  <w:style w:type="paragraph" w:customStyle="1" w:styleId="NormalBoldCenter">
    <w:name w:val="NormalBoldCenter"/>
    <w:basedOn w:val="Normal"/>
    <w:rsid w:val="00E8114D"/>
    <w:pPr>
      <w:jc w:val="center"/>
    </w:pPr>
    <w:rPr>
      <w:b/>
      <w:lang w:val="en-GB"/>
    </w:rPr>
  </w:style>
  <w:style w:type="paragraph" w:customStyle="1" w:styleId="Footprint12b">
    <w:name w:val="Footprint12b"/>
    <w:basedOn w:val="Normal"/>
    <w:rsid w:val="00E8114D"/>
    <w:pPr>
      <w:spacing w:before="240"/>
    </w:pPr>
    <w:rPr>
      <w:szCs w:val="24"/>
      <w:lang w:val="en-GB"/>
    </w:rPr>
  </w:style>
  <w:style w:type="paragraph" w:customStyle="1" w:styleId="NormalSingle">
    <w:name w:val="NormalSingle"/>
    <w:basedOn w:val="Normal"/>
    <w:qFormat/>
    <w:rsid w:val="00E8114D"/>
    <w:rPr>
      <w:szCs w:val="24"/>
      <w:lang w:val="en-GB"/>
    </w:rPr>
  </w:style>
  <w:style w:type="character" w:styleId="FollowedHyperlink">
    <w:name w:val="FollowedHyperlink"/>
    <w:basedOn w:val="DefaultParagraphFont"/>
    <w:rsid w:val="00F430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069D5-78E0-4CFB-B724-9E18867DF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3761</Words>
  <Characters>22068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2025-05-21T15:15:00Z</dcterms:created>
  <dcterms:modified xsi:type="dcterms:W3CDTF">2025-05-21T15:15:00Z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P10_TA(2025)0060_</vt:lpwstr>
  </property>
  <property fmtid="{D5CDD505-2E9C-101B-9397-08002B2CF9AE}" pid="4" name="&lt;Type&gt;">
    <vt:lpwstr>RR</vt:lpwstr>
  </property>
</Properties>
</file>