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6F57" w14:paraId="63516F86" w14:textId="77777777" w:rsidTr="0010095E">
        <w:trPr>
          <w:trHeight w:hRule="exact" w:val="1418"/>
        </w:trPr>
        <w:tc>
          <w:tcPr>
            <w:tcW w:w="6804" w:type="dxa"/>
            <w:shd w:val="clear" w:color="auto" w:fill="auto"/>
            <w:vAlign w:val="center"/>
          </w:tcPr>
          <w:p w14:paraId="399C495D" w14:textId="77777777" w:rsidR="00751A4A" w:rsidRPr="00946F57" w:rsidRDefault="00D71EFE" w:rsidP="0010095E">
            <w:pPr>
              <w:pStyle w:val="EPName"/>
            </w:pPr>
            <w:r w:rsidRPr="00946F57">
              <w:t>Europa-Parlamentet</w:t>
            </w:r>
          </w:p>
          <w:p w14:paraId="3BB74196" w14:textId="77777777" w:rsidR="00751A4A" w:rsidRPr="00946F57" w:rsidRDefault="005F1B17" w:rsidP="005F1B17">
            <w:pPr>
              <w:pStyle w:val="EPTerm"/>
              <w:rPr>
                <w:rStyle w:val="HideTWBExt"/>
                <w:noProof w:val="0"/>
                <w:vanish w:val="0"/>
                <w:color w:val="auto"/>
              </w:rPr>
            </w:pPr>
            <w:r w:rsidRPr="00946F57">
              <w:t>2024</w:t>
            </w:r>
            <w:r w:rsidR="00817416" w:rsidRPr="00946F57">
              <w:t>-202</w:t>
            </w:r>
            <w:r w:rsidRPr="00946F57">
              <w:t>9</w:t>
            </w:r>
          </w:p>
        </w:tc>
        <w:tc>
          <w:tcPr>
            <w:tcW w:w="2268" w:type="dxa"/>
            <w:shd w:val="clear" w:color="auto" w:fill="auto"/>
          </w:tcPr>
          <w:p w14:paraId="005BF84E" w14:textId="77777777" w:rsidR="00751A4A" w:rsidRPr="00946F57" w:rsidRDefault="00187494" w:rsidP="0010095E">
            <w:pPr>
              <w:pStyle w:val="EPLogo"/>
            </w:pPr>
            <w:r w:rsidRPr="00946F57">
              <w:rPr>
                <w:noProof/>
                <w:lang w:val="en-GB"/>
              </w:rPr>
              <w:drawing>
                <wp:inline distT="0" distB="0" distL="0" distR="0" wp14:anchorId="5F33F0EC" wp14:editId="66AE71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304172" w14:textId="77777777" w:rsidR="00D058B8" w:rsidRPr="00946F57" w:rsidRDefault="00D058B8" w:rsidP="004C5D52">
      <w:pPr>
        <w:pStyle w:val="LineTop"/>
      </w:pPr>
    </w:p>
    <w:p w14:paraId="444B8B81" w14:textId="77777777" w:rsidR="00680577" w:rsidRPr="00946F57" w:rsidRDefault="00D71EFE" w:rsidP="00680577">
      <w:pPr>
        <w:pStyle w:val="EPBodyTA1"/>
      </w:pPr>
      <w:r w:rsidRPr="00946F57">
        <w:t>VEDTAGNE TEKSTER</w:t>
      </w:r>
    </w:p>
    <w:p w14:paraId="2133AC95" w14:textId="77777777" w:rsidR="00D058B8" w:rsidRPr="00946F57" w:rsidRDefault="00D058B8" w:rsidP="00D058B8">
      <w:pPr>
        <w:pStyle w:val="LineBottom"/>
      </w:pPr>
    </w:p>
    <w:p w14:paraId="56708600" w14:textId="3A48A566" w:rsidR="00D71EFE" w:rsidRPr="00E00A15" w:rsidRDefault="00D71EFE" w:rsidP="00D71EFE">
      <w:pPr>
        <w:pStyle w:val="ATHeading1"/>
      </w:pPr>
      <w:bookmarkStart w:id="0" w:name="TANumber"/>
      <w:r w:rsidRPr="00E00A15">
        <w:t>P10_</w:t>
      </w:r>
      <w:proofErr w:type="gramStart"/>
      <w:r w:rsidRPr="00E00A15">
        <w:t>TA(</w:t>
      </w:r>
      <w:proofErr w:type="gramEnd"/>
      <w:r w:rsidRPr="00E00A15">
        <w:t>2025)00</w:t>
      </w:r>
      <w:r w:rsidR="00E00A15">
        <w:t>60</w:t>
      </w:r>
      <w:bookmarkEnd w:id="0"/>
    </w:p>
    <w:p w14:paraId="35D19ED8" w14:textId="77777777" w:rsidR="00D71EFE" w:rsidRPr="00E00A15" w:rsidRDefault="00C7521E" w:rsidP="00D71EFE">
      <w:pPr>
        <w:pStyle w:val="ATHeading2"/>
      </w:pPr>
      <w:bookmarkStart w:id="1" w:name="title"/>
      <w:r w:rsidRPr="00E00A15">
        <w:t>Overslag over indtægter og udgifter for regnskabsåret 2026 – Sektion I – Europa-Parlamentet</w:t>
      </w:r>
      <w:bookmarkEnd w:id="1"/>
    </w:p>
    <w:p w14:paraId="45C78D13" w14:textId="77777777" w:rsidR="00D71EFE" w:rsidRPr="00946F57" w:rsidRDefault="00D71EFE" w:rsidP="00D71EFE">
      <w:pPr>
        <w:rPr>
          <w:i/>
          <w:vanish/>
        </w:rPr>
      </w:pPr>
      <w:r w:rsidRPr="00946F57">
        <w:rPr>
          <w:i/>
        </w:rPr>
        <w:fldChar w:fldCharType="begin"/>
      </w:r>
      <w:r w:rsidRPr="00946F57">
        <w:rPr>
          <w:i/>
        </w:rPr>
        <w:instrText xml:space="preserve"> TC"(</w:instrText>
      </w:r>
      <w:bookmarkStart w:id="2" w:name="DocNumber"/>
      <w:r w:rsidRPr="00946F57">
        <w:rPr>
          <w:i/>
        </w:rPr>
        <w:instrText>A10-0048/2025</w:instrText>
      </w:r>
      <w:bookmarkEnd w:id="2"/>
      <w:r w:rsidRPr="00946F57">
        <w:rPr>
          <w:i/>
        </w:rPr>
        <w:instrText xml:space="preserve"> - Ordfører: </w:instrText>
      </w:r>
      <w:proofErr w:type="spellStart"/>
      <w:r w:rsidRPr="00946F57">
        <w:rPr>
          <w:i/>
        </w:rPr>
        <w:instrText>Matjaž</w:instrText>
      </w:r>
      <w:proofErr w:type="spellEnd"/>
      <w:r w:rsidRPr="00946F57">
        <w:rPr>
          <w:i/>
        </w:rPr>
        <w:instrText xml:space="preserve"> </w:instrText>
      </w:r>
      <w:proofErr w:type="spellStart"/>
      <w:r w:rsidRPr="00946F57">
        <w:rPr>
          <w:i/>
        </w:rPr>
        <w:instrText>Nemec</w:instrText>
      </w:r>
      <w:proofErr w:type="spellEnd"/>
      <w:r w:rsidRPr="00946F57">
        <w:rPr>
          <w:i/>
        </w:rPr>
        <w:instrText xml:space="preserve">)"\l3 \n&gt; \* MERGEFORMAT </w:instrText>
      </w:r>
      <w:r w:rsidRPr="00946F57">
        <w:rPr>
          <w:i/>
        </w:rPr>
        <w:fldChar w:fldCharType="end"/>
      </w:r>
    </w:p>
    <w:p w14:paraId="137BEC1E" w14:textId="77777777" w:rsidR="00D71EFE" w:rsidRPr="00946F57" w:rsidRDefault="00D71EFE" w:rsidP="00D71EFE">
      <w:pPr>
        <w:rPr>
          <w:vanish/>
        </w:rPr>
      </w:pPr>
      <w:bookmarkStart w:id="3" w:name="Commission"/>
      <w:r w:rsidRPr="00946F57">
        <w:rPr>
          <w:vanish/>
        </w:rPr>
        <w:t>Budgetudvalget</w:t>
      </w:r>
      <w:bookmarkEnd w:id="3"/>
    </w:p>
    <w:p w14:paraId="141E090D" w14:textId="77777777" w:rsidR="00D71EFE" w:rsidRPr="00946F57" w:rsidRDefault="00D71EFE" w:rsidP="00D71EFE">
      <w:pPr>
        <w:rPr>
          <w:vanish/>
        </w:rPr>
      </w:pPr>
      <w:bookmarkStart w:id="4" w:name="PE"/>
      <w:r w:rsidRPr="00946F57">
        <w:rPr>
          <w:vanish/>
        </w:rPr>
        <w:t>PE770.074</w:t>
      </w:r>
      <w:bookmarkEnd w:id="4"/>
    </w:p>
    <w:p w14:paraId="5F4DFC81" w14:textId="1BE5874B" w:rsidR="00D71EFE" w:rsidRPr="00E00A15" w:rsidRDefault="00D71EFE" w:rsidP="00D71EFE">
      <w:pPr>
        <w:pStyle w:val="ATHeading3"/>
      </w:pPr>
      <w:bookmarkStart w:id="5" w:name="Sujet"/>
      <w:r w:rsidRPr="00E00A15">
        <w:t xml:space="preserve">Europa-Parlamentets beslutning af </w:t>
      </w:r>
      <w:r w:rsidR="00C7521E" w:rsidRPr="00E00A15">
        <w:t>3</w:t>
      </w:r>
      <w:r w:rsidRPr="00E00A15">
        <w:t>. april 2025 om overslag over Europa-Parlamentets indtægter og udgifter for regnskabsåret 2026</w:t>
      </w:r>
      <w:bookmarkEnd w:id="5"/>
      <w:r w:rsidRPr="00E00A15">
        <w:t xml:space="preserve"> </w:t>
      </w:r>
      <w:bookmarkStart w:id="6" w:name="References"/>
      <w:r w:rsidRPr="00E00A15">
        <w:t>(2024/2111(BUI))</w:t>
      </w:r>
      <w:bookmarkEnd w:id="6"/>
    </w:p>
    <w:p w14:paraId="4DDCD753" w14:textId="77777777" w:rsidR="005703CE" w:rsidRPr="00946F57" w:rsidRDefault="005703CE" w:rsidP="005703CE">
      <w:pPr>
        <w:keepNext/>
        <w:spacing w:before="480" w:after="240"/>
        <w:rPr>
          <w:color w:val="000000"/>
        </w:rPr>
      </w:pPr>
      <w:bookmarkStart w:id="7" w:name="TextBodyBegin"/>
      <w:bookmarkEnd w:id="7"/>
      <w:r w:rsidRPr="00946F57">
        <w:rPr>
          <w:i/>
          <w:iCs/>
          <w:color w:val="000000"/>
        </w:rPr>
        <w:t>Europa-Parlamentet</w:t>
      </w:r>
      <w:r w:rsidRPr="00946F57">
        <w:rPr>
          <w:color w:val="000000"/>
        </w:rPr>
        <w:t>,</w:t>
      </w:r>
    </w:p>
    <w:p w14:paraId="2C3D6BA9" w14:textId="77777777" w:rsidR="005703CE" w:rsidRPr="00946F57" w:rsidRDefault="005703CE" w:rsidP="00C7521E">
      <w:pPr>
        <w:spacing w:after="240"/>
        <w:ind w:left="567" w:hanging="567"/>
        <w:rPr>
          <w:color w:val="000000"/>
        </w:rPr>
      </w:pPr>
      <w:r w:rsidRPr="00946F57">
        <w:rPr>
          <w:color w:val="000000"/>
        </w:rPr>
        <w:t>–</w:t>
      </w:r>
      <w:r w:rsidRPr="00946F57">
        <w:rPr>
          <w:color w:val="000000"/>
        </w:rPr>
        <w:tab/>
        <w:t>der henviser til artikel 314 i traktaten om Den Europæiske Unions funktionsmåde,</w:t>
      </w:r>
    </w:p>
    <w:p w14:paraId="4B580A6F" w14:textId="77777777" w:rsidR="005703CE" w:rsidRPr="00946F57" w:rsidRDefault="005703CE" w:rsidP="00C7521E">
      <w:pPr>
        <w:spacing w:after="240"/>
        <w:ind w:left="567" w:hanging="567"/>
        <w:rPr>
          <w:color w:val="000000"/>
        </w:rPr>
      </w:pPr>
      <w:r w:rsidRPr="00946F57">
        <w:rPr>
          <w:color w:val="000000"/>
        </w:rPr>
        <w:t>–</w:t>
      </w:r>
      <w:r w:rsidRPr="00946F57">
        <w:rPr>
          <w:color w:val="000000"/>
        </w:rPr>
        <w:tab/>
        <w:t xml:space="preserve">der henviser til Rådets forordning (EU, </w:t>
      </w:r>
      <w:proofErr w:type="spellStart"/>
      <w:r w:rsidRPr="00946F57">
        <w:rPr>
          <w:color w:val="000000"/>
        </w:rPr>
        <w:t>Euratom</w:t>
      </w:r>
      <w:proofErr w:type="spellEnd"/>
      <w:r w:rsidRPr="00946F57">
        <w:rPr>
          <w:color w:val="000000"/>
        </w:rPr>
        <w:t>) 2020/2093 af 17. december 2020 om fastlæggelse af den flerårige finansielle ramme for årene 2021-2027</w:t>
      </w:r>
      <w:r w:rsidRPr="00946F57">
        <w:rPr>
          <w:color w:val="000000"/>
          <w:vertAlign w:val="superscript"/>
        </w:rPr>
        <w:footnoteReference w:id="1"/>
      </w:r>
      <w:r w:rsidRPr="00946F57">
        <w:rPr>
          <w:color w:val="000000"/>
        </w:rPr>
        <w:t xml:space="preserve"> og til den fælles erklæring, der er opnået enighed om mellem Parlamentet, Rådet og Kommissionen i denne forbindelse</w:t>
      </w:r>
      <w:r w:rsidRPr="00946F57">
        <w:rPr>
          <w:color w:val="000000"/>
          <w:vertAlign w:val="superscript"/>
        </w:rPr>
        <w:footnoteReference w:id="2"/>
      </w:r>
      <w:r w:rsidRPr="00946F57">
        <w:rPr>
          <w:color w:val="000000"/>
        </w:rPr>
        <w:t>, samt de dertil knyttede ensidige erklæringer</w:t>
      </w:r>
      <w:r w:rsidRPr="00946F57">
        <w:rPr>
          <w:color w:val="000000"/>
          <w:vertAlign w:val="superscript"/>
        </w:rPr>
        <w:footnoteReference w:id="3"/>
      </w:r>
      <w:r w:rsidRPr="00946F57">
        <w:rPr>
          <w:color w:val="000000"/>
        </w:rPr>
        <w:t>,</w:t>
      </w:r>
    </w:p>
    <w:p w14:paraId="0B952E93" w14:textId="36B58DE3" w:rsidR="005703CE" w:rsidRPr="00946F57" w:rsidRDefault="005703CE" w:rsidP="00C7521E">
      <w:pPr>
        <w:spacing w:after="240"/>
        <w:ind w:left="567" w:hanging="567"/>
        <w:rPr>
          <w:color w:val="000000" w:themeColor="text1"/>
        </w:rPr>
      </w:pPr>
      <w:r w:rsidRPr="00946F57">
        <w:rPr>
          <w:color w:val="000000"/>
        </w:rPr>
        <w:t>–</w:t>
      </w:r>
      <w:r w:rsidRPr="00946F57">
        <w:rPr>
          <w:color w:val="000000"/>
        </w:rPr>
        <w:tab/>
        <w:t xml:space="preserve">der henviser til Rådets forordning (EU, </w:t>
      </w:r>
      <w:proofErr w:type="spellStart"/>
      <w:r w:rsidRPr="00946F57">
        <w:rPr>
          <w:color w:val="000000"/>
        </w:rPr>
        <w:t>Euratom</w:t>
      </w:r>
      <w:proofErr w:type="spellEnd"/>
      <w:r w:rsidRPr="00946F57">
        <w:rPr>
          <w:color w:val="000000"/>
        </w:rPr>
        <w:t xml:space="preserve">) 2022/2496 af 15. december 2022 om ændring af forordning (EU, </w:t>
      </w:r>
      <w:proofErr w:type="spellStart"/>
      <w:r w:rsidRPr="00946F57">
        <w:rPr>
          <w:color w:val="000000"/>
        </w:rPr>
        <w:t>Euratom</w:t>
      </w:r>
      <w:proofErr w:type="spellEnd"/>
      <w:r w:rsidRPr="00946F57">
        <w:rPr>
          <w:color w:val="000000"/>
        </w:rPr>
        <w:t>) 2020/2093 om fastlæggelse af den flerårige finansielle ramme for årene 2021-2027</w:t>
      </w:r>
      <w:r w:rsidRPr="00946F57">
        <w:rPr>
          <w:color w:val="000000"/>
          <w:vertAlign w:val="superscript"/>
        </w:rPr>
        <w:footnoteReference w:id="4"/>
      </w:r>
      <w:r w:rsidRPr="00946F57">
        <w:rPr>
          <w:color w:val="000000"/>
        </w:rPr>
        <w:t>,</w:t>
      </w:r>
    </w:p>
    <w:p w14:paraId="7528869B" w14:textId="77777777" w:rsidR="005703CE" w:rsidRPr="00946F57" w:rsidRDefault="005703CE" w:rsidP="00C7521E">
      <w:pPr>
        <w:spacing w:after="240"/>
        <w:ind w:left="567" w:hanging="567"/>
      </w:pPr>
      <w:r w:rsidRPr="00946F57">
        <w:t>–</w:t>
      </w:r>
      <w:r w:rsidRPr="00946F57">
        <w:tab/>
      </w:r>
      <w:r w:rsidRPr="00946F57">
        <w:rPr>
          <w:color w:val="000000"/>
        </w:rPr>
        <w:t xml:space="preserve">der henviser til Rådets forordning (EU, </w:t>
      </w:r>
      <w:proofErr w:type="spellStart"/>
      <w:r w:rsidRPr="00946F57">
        <w:rPr>
          <w:color w:val="000000"/>
        </w:rPr>
        <w:t>Euratom</w:t>
      </w:r>
      <w:proofErr w:type="spellEnd"/>
      <w:r w:rsidRPr="00946F57">
        <w:rPr>
          <w:color w:val="000000"/>
        </w:rPr>
        <w:t xml:space="preserve">) 2024/765 om ændring af forordning (EU, </w:t>
      </w:r>
      <w:proofErr w:type="spellStart"/>
      <w:r w:rsidRPr="00946F57">
        <w:rPr>
          <w:color w:val="000000"/>
        </w:rPr>
        <w:t>Euratom</w:t>
      </w:r>
      <w:proofErr w:type="spellEnd"/>
      <w:r w:rsidRPr="00946F57">
        <w:rPr>
          <w:color w:val="000000"/>
        </w:rPr>
        <w:t>) 2020/2093 om fastlæggelse af den flerårige finansielle ramme for årene 2021-2027</w:t>
      </w:r>
      <w:r w:rsidRPr="00946F57">
        <w:rPr>
          <w:rStyle w:val="FootnoteReference"/>
          <w:color w:val="000000"/>
        </w:rPr>
        <w:footnoteReference w:id="5"/>
      </w:r>
      <w:r w:rsidRPr="00946F57">
        <w:rPr>
          <w:color w:val="000000"/>
        </w:rPr>
        <w:t xml:space="preserve"> (FFR-revisionen),</w:t>
      </w:r>
    </w:p>
    <w:p w14:paraId="2EC0D3E8" w14:textId="77777777" w:rsidR="005703CE" w:rsidRPr="00946F57" w:rsidRDefault="005703CE" w:rsidP="00C7521E">
      <w:pPr>
        <w:spacing w:after="240"/>
        <w:ind w:left="567" w:hanging="567"/>
      </w:pPr>
      <w:r w:rsidRPr="00946F57">
        <w:t>–</w:t>
      </w:r>
      <w:r w:rsidRPr="00946F57">
        <w:tab/>
        <w:t>der henviser til sin lovgivningsmæssige beslutning af 16. december 2020 om udkast til Rådets forordning om fastlæggelse af den flerårige finansielle ramme for årene 2021-2027</w:t>
      </w:r>
      <w:r w:rsidRPr="00946F57">
        <w:rPr>
          <w:vertAlign w:val="superscript"/>
        </w:rPr>
        <w:footnoteReference w:id="6"/>
      </w:r>
      <w:r w:rsidRPr="00946F57">
        <w:t>,</w:t>
      </w:r>
    </w:p>
    <w:p w14:paraId="368E3ED4" w14:textId="77777777" w:rsidR="005703CE" w:rsidRPr="00946F57" w:rsidRDefault="005703CE" w:rsidP="00C7521E">
      <w:pPr>
        <w:spacing w:after="240"/>
        <w:ind w:left="567" w:hanging="567"/>
        <w:rPr>
          <w:color w:val="000000"/>
        </w:rPr>
      </w:pPr>
      <w:r w:rsidRPr="00946F57">
        <w:rPr>
          <w:color w:val="000000"/>
        </w:rPr>
        <w:t>–</w:t>
      </w:r>
      <w:r w:rsidRPr="00946F57">
        <w:rPr>
          <w:color w:val="000000"/>
        </w:rPr>
        <w:tab/>
        <w:t xml:space="preserve">der henviser til sin beslutning af 15. december 2022 om </w:t>
      </w:r>
      <w:proofErr w:type="spellStart"/>
      <w:r w:rsidRPr="00946F57">
        <w:rPr>
          <w:color w:val="000000"/>
        </w:rPr>
        <w:t>opskalering</w:t>
      </w:r>
      <w:proofErr w:type="spellEnd"/>
      <w:r w:rsidRPr="00946F57">
        <w:rPr>
          <w:color w:val="000000"/>
        </w:rPr>
        <w:t xml:space="preserve"> af den flerårige finansielle ramme for 2021-2027: Et robust EU-budget, der er egnet til nye </w:t>
      </w:r>
      <w:r w:rsidRPr="00946F57">
        <w:rPr>
          <w:color w:val="000000"/>
        </w:rPr>
        <w:lastRenderedPageBreak/>
        <w:t>udfordringer</w:t>
      </w:r>
      <w:r w:rsidRPr="00946F57">
        <w:rPr>
          <w:color w:val="000000"/>
          <w:vertAlign w:val="superscript"/>
        </w:rPr>
        <w:footnoteReference w:id="7"/>
      </w:r>
      <w:r w:rsidRPr="00946F57">
        <w:rPr>
          <w:color w:val="000000"/>
        </w:rPr>
        <w:t>,</w:t>
      </w:r>
    </w:p>
    <w:p w14:paraId="0A0D12CD" w14:textId="77777777" w:rsidR="005703CE" w:rsidRPr="00946F57" w:rsidRDefault="005703CE" w:rsidP="00C7521E">
      <w:pPr>
        <w:spacing w:after="240"/>
        <w:ind w:left="567" w:hanging="567"/>
      </w:pPr>
      <w:r w:rsidRPr="00946F57">
        <w:t>–</w:t>
      </w:r>
      <w:r w:rsidRPr="00946F57">
        <w:tab/>
        <w:t>der henviser til sin beslutning af 3. oktober 2023 om forslaget til en midtvejsrevision af den flerårige finansielle ramme for årene 2021-2027</w:t>
      </w:r>
      <w:r w:rsidRPr="00946F57">
        <w:rPr>
          <w:vertAlign w:val="superscript"/>
        </w:rPr>
        <w:footnoteReference w:id="8"/>
      </w:r>
      <w:r w:rsidRPr="00946F57">
        <w:t>,</w:t>
      </w:r>
    </w:p>
    <w:p w14:paraId="3296F666" w14:textId="6E111C66" w:rsidR="005703CE" w:rsidRPr="00946F57" w:rsidRDefault="005703CE" w:rsidP="00C7521E">
      <w:pPr>
        <w:spacing w:after="240"/>
        <w:ind w:left="567" w:hanging="567"/>
        <w:rPr>
          <w:color w:val="000000"/>
        </w:rPr>
      </w:pPr>
      <w:r w:rsidRPr="00946F57">
        <w:rPr>
          <w:color w:val="000000"/>
        </w:rPr>
        <w:t>–</w:t>
      </w:r>
      <w:r w:rsidRPr="00946F57">
        <w:rPr>
          <w:color w:val="000000"/>
        </w:rPr>
        <w:tab/>
        <w:t xml:space="preserve">der henviser til sin beslutning af 27. februar 2024 om udkast til Rådets forordning om ændring af forordning (EU, </w:t>
      </w:r>
      <w:proofErr w:type="spellStart"/>
      <w:r w:rsidRPr="00946F57">
        <w:rPr>
          <w:color w:val="000000"/>
        </w:rPr>
        <w:t>Euratom</w:t>
      </w:r>
      <w:proofErr w:type="spellEnd"/>
      <w:r w:rsidRPr="00946F57">
        <w:rPr>
          <w:color w:val="000000"/>
        </w:rPr>
        <w:t>) 2020/2093 om fastlæggelse af den flerårige finansielle ramme for årene 2021-2027</w:t>
      </w:r>
      <w:r w:rsidRPr="00946F57">
        <w:rPr>
          <w:color w:val="000000"/>
          <w:vertAlign w:val="superscript"/>
        </w:rPr>
        <w:footnoteReference w:id="9"/>
      </w:r>
      <w:r w:rsidRPr="00946F57">
        <w:rPr>
          <w:color w:val="000000"/>
        </w:rPr>
        <w:t>,</w:t>
      </w:r>
    </w:p>
    <w:p w14:paraId="64777C2C" w14:textId="77777777" w:rsidR="005703CE" w:rsidRPr="00946F57" w:rsidRDefault="005703CE" w:rsidP="00C7521E">
      <w:pPr>
        <w:widowControl/>
        <w:spacing w:after="240"/>
        <w:ind w:left="567" w:hanging="567"/>
        <w:rPr>
          <w:color w:val="000000"/>
        </w:rPr>
      </w:pPr>
      <w:r w:rsidRPr="00946F57">
        <w:rPr>
          <w:color w:val="000000"/>
        </w:rPr>
        <w:t>–</w:t>
      </w:r>
      <w:r w:rsidRPr="00946F57">
        <w:rPr>
          <w:color w:val="000000"/>
        </w:rPr>
        <w:tab/>
        <w:t xml:space="preserve">der henviser til Europa-Parlamentets og Rådets forordning (EU, </w:t>
      </w:r>
      <w:proofErr w:type="spellStart"/>
      <w:r w:rsidRPr="00946F57">
        <w:rPr>
          <w:color w:val="000000"/>
        </w:rPr>
        <w:t>Euratom</w:t>
      </w:r>
      <w:proofErr w:type="spellEnd"/>
      <w:r w:rsidRPr="00946F57">
        <w:rPr>
          <w:color w:val="000000"/>
        </w:rPr>
        <w:t>) 2024/2509 af 23. september 2024 om de finansielle regler vedrørende Unionens almindelige budget (omarbejdning)</w:t>
      </w:r>
      <w:r w:rsidRPr="00946F57">
        <w:rPr>
          <w:color w:val="000000"/>
          <w:vertAlign w:val="superscript"/>
        </w:rPr>
        <w:footnoteReference w:id="10"/>
      </w:r>
      <w:r w:rsidRPr="00946F57">
        <w:rPr>
          <w:color w:val="000000"/>
        </w:rPr>
        <w:t xml:space="preserve"> (finansforordningen),</w:t>
      </w:r>
    </w:p>
    <w:p w14:paraId="56E38B02" w14:textId="5CAEC040" w:rsidR="005703CE" w:rsidRPr="00946F57" w:rsidRDefault="005703CE" w:rsidP="00C7521E">
      <w:pPr>
        <w:spacing w:after="240"/>
        <w:ind w:left="567" w:hanging="567"/>
        <w:rPr>
          <w:color w:val="000000"/>
        </w:rPr>
      </w:pPr>
      <w:r w:rsidRPr="00946F57">
        <w:rPr>
          <w:color w:val="000000"/>
        </w:rPr>
        <w:t>–</w:t>
      </w:r>
      <w:r w:rsidRPr="00946F57">
        <w:rPr>
          <w:color w:val="000000"/>
        </w:rPr>
        <w:tab/>
        <w:t xml:space="preserve">der henviser til den </w:t>
      </w:r>
      <w:proofErr w:type="spellStart"/>
      <w:r w:rsidRPr="00946F57">
        <w:rPr>
          <w:color w:val="000000"/>
        </w:rPr>
        <w:t>interinstitutionelle</w:t>
      </w:r>
      <w:proofErr w:type="spellEnd"/>
      <w:r w:rsidRPr="00946F57">
        <w:rPr>
          <w:color w:val="000000"/>
        </w:rPr>
        <w:t xml:space="preserve"> aftale af 16. december 2020 mellem Europa-Parlamentet, Rådet og Kommissionen om budgetdisciplin, om samarbejde på budgetområdet og om forsvarlig økonomisk forvaltning samt om nye egne indtægter, herunder en køreplan hen imod indførelse af nye egne indtægter</w:t>
      </w:r>
      <w:r w:rsidRPr="00946F57">
        <w:rPr>
          <w:color w:val="000000"/>
          <w:vertAlign w:val="superscript"/>
        </w:rPr>
        <w:footnoteReference w:id="11"/>
      </w:r>
      <w:r w:rsidRPr="00946F57">
        <w:rPr>
          <w:color w:val="000000"/>
        </w:rPr>
        <w:t>,</w:t>
      </w:r>
    </w:p>
    <w:p w14:paraId="7258C28F" w14:textId="77777777" w:rsidR="005703CE" w:rsidRPr="00946F57" w:rsidRDefault="005703CE" w:rsidP="00C7521E">
      <w:pPr>
        <w:spacing w:after="240"/>
        <w:ind w:left="567" w:hanging="567"/>
        <w:rPr>
          <w:color w:val="000000"/>
        </w:rPr>
      </w:pPr>
      <w:r w:rsidRPr="00946F57">
        <w:rPr>
          <w:color w:val="000000"/>
        </w:rPr>
        <w:t>–</w:t>
      </w:r>
      <w:r w:rsidRPr="00946F57">
        <w:rPr>
          <w:color w:val="000000"/>
        </w:rPr>
        <w:tab/>
        <w:t>der henviser til Den Europæiske Unions almindelige budget for regnskabsåret 2025</w:t>
      </w:r>
      <w:r w:rsidRPr="00946F57">
        <w:rPr>
          <w:color w:val="000000"/>
          <w:vertAlign w:val="superscript"/>
        </w:rPr>
        <w:footnoteReference w:id="12"/>
      </w:r>
      <w:r w:rsidRPr="00946F57">
        <w:rPr>
          <w:color w:val="000000"/>
        </w:rPr>
        <w:t xml:space="preserve"> og til de tilknyttede fælles erklæringer fra Parlamentet, Rådet og Kommissionen,</w:t>
      </w:r>
    </w:p>
    <w:p w14:paraId="522CEB4C" w14:textId="77777777" w:rsidR="005703CE" w:rsidRPr="00946F57" w:rsidRDefault="005703CE" w:rsidP="00C7521E">
      <w:pPr>
        <w:spacing w:after="240"/>
        <w:ind w:left="567" w:hanging="567"/>
        <w:rPr>
          <w:color w:val="000000"/>
        </w:rPr>
      </w:pPr>
      <w:r w:rsidRPr="00946F57">
        <w:rPr>
          <w:color w:val="000000"/>
        </w:rPr>
        <w:t>–</w:t>
      </w:r>
      <w:r w:rsidRPr="00946F57">
        <w:rPr>
          <w:color w:val="000000"/>
        </w:rPr>
        <w:tab/>
        <w:t>der henviser til generalsekretærens beretning til Præsidiet med henblik på opstilling af det foreløbige forslag til Parlamentets budgetoverslag for regnskabsåret 2026,</w:t>
      </w:r>
    </w:p>
    <w:p w14:paraId="204BAC7C" w14:textId="37123643" w:rsidR="005703CE" w:rsidRPr="00946F57" w:rsidRDefault="005703CE" w:rsidP="00E00A15">
      <w:pPr>
        <w:spacing w:after="240"/>
        <w:ind w:left="567" w:hanging="567"/>
        <w:rPr>
          <w:color w:val="000000"/>
        </w:rPr>
      </w:pPr>
      <w:r w:rsidRPr="00946F57">
        <w:rPr>
          <w:color w:val="000000"/>
        </w:rPr>
        <w:t>–</w:t>
      </w:r>
      <w:r w:rsidRPr="00946F57">
        <w:rPr>
          <w:color w:val="000000"/>
        </w:rPr>
        <w:tab/>
        <w:t>der henviser til det foreløbige forslag til budgetoverslag, opstillet af Præsidiet den 10. marts 2025, jf. forretningsordenens artikel 25, stk. 7, og artikel 104, stk. 1,</w:t>
      </w:r>
    </w:p>
    <w:p w14:paraId="1224DDC7" w14:textId="4D7E9D63" w:rsidR="005703CE" w:rsidRPr="00946F57" w:rsidRDefault="005703CE" w:rsidP="00E00A15">
      <w:pPr>
        <w:spacing w:after="240"/>
        <w:ind w:left="567" w:hanging="567"/>
        <w:rPr>
          <w:color w:val="000000"/>
        </w:rPr>
      </w:pPr>
      <w:r w:rsidRPr="00946F57">
        <w:rPr>
          <w:color w:val="000000"/>
        </w:rPr>
        <w:t>–</w:t>
      </w:r>
      <w:r w:rsidRPr="00946F57">
        <w:rPr>
          <w:color w:val="000000"/>
        </w:rPr>
        <w:tab/>
        <w:t>der henviser til forslag til budgetoverslag, opstillet af Budgetudvalget, jf. forretningsordenens artikel 104, stk. 2,</w:t>
      </w:r>
    </w:p>
    <w:p w14:paraId="2B5CCEC5" w14:textId="0D68C70B" w:rsidR="005703CE" w:rsidRPr="00946F57" w:rsidRDefault="005703CE" w:rsidP="00E00A15">
      <w:pPr>
        <w:spacing w:after="240"/>
        <w:ind w:left="567" w:hanging="567"/>
        <w:rPr>
          <w:color w:val="000000"/>
        </w:rPr>
      </w:pPr>
      <w:r w:rsidRPr="00946F57">
        <w:rPr>
          <w:color w:val="000000"/>
        </w:rPr>
        <w:t>–</w:t>
      </w:r>
      <w:r w:rsidRPr="00946F57">
        <w:rPr>
          <w:color w:val="000000"/>
        </w:rPr>
        <w:tab/>
        <w:t>der henviser til forretningsordenens artikel 104,</w:t>
      </w:r>
    </w:p>
    <w:p w14:paraId="22752D3E" w14:textId="07A8AFF1" w:rsidR="005703CE" w:rsidRPr="00946F57" w:rsidRDefault="005703CE" w:rsidP="00E00A15">
      <w:pPr>
        <w:spacing w:after="240"/>
        <w:ind w:left="567" w:hanging="567"/>
        <w:rPr>
          <w:color w:val="000000"/>
        </w:rPr>
      </w:pPr>
      <w:r w:rsidRPr="00946F57">
        <w:rPr>
          <w:color w:val="000000"/>
        </w:rPr>
        <w:t>–</w:t>
      </w:r>
      <w:r w:rsidRPr="00946F57">
        <w:rPr>
          <w:color w:val="000000"/>
        </w:rPr>
        <w:tab/>
        <w:t>der henviser til betænkning fra Budgetudvalget (A10-0048/2025),</w:t>
      </w:r>
    </w:p>
    <w:p w14:paraId="0455568E" w14:textId="6D7253D7" w:rsidR="005703CE" w:rsidRPr="00946F57" w:rsidRDefault="005703CE" w:rsidP="00E00A15">
      <w:pPr>
        <w:widowControl/>
        <w:spacing w:after="240"/>
        <w:ind w:left="567" w:hanging="567"/>
        <w:rPr>
          <w:color w:val="000000"/>
        </w:rPr>
      </w:pPr>
      <w:r w:rsidRPr="00946F57">
        <w:rPr>
          <w:color w:val="000000"/>
        </w:rPr>
        <w:t>A.</w:t>
      </w:r>
      <w:r w:rsidRPr="00946F57">
        <w:rPr>
          <w:color w:val="000000"/>
        </w:rPr>
        <w:tab/>
        <w:t xml:space="preserve">der henviser til, at det budget, som Generalsekretæren foreslog den 10. februar 2025 til det foreløbige forslag til Parlamentets budgetoverslag for 2026, beløber sig til 2 641 609 620 EUR og udgør en stigning på 4,30 % eller 108 914 512 mio. EUR i forhold til 2025-budgettet; </w:t>
      </w:r>
    </w:p>
    <w:p w14:paraId="58E62D72" w14:textId="56074E26" w:rsidR="005703CE" w:rsidRPr="00946F57" w:rsidRDefault="005703CE" w:rsidP="00E00A15">
      <w:pPr>
        <w:widowControl/>
        <w:spacing w:after="240"/>
        <w:ind w:left="567" w:hanging="567"/>
        <w:rPr>
          <w:color w:val="000000"/>
        </w:rPr>
      </w:pPr>
      <w:r w:rsidRPr="00946F57">
        <w:rPr>
          <w:color w:val="000000"/>
        </w:rPr>
        <w:t>B.</w:t>
      </w:r>
      <w:r w:rsidRPr="00946F57">
        <w:rPr>
          <w:color w:val="000000"/>
        </w:rPr>
        <w:tab/>
        <w:t>der henviser til, at den årlige infl</w:t>
      </w:r>
      <w:bookmarkStart w:id="8" w:name="_GoBack"/>
      <w:bookmarkEnd w:id="8"/>
      <w:r w:rsidRPr="00946F57">
        <w:rPr>
          <w:color w:val="000000"/>
        </w:rPr>
        <w:t>ation i Unionen ifølge Eurostat var på 2,8 % i januar 2025, hvilket er en stigning i forhold til 2,7 % i december 2024; der henviser til, at udgiftsniveauet under udgiftsområde 7 i den flerårige finansielle ramme (FFR) for 2021-2027 er baseret på en årlig stigning på 2 %;</w:t>
      </w:r>
    </w:p>
    <w:p w14:paraId="116A6088" w14:textId="714DE922" w:rsidR="005703CE" w:rsidRPr="00946F57" w:rsidRDefault="005703CE" w:rsidP="00E00A15">
      <w:pPr>
        <w:widowControl/>
        <w:spacing w:after="240"/>
        <w:ind w:left="567" w:hanging="567"/>
        <w:rPr>
          <w:color w:val="000000"/>
        </w:rPr>
      </w:pPr>
      <w:r w:rsidRPr="00946F57">
        <w:rPr>
          <w:color w:val="000000"/>
        </w:rPr>
        <w:lastRenderedPageBreak/>
        <w:t>C.</w:t>
      </w:r>
      <w:r w:rsidRPr="00946F57">
        <w:rPr>
          <w:color w:val="000000"/>
        </w:rPr>
        <w:tab/>
        <w:t xml:space="preserve">der henviser til, at Parlamentets troværdighed afhænger af dets evne til at levere resultater i sit centrale budget-, lovgivnings- og kontrolarbejde og udføre dette arbejde efter den højeste standard og samtidig foregå andre EU-institutioner med et godt eksempel ved at planlægge og gennemføre sine udgifter på en forsigtig og effektiv måde og afspejle de aktuelle økonomiske realiteter; </w:t>
      </w:r>
    </w:p>
    <w:p w14:paraId="39060D62" w14:textId="77777777" w:rsidR="005703CE" w:rsidRPr="00946F57" w:rsidRDefault="005703CE" w:rsidP="005703CE">
      <w:pPr>
        <w:widowControl/>
        <w:spacing w:after="240"/>
        <w:ind w:left="567" w:hanging="567"/>
        <w:rPr>
          <w:b/>
          <w:i/>
          <w:color w:val="000000"/>
        </w:rPr>
      </w:pPr>
      <w:r w:rsidRPr="00946F57">
        <w:rPr>
          <w:b/>
          <w:i/>
          <w:color w:val="000000"/>
        </w:rPr>
        <w:t>Generel ramme</w:t>
      </w:r>
    </w:p>
    <w:p w14:paraId="383C497C" w14:textId="77777777" w:rsidR="005703CE" w:rsidRPr="00946F57" w:rsidRDefault="005703CE" w:rsidP="00C7521E">
      <w:pPr>
        <w:widowControl/>
        <w:spacing w:after="240"/>
        <w:ind w:left="567" w:hanging="567"/>
        <w:rPr>
          <w:color w:val="000000"/>
        </w:rPr>
      </w:pPr>
      <w:r w:rsidRPr="00946F57">
        <w:rPr>
          <w:color w:val="000000"/>
        </w:rPr>
        <w:t>1.</w:t>
      </w:r>
      <w:r w:rsidRPr="00946F57">
        <w:rPr>
          <w:color w:val="000000"/>
        </w:rPr>
        <w:tab/>
        <w:t>er bekymret over situationen med hensyn til udgiftsområde 7 i den nuværende FFR; minder om, at begrænsningerne er resultatet af de nedskæringer, som Rådet foretog i Kommissionens allerede meget lave oprindelige forslag, da der blev opnået enighed om den nuværende FFR for 2021-2027; beklager Rådets modstand mod Kommissionens forslag om at forhøje loftet for udgiftsområde 7 i revisionen af FFR fra og med 2024; påpeger, at problemet med loftet for udgiftsområde 7 ikke er blevet løst i forbindelse med revisionen af FFR; fremhæver, at den forventede negative margen for 2026 forudsætter, at de særlige instrumenter under udgiftsområde 7 anvendes til dette formål;</w:t>
      </w:r>
    </w:p>
    <w:p w14:paraId="7BDBEE90" w14:textId="77777777" w:rsidR="005703CE" w:rsidRPr="00946F57" w:rsidRDefault="005703CE" w:rsidP="00C7521E">
      <w:pPr>
        <w:widowControl/>
        <w:spacing w:after="240"/>
        <w:ind w:left="567" w:hanging="567"/>
        <w:rPr>
          <w:color w:val="000000"/>
        </w:rPr>
      </w:pPr>
      <w:r w:rsidRPr="00946F57">
        <w:rPr>
          <w:color w:val="000000"/>
        </w:rPr>
        <w:t>2.</w:t>
      </w:r>
      <w:r w:rsidRPr="00946F57">
        <w:rPr>
          <w:color w:val="000000"/>
        </w:rPr>
        <w:tab/>
        <w:t>tilslutter sig den aftale, der blev indgået under forligsproceduren mellem Præsidiet og Budgetudvalget den 18. marts 2025, om at fastsætte forhøjelsen i forhold til 2025-budgettet til 4,09 %, hvilket svarer til et samlet overslag på 2 636 241 620 EUR for 2026, og om tilsvarende at nedskære de foreslåede bevillinger på følgende budgetposter til i alt 12 378 000 EUR:</w:t>
      </w:r>
    </w:p>
    <w:p w14:paraId="3F5C0652" w14:textId="77777777" w:rsidR="005703CE" w:rsidRPr="00946F57" w:rsidRDefault="005703CE" w:rsidP="00C7521E">
      <w:pPr>
        <w:widowControl/>
        <w:spacing w:after="240"/>
        <w:ind w:left="567"/>
        <w:rPr>
          <w:color w:val="000000"/>
        </w:rPr>
      </w:pPr>
      <w:r w:rsidRPr="00946F57">
        <w:rPr>
          <w:color w:val="000000"/>
        </w:rPr>
        <w:t>1 0 0 6 — Godtgørelse for generelle udgifter, 1 4 2 — Eksterne oversættelsestjenester, 2 0 0 0 — Leje, 2 0 0 7 — Opførelse af bygninger og indretning af lokaler, 2 0 2 4 — Energiforbrug, 2 1 0 1 — Forvaltning af erhvervsapplikationer, 3 2 0 — Køb af ekspertise, 3 2 4 3 — Europa-Parlamentets besøgscentre, 3 2 4 8 — Udgifter til audiovisuel information, 4 4 — Medlemmers og tidligere medlemmers møder og andre aktiviteter;</w:t>
      </w:r>
    </w:p>
    <w:p w14:paraId="486B42F1" w14:textId="77777777" w:rsidR="005703CE" w:rsidRPr="00946F57" w:rsidRDefault="005703CE" w:rsidP="00C7521E">
      <w:pPr>
        <w:widowControl/>
        <w:spacing w:after="240"/>
        <w:ind w:left="567"/>
        <w:rPr>
          <w:color w:val="000000"/>
        </w:rPr>
      </w:pPr>
      <w:r w:rsidRPr="00946F57">
        <w:rPr>
          <w:color w:val="000000"/>
        </w:rPr>
        <w:t>desuden blev det besluttet at forhøje udgiftsniveauet i det foreløbige forslag til budgetoverslag, som Præsidiet godkendte den 10. marts 2025, med 7 010 000 EUR og tilsvarende at forhøje de foreslåede bevillinger på følgende budgetposter:</w:t>
      </w:r>
    </w:p>
    <w:p w14:paraId="55F3F882" w14:textId="77777777" w:rsidR="005703CE" w:rsidRPr="00946F57" w:rsidRDefault="005703CE" w:rsidP="00C7521E">
      <w:pPr>
        <w:widowControl/>
        <w:spacing w:after="240"/>
        <w:ind w:left="567"/>
        <w:rPr>
          <w:color w:val="000000"/>
        </w:rPr>
      </w:pPr>
      <w:r w:rsidRPr="00946F57">
        <w:rPr>
          <w:color w:val="000000"/>
        </w:rPr>
        <w:t>1 2 0 0 — Vederlag og godtgørelser, 1 6 3 0 — Social velfærd: Artikel 4 0 0 — De politiske gruppers og løsgængernes administrative udgifter, politiske virksomhed og oplysningsarbejde samt 4 0 3 — Finansiering af europæiske politiske fonde;</w:t>
      </w:r>
    </w:p>
    <w:p w14:paraId="0B916EB8" w14:textId="77777777" w:rsidR="005703CE" w:rsidRPr="00946F57" w:rsidRDefault="005703CE" w:rsidP="00C7521E">
      <w:pPr>
        <w:widowControl/>
        <w:spacing w:after="240"/>
        <w:ind w:left="567"/>
        <w:rPr>
          <w:color w:val="000000"/>
        </w:rPr>
      </w:pPr>
      <w:r w:rsidRPr="00946F57">
        <w:rPr>
          <w:color w:val="000000"/>
        </w:rPr>
        <w:t>endelig blev det besluttet at ændre budgetanmærkningerne til konto 1 6 3 0 — Social velfærd: velfærdsudgifter skal omfatte henvisningen til APA-udvalget;</w:t>
      </w:r>
    </w:p>
    <w:p w14:paraId="65513400" w14:textId="77777777" w:rsidR="005703CE" w:rsidRPr="00946F57" w:rsidRDefault="005703CE" w:rsidP="00C7521E">
      <w:pPr>
        <w:widowControl/>
        <w:spacing w:after="240"/>
        <w:ind w:left="567" w:hanging="567"/>
        <w:rPr>
          <w:color w:val="000000"/>
        </w:rPr>
      </w:pPr>
      <w:r w:rsidRPr="00946F57">
        <w:rPr>
          <w:color w:val="000000"/>
        </w:rPr>
        <w:t>3.</w:t>
      </w:r>
      <w:r w:rsidRPr="00946F57">
        <w:rPr>
          <w:color w:val="000000"/>
        </w:rPr>
        <w:tab/>
        <w:t>minder om, at næsten to tredjedele af budgettet ligger fast på grund af vedtægtsmæssige forpligtelser; bemærker, at en stigning på 85,3 mio. EUR ud af stigningen på 103,5 mio. EUR i forhold til 2025-budgettet skyldes vedtægtsmæssige finansielle forpligtelser, hovedsagelig løntilpasninger for tjenestemænd og midlertidigt ansatte (52,7 mio. EUR), kontraktansatte (9,2 mio. EUR) og akkrediterede parlamentariske assistenter (15,1 mio. EUR); minder om, at Kommissionen på nuværende tidspunkt anslår, at lønindekseringen i overensstemmelse med personalevedtægten og statutten for Europa-Parlamentets medlemmer i april 2025, juli 2025, april 2026 og juli 2026 vil være på henholdsvis 1,2 %, 4,6 %, 0,6 % og 3,4 %;</w:t>
      </w:r>
    </w:p>
    <w:p w14:paraId="7744D5D0" w14:textId="77777777" w:rsidR="005703CE" w:rsidRPr="00946F57" w:rsidRDefault="005703CE" w:rsidP="00C7521E">
      <w:pPr>
        <w:widowControl/>
        <w:spacing w:after="240"/>
        <w:ind w:left="567" w:hanging="567"/>
        <w:rPr>
          <w:color w:val="000000"/>
        </w:rPr>
      </w:pPr>
      <w:r w:rsidRPr="00946F57">
        <w:rPr>
          <w:color w:val="000000"/>
        </w:rPr>
        <w:lastRenderedPageBreak/>
        <w:t>4.</w:t>
      </w:r>
      <w:r w:rsidRPr="00946F57">
        <w:rPr>
          <w:color w:val="000000"/>
        </w:rPr>
        <w:tab/>
        <w:t>bemærker, at Parlamentet for tredje år i træk ikke anmoder om yderligere stillinger for 2026;</w:t>
      </w:r>
    </w:p>
    <w:p w14:paraId="26CB8965" w14:textId="77777777" w:rsidR="005703CE" w:rsidRPr="00946F57" w:rsidRDefault="005703CE" w:rsidP="00C7521E">
      <w:pPr>
        <w:widowControl/>
        <w:spacing w:after="240"/>
        <w:ind w:left="567" w:hanging="567"/>
        <w:rPr>
          <w:color w:val="000000"/>
        </w:rPr>
      </w:pPr>
      <w:r w:rsidRPr="00946F57">
        <w:rPr>
          <w:color w:val="000000"/>
        </w:rPr>
        <w:t>5.</w:t>
      </w:r>
      <w:r w:rsidRPr="00946F57">
        <w:rPr>
          <w:color w:val="000000"/>
        </w:rPr>
        <w:tab/>
        <w:t>bemærker, at stigningen i ikkevedtægtsmæssige udgifter mellem 2025 og 2026 er på 1,96 %;</w:t>
      </w:r>
    </w:p>
    <w:p w14:paraId="6962B2D8" w14:textId="77777777" w:rsidR="005703CE" w:rsidRPr="00946F57" w:rsidRDefault="005703CE" w:rsidP="00C7521E">
      <w:pPr>
        <w:widowControl/>
        <w:spacing w:after="240"/>
        <w:ind w:left="567" w:hanging="567"/>
        <w:rPr>
          <w:color w:val="000000"/>
        </w:rPr>
      </w:pPr>
      <w:r w:rsidRPr="00946F57">
        <w:rPr>
          <w:color w:val="000000"/>
        </w:rPr>
        <w:t>6.</w:t>
      </w:r>
      <w:r w:rsidRPr="00946F57">
        <w:rPr>
          <w:color w:val="000000"/>
        </w:rPr>
        <w:tab/>
        <w:t>glæder sig over generalsekretærens initiativ til at gennemføre en omfattende screening, der har til formål at identificere muligheder for at gennemføre administrative forenklinger, fjerne ineffektivitet og sikre håndgribelige omkostningsreduktioner og dermed øge effektiviteten og sikre en mere intelligent anvendelse af ressourcerne; anmoder generalsekretæren om hvert halve år at orientere Budgetudvalget om de foranstaltninger, der er truffet, om handlingsplanen for forenkling og om konsekvenserne heraf for budgettet og personalet; understreger, at administrative procedurer og forvaltning af menneskelige ressourcer udgør en tung byrde for medlemmerne, navnlig når de ansætter lokale assistenter, og opfordrer til forenkling i denne henseende;</w:t>
      </w:r>
    </w:p>
    <w:p w14:paraId="0A73E96E" w14:textId="77777777" w:rsidR="005703CE" w:rsidRPr="00946F57" w:rsidRDefault="005703CE" w:rsidP="00C7521E">
      <w:pPr>
        <w:pStyle w:val="NormalHanging12a"/>
      </w:pPr>
      <w:r w:rsidRPr="00946F57">
        <w:t>7.</w:t>
      </w:r>
      <w:r w:rsidRPr="00946F57">
        <w:tab/>
        <w:t>bemærker, at Parlamentets budget bør fastsættes på et realistisk grundlag og være i overensstemmelse med principperne om budgetdisciplin og forsvarlig økonomisk forvaltning; fremhæver, at det er af afgørende betydning at sikre, at finansiel forsigtighed og sikkerhed fortsat er centrale prioriteter, samtidig med at det sikres, at disse foranstaltninger ikke hindrer institutionens nøglepersonales produktivitet, effektivitet og operationelle kapacitet til at udføre deres opgaver med succes; understreger, at Parlamentet i betragtning af den geopolitiske kontekst og de investeringer, som Unionen vil skulle foretage for at opnå sin strategiske autonomi, skal foregå med et godt eksempel i forbindelse med forvaltningen af sit budget;</w:t>
      </w:r>
    </w:p>
    <w:p w14:paraId="1BCED616" w14:textId="77777777" w:rsidR="005703CE" w:rsidRPr="00946F57" w:rsidRDefault="005703CE" w:rsidP="00C7521E">
      <w:pPr>
        <w:pStyle w:val="NormalHanging12a"/>
      </w:pPr>
      <w:r w:rsidRPr="00946F57">
        <w:t>8.</w:t>
      </w:r>
      <w:r w:rsidRPr="00946F57">
        <w:tab/>
        <w:t>fremhæver Parlamentets rolle med hensyn til at skabe europæisk politisk bevidsthed og fremme Unionens værdier og politikker, såsom den digitale og den grønne omstilling; understreger, at principperne om gennemsigtighed, ansvarlighed, ligestilling og integritet er essentielle for EU-institutionerne, og navnlig for Parlamentet som et hus for europæisk demokrati;</w:t>
      </w:r>
    </w:p>
    <w:p w14:paraId="68F7DB83" w14:textId="77777777" w:rsidR="005703CE" w:rsidRPr="00946F57" w:rsidRDefault="005703CE" w:rsidP="005703CE">
      <w:pPr>
        <w:widowControl/>
        <w:spacing w:after="240"/>
        <w:rPr>
          <w:b/>
          <w:i/>
          <w:color w:val="000000"/>
        </w:rPr>
      </w:pPr>
      <w:r w:rsidRPr="00946F57">
        <w:rPr>
          <w:b/>
          <w:i/>
          <w:color w:val="000000"/>
        </w:rPr>
        <w:t>Styrkelse af Parlamentets kernefunktioner</w:t>
      </w:r>
    </w:p>
    <w:p w14:paraId="07AD2269" w14:textId="77777777" w:rsidR="005703CE" w:rsidRPr="00946F57" w:rsidRDefault="005703CE" w:rsidP="005759D2">
      <w:pPr>
        <w:pStyle w:val="NormalHanging12a"/>
      </w:pPr>
      <w:r w:rsidRPr="00946F57">
        <w:t>9.</w:t>
      </w:r>
      <w:r w:rsidRPr="00946F57">
        <w:tab/>
        <w:t>noterer sig de fire nye tematiske generaldirektorater (</w:t>
      </w:r>
      <w:proofErr w:type="spellStart"/>
      <w:r w:rsidRPr="00946F57">
        <w:t>GD'er</w:t>
      </w:r>
      <w:proofErr w:type="spellEnd"/>
      <w:r w:rsidRPr="00946F57">
        <w:t>) med ansvar for lovgivningsmæssige, budgetmæssige og kontrolmæssige aktiviteter, der blev oprettet i september 2024 på grundlag af det tidligere Generaldirektorat for Interne Politikker med henblik på at forbedre Parlamentets funktionsevne som den ene af fælleslovgiverne og af budgetmyndighedens to parter og som dechargemyndighed; anmoder generalsekretæren om regelmæssigt at orientere Budgetudvalget om arbejds- og personaleudviklingen i disse generaldirektorater;</w:t>
      </w:r>
    </w:p>
    <w:p w14:paraId="180DC640" w14:textId="77777777" w:rsidR="005703CE" w:rsidRPr="00946F57" w:rsidRDefault="005703CE" w:rsidP="00E00A15">
      <w:pPr>
        <w:pStyle w:val="NormalHanging12a"/>
      </w:pPr>
      <w:r w:rsidRPr="00946F57">
        <w:t>10.</w:t>
      </w:r>
      <w:r w:rsidRPr="00946F57">
        <w:tab/>
        <w:t>anerkender nødvendigheden af, at politisk beslutningstagning i højere grad baseres på beviser og kendsgerninger; noterer sig budgettet på 16,75 mio. EUR, der skal styrke Parlamentets administrative kapacitet til at støtte medlemmerne i deres parlamentariske arbejde og styrke dets kapacitet til at håndtere kompleksitet og usikkerhed;</w:t>
      </w:r>
    </w:p>
    <w:p w14:paraId="0CC2A0A3" w14:textId="77777777" w:rsidR="005703CE" w:rsidRPr="00946F57" w:rsidRDefault="005703CE" w:rsidP="005759D2">
      <w:pPr>
        <w:widowControl/>
        <w:spacing w:after="240"/>
        <w:ind w:left="567" w:hanging="567"/>
        <w:rPr>
          <w:color w:val="000000"/>
        </w:rPr>
      </w:pPr>
      <w:r w:rsidRPr="00946F57">
        <w:rPr>
          <w:color w:val="000000"/>
        </w:rPr>
        <w:t>11.</w:t>
      </w:r>
      <w:r w:rsidRPr="00946F57">
        <w:rPr>
          <w:color w:val="000000"/>
        </w:rPr>
        <w:tab/>
        <w:t xml:space="preserve">understreger, at de politiske grupper spiller en afgørende rolle med hensyn til at yde ekspertise og politisk støtte til medlemmerne i forbindelse med deres lovgivningsmæssige og parlamentariske arbejde; understreger nødvendigheden af at </w:t>
      </w:r>
      <w:r w:rsidRPr="00946F57">
        <w:rPr>
          <w:color w:val="000000"/>
        </w:rPr>
        <w:lastRenderedPageBreak/>
        <w:t>sikre det vigtige mål om at styrke Parlamentets kapacitet til at støtte medlemmernes arbejde;</w:t>
      </w:r>
    </w:p>
    <w:p w14:paraId="21994A95" w14:textId="77777777" w:rsidR="005703CE" w:rsidRPr="00946F57" w:rsidRDefault="005703CE" w:rsidP="00C7521E">
      <w:pPr>
        <w:widowControl/>
        <w:spacing w:after="240"/>
        <w:ind w:left="567" w:hanging="567"/>
        <w:rPr>
          <w:b/>
          <w:i/>
          <w:color w:val="000000"/>
        </w:rPr>
      </w:pPr>
      <w:r w:rsidRPr="00946F57">
        <w:rPr>
          <w:b/>
          <w:i/>
          <w:color w:val="000000"/>
        </w:rPr>
        <w:t xml:space="preserve">Digital omstilling </w:t>
      </w:r>
    </w:p>
    <w:p w14:paraId="10CF06E8" w14:textId="77777777" w:rsidR="005703CE" w:rsidRPr="00946F57" w:rsidRDefault="005703CE" w:rsidP="00C7521E">
      <w:pPr>
        <w:widowControl/>
        <w:spacing w:after="240"/>
        <w:ind w:left="567" w:hanging="567"/>
        <w:rPr>
          <w:color w:val="000000"/>
        </w:rPr>
      </w:pPr>
      <w:r w:rsidRPr="00946F57">
        <w:rPr>
          <w:color w:val="000000"/>
        </w:rPr>
        <w:t>12.</w:t>
      </w:r>
      <w:r w:rsidRPr="00946F57">
        <w:rPr>
          <w:color w:val="000000"/>
        </w:rPr>
        <w:tab/>
        <w:t xml:space="preserve">understreger, at Parlamentets </w:t>
      </w:r>
      <w:proofErr w:type="spellStart"/>
      <w:r w:rsidRPr="00946F57">
        <w:rPr>
          <w:color w:val="000000"/>
        </w:rPr>
        <w:t>cybersikkerhed</w:t>
      </w:r>
      <w:proofErr w:type="spellEnd"/>
      <w:r w:rsidRPr="00946F57">
        <w:rPr>
          <w:color w:val="000000"/>
        </w:rPr>
        <w:t xml:space="preserve"> er en central prioritet; bemærker, at det samlede IT-budget udgør 7,40 % af det samlede budget i overslagene for 2026; understreger vigtigheden af at have en solid </w:t>
      </w:r>
      <w:proofErr w:type="spellStart"/>
      <w:r w:rsidRPr="00946F57">
        <w:rPr>
          <w:color w:val="000000"/>
        </w:rPr>
        <w:t>cybersikkerhedsinfrastruktur</w:t>
      </w:r>
      <w:proofErr w:type="spellEnd"/>
      <w:r w:rsidRPr="00946F57">
        <w:rPr>
          <w:color w:val="000000"/>
        </w:rPr>
        <w:t xml:space="preserve"> i geopolitisk turbulente tider og glæder sig over forhøjelsen af bevillingerne til </w:t>
      </w:r>
      <w:proofErr w:type="spellStart"/>
      <w:r w:rsidRPr="00946F57">
        <w:rPr>
          <w:color w:val="000000"/>
        </w:rPr>
        <w:t>cybersikkerhed</w:t>
      </w:r>
      <w:proofErr w:type="spellEnd"/>
      <w:r w:rsidRPr="00946F57">
        <w:rPr>
          <w:color w:val="000000"/>
        </w:rPr>
        <w:t xml:space="preserve">; støtter den planlagte gradvise forhøjelse af de finansielle bevillinger til </w:t>
      </w:r>
      <w:proofErr w:type="spellStart"/>
      <w:r w:rsidRPr="00946F57">
        <w:rPr>
          <w:color w:val="000000"/>
        </w:rPr>
        <w:t>cybersikkerhed</w:t>
      </w:r>
      <w:proofErr w:type="spellEnd"/>
      <w:r w:rsidRPr="00946F57">
        <w:rPr>
          <w:color w:val="000000"/>
        </w:rPr>
        <w:t xml:space="preserve"> op til 10 % af Parlamentets IKT-budget senest i 2027;</w:t>
      </w:r>
    </w:p>
    <w:p w14:paraId="71489E69" w14:textId="77777777" w:rsidR="005703CE" w:rsidRPr="00946F57" w:rsidRDefault="005703CE" w:rsidP="00C7521E">
      <w:pPr>
        <w:widowControl/>
        <w:spacing w:after="240"/>
        <w:ind w:left="567" w:hanging="567"/>
        <w:rPr>
          <w:color w:val="000000"/>
        </w:rPr>
      </w:pPr>
      <w:r w:rsidRPr="00946F57">
        <w:rPr>
          <w:color w:val="000000"/>
        </w:rPr>
        <w:t>13.</w:t>
      </w:r>
      <w:r w:rsidRPr="00946F57">
        <w:rPr>
          <w:color w:val="000000"/>
        </w:rPr>
        <w:tab/>
        <w:t xml:space="preserve">glæder sig over, at Præsidiet den 10. februar 2025 vedtog regler om fastlæggelse af en intern ramme for styring, forvaltning og kontrol af </w:t>
      </w:r>
      <w:proofErr w:type="spellStart"/>
      <w:r w:rsidRPr="00946F57">
        <w:rPr>
          <w:color w:val="000000"/>
        </w:rPr>
        <w:t>cybersikkerhedsrisici</w:t>
      </w:r>
      <w:proofErr w:type="spellEnd"/>
      <w:r w:rsidRPr="00946F57">
        <w:rPr>
          <w:color w:val="000000"/>
        </w:rPr>
        <w:t xml:space="preserve">; minder om, at investeringer i </w:t>
      </w:r>
      <w:proofErr w:type="spellStart"/>
      <w:r w:rsidRPr="00946F57">
        <w:rPr>
          <w:color w:val="000000"/>
        </w:rPr>
        <w:t>cybersikkerhed</w:t>
      </w:r>
      <w:proofErr w:type="spellEnd"/>
      <w:r w:rsidRPr="00946F57">
        <w:rPr>
          <w:color w:val="000000"/>
        </w:rPr>
        <w:t xml:space="preserve"> er af helt afgørende betydning med hensyn til at beskytte Parlamentets og Unionens demokratiske stemme; </w:t>
      </w:r>
    </w:p>
    <w:p w14:paraId="09F221D3" w14:textId="77777777" w:rsidR="005703CE" w:rsidRPr="00946F57" w:rsidRDefault="005703CE" w:rsidP="00C7521E">
      <w:pPr>
        <w:widowControl/>
        <w:spacing w:after="240"/>
        <w:ind w:left="567" w:hanging="567"/>
        <w:rPr>
          <w:color w:val="000000"/>
        </w:rPr>
      </w:pPr>
      <w:r w:rsidRPr="00946F57">
        <w:rPr>
          <w:color w:val="000000"/>
        </w:rPr>
        <w:t>14.</w:t>
      </w:r>
      <w:r w:rsidRPr="00946F57">
        <w:rPr>
          <w:color w:val="000000"/>
        </w:rPr>
        <w:tab/>
        <w:t xml:space="preserve">glæder sig over investeringer i kunstig intelligens (AI), der beløber sig til 1 mio. EUR; opfordrer til at øge brugen af AI med henblik på at opnå effektivitetsgevinster, samtidig med at de dermed forbundne risici, herunder etik og databeskyttelse, holdes in mente; fremhæver </w:t>
      </w:r>
      <w:proofErr w:type="spellStart"/>
      <w:r w:rsidRPr="00946F57">
        <w:rPr>
          <w:color w:val="000000"/>
        </w:rPr>
        <w:t>AI's</w:t>
      </w:r>
      <w:proofErr w:type="spellEnd"/>
      <w:r w:rsidRPr="00946F57">
        <w:rPr>
          <w:color w:val="000000"/>
        </w:rPr>
        <w:t xml:space="preserve"> potentiale med hensyn til at strømline administrative processer; understreger, at udbredelsen af AI skal være afstemt i forhold til innovation og omfatte de nødvendige beskyttelsesforanstaltninger; bemærker, at udviklingen af AI vil blive nøje overvåget i overensstemmelse med de principper, som Præsidiet har fastlagt, og som bl.a. omfatter en grundig risikovurdering ved anvendelse af nye teknologier; opfordrer sekretariatet til at komme med løsningsforslag, såsom med hensyn til applikationer og værktøjer, der kan stilles til rådighed for medlemmerne af Parlamentet og for personalet så hurtigt som muligt;</w:t>
      </w:r>
    </w:p>
    <w:p w14:paraId="290862E9" w14:textId="77777777" w:rsidR="005703CE" w:rsidRPr="00946F57" w:rsidRDefault="005703CE" w:rsidP="00E00A15">
      <w:pPr>
        <w:keepNext/>
        <w:widowControl/>
        <w:spacing w:after="240"/>
        <w:ind w:left="357" w:hanging="357"/>
        <w:rPr>
          <w:b/>
          <w:i/>
          <w:color w:val="000000"/>
        </w:rPr>
      </w:pPr>
      <w:r w:rsidRPr="00946F57">
        <w:rPr>
          <w:b/>
          <w:i/>
          <w:color w:val="000000"/>
        </w:rPr>
        <w:t>Den grønne omstilling</w:t>
      </w:r>
    </w:p>
    <w:p w14:paraId="17023DEC" w14:textId="77777777" w:rsidR="005703CE" w:rsidRPr="00946F57" w:rsidRDefault="005703CE" w:rsidP="00E00A15">
      <w:pPr>
        <w:widowControl/>
        <w:spacing w:after="240"/>
        <w:ind w:left="567" w:hanging="567"/>
        <w:rPr>
          <w:color w:val="000000"/>
        </w:rPr>
      </w:pPr>
      <w:r w:rsidRPr="00946F57">
        <w:rPr>
          <w:color w:val="000000"/>
        </w:rPr>
        <w:t>15.</w:t>
      </w:r>
      <w:r w:rsidRPr="00946F57">
        <w:rPr>
          <w:color w:val="000000"/>
        </w:rPr>
        <w:tab/>
        <w:t>glæder sig over Parlamentets miljøledelsessystemmål (EMAS) for perioden 2025-2029; minder om, at investeringer i energieffektivitet er en god metode til at opnå valuta for pengene; noterer sig budgettet på 8,45 mio. EUR til investeringer i energieffektivitet og miljø i overslagene for 2026, der tager sigte på at forbedre miljøpræstationerne i dets bygninger yderligere; bemærker, at dette svarer til en stigning på 74 % i forhold til 2025-budgettet; anerkender imidlertid, at disse miljøforanstaltninger er en del af budgetposten "Opførelse af bygninger og indretning af lokaler" for 2007, hvis samlede beløb er faldet med 3,7 mio. EUR i 2026 i forhold til 2025;</w:t>
      </w:r>
    </w:p>
    <w:p w14:paraId="5A71490E" w14:textId="77777777" w:rsidR="005703CE" w:rsidRPr="00946F57" w:rsidRDefault="005703CE" w:rsidP="00E00A15">
      <w:pPr>
        <w:widowControl/>
        <w:spacing w:after="240"/>
        <w:ind w:left="567" w:hanging="567"/>
        <w:rPr>
          <w:color w:val="000000"/>
        </w:rPr>
      </w:pPr>
      <w:r w:rsidRPr="00946F57">
        <w:rPr>
          <w:color w:val="000000"/>
        </w:rPr>
        <w:t>16.</w:t>
      </w:r>
      <w:r w:rsidRPr="00946F57">
        <w:rPr>
          <w:color w:val="000000"/>
        </w:rPr>
        <w:tab/>
        <w:t>minder om, at næsten to tredjedele af Parlamentets CO</w:t>
      </w:r>
      <w:r w:rsidRPr="00946F57">
        <w:rPr>
          <w:color w:val="000000"/>
          <w:vertAlign w:val="subscript"/>
        </w:rPr>
        <w:t>2</w:t>
      </w:r>
      <w:r w:rsidRPr="00946F57">
        <w:rPr>
          <w:color w:val="000000"/>
        </w:rPr>
        <w:t>-aftryk stammer fra personbefordring; opfordrer til at sikre en fornuftig nedskæring af antallet af rejser i forbindelse med møder, der kan gennemføres effektivt på afstand eller i hybridform, og til at fremme et skift til lavemissionsalternativer for alle resterende rejser, i det omfang at dette ikke påvirker kvaliteten af det lovgivningsmæssige og politiske arbejde;</w:t>
      </w:r>
    </w:p>
    <w:p w14:paraId="4378BB3F" w14:textId="77777777" w:rsidR="005703CE" w:rsidRPr="00946F57" w:rsidRDefault="005703CE" w:rsidP="00E00A15">
      <w:pPr>
        <w:widowControl/>
        <w:spacing w:after="240"/>
        <w:ind w:left="567" w:hanging="567"/>
        <w:rPr>
          <w:color w:val="000000"/>
        </w:rPr>
      </w:pPr>
      <w:r w:rsidRPr="00946F57">
        <w:rPr>
          <w:color w:val="000000"/>
        </w:rPr>
        <w:t>17.</w:t>
      </w:r>
      <w:r w:rsidRPr="00946F57">
        <w:rPr>
          <w:color w:val="000000"/>
        </w:rPr>
        <w:tab/>
        <w:t xml:space="preserve">noterer sig den forventede stigning i priserne på emissionskreditter, som med de nuværende emissionsniveauer anslås til at beløbe sig til 900 000 EUR for 2026; opfordrer administrationen til i overensstemmelse med forsvarlig økonomisk forvaltning at fortsætte med at reducere Parlamentets emissioner frem for at købe emissionskreditter; glæder sig over den forbedrede mulighed for togbefordring i </w:t>
      </w:r>
      <w:r w:rsidRPr="00946F57">
        <w:rPr>
          <w:color w:val="000000"/>
        </w:rPr>
        <w:lastRenderedPageBreak/>
        <w:t>forbindelse med tjenesterejser til Strasbourg fra juli 2025, og anser dette for at være et positivt skridt i retning af at reducere CO</w:t>
      </w:r>
      <w:r w:rsidRPr="00946F57">
        <w:rPr>
          <w:color w:val="000000"/>
          <w:vertAlign w:val="subscript"/>
        </w:rPr>
        <w:t>2</w:t>
      </w:r>
      <w:r w:rsidRPr="00946F57">
        <w:rPr>
          <w:color w:val="000000"/>
        </w:rPr>
        <w:t>-emissionerne;</w:t>
      </w:r>
    </w:p>
    <w:p w14:paraId="604E5ACE" w14:textId="77777777" w:rsidR="005703CE" w:rsidRPr="00946F57" w:rsidRDefault="005703CE" w:rsidP="005759D2">
      <w:pPr>
        <w:widowControl/>
        <w:spacing w:after="240"/>
        <w:ind w:left="567" w:hanging="567"/>
        <w:rPr>
          <w:color w:val="000000"/>
        </w:rPr>
      </w:pPr>
      <w:r w:rsidRPr="00946F57">
        <w:rPr>
          <w:color w:val="000000"/>
        </w:rPr>
        <w:t>18.</w:t>
      </w:r>
      <w:r w:rsidRPr="00946F57">
        <w:rPr>
          <w:color w:val="000000"/>
        </w:rPr>
        <w:tab/>
        <w:t xml:space="preserve">bemærker, at Parlamentet har installeret og fortsætter med at installere solcellepaneler for yderligere at øge andelen af vedvarende energi produceret på stedet med henblik på at nå målet på 25 %; noterer sig generalsekretærens svar på Europa-Parlamentets beslutning om overslag i 2024, hvori det påpeges, at der blev gennemført en undersøgelse om brugen af </w:t>
      </w:r>
      <w:proofErr w:type="spellStart"/>
      <w:r w:rsidRPr="00946F57">
        <w:rPr>
          <w:color w:val="000000"/>
        </w:rPr>
        <w:t>fotovoltaiske</w:t>
      </w:r>
      <w:proofErr w:type="spellEnd"/>
      <w:r w:rsidRPr="00946F57">
        <w:rPr>
          <w:color w:val="000000"/>
        </w:rPr>
        <w:t xml:space="preserve"> paneler for bygningerne i Strasbourg i 2022, som blev afsluttet i 2023, samt at der i 2024 skulle gennemføres yderligere undersøgelser af holdbare løsninger specifikt til WEISS-Bygningen;</w:t>
      </w:r>
    </w:p>
    <w:p w14:paraId="38FE6D4C" w14:textId="77777777" w:rsidR="005703CE" w:rsidRPr="00946F57" w:rsidRDefault="005703CE" w:rsidP="00E00A15">
      <w:pPr>
        <w:spacing w:after="240"/>
        <w:rPr>
          <w:b/>
          <w:i/>
          <w:color w:val="000000"/>
        </w:rPr>
      </w:pPr>
      <w:proofErr w:type="spellStart"/>
      <w:r w:rsidRPr="00946F57">
        <w:rPr>
          <w:b/>
          <w:i/>
          <w:color w:val="000000"/>
        </w:rPr>
        <w:t>Flersprogethed</w:t>
      </w:r>
      <w:proofErr w:type="spellEnd"/>
      <w:r w:rsidRPr="00946F57">
        <w:rPr>
          <w:b/>
          <w:i/>
          <w:color w:val="000000"/>
        </w:rPr>
        <w:t>, kommunikation og desinformation</w:t>
      </w:r>
    </w:p>
    <w:p w14:paraId="760B81E0" w14:textId="77777777" w:rsidR="005703CE" w:rsidRPr="00946F57" w:rsidRDefault="005703CE" w:rsidP="00E00A15">
      <w:pPr>
        <w:widowControl/>
        <w:spacing w:after="240"/>
        <w:ind w:left="567" w:hanging="567"/>
        <w:rPr>
          <w:color w:val="000000"/>
        </w:rPr>
      </w:pPr>
      <w:r w:rsidRPr="00946F57">
        <w:rPr>
          <w:color w:val="000000"/>
        </w:rPr>
        <w:t>19.</w:t>
      </w:r>
      <w:r w:rsidRPr="00946F57">
        <w:rPr>
          <w:color w:val="000000"/>
        </w:rPr>
        <w:tab/>
        <w:t xml:space="preserve">fremhæver, at </w:t>
      </w:r>
      <w:proofErr w:type="spellStart"/>
      <w:r w:rsidRPr="00946F57">
        <w:rPr>
          <w:color w:val="000000"/>
        </w:rPr>
        <w:t>flersprogethed</w:t>
      </w:r>
      <w:proofErr w:type="spellEnd"/>
      <w:r w:rsidRPr="00946F57">
        <w:rPr>
          <w:color w:val="000000"/>
        </w:rPr>
        <w:t xml:space="preserve"> er et centralt princip, hvorpå Parlamentets arbejde er baseret; noterer sig revisionen af adfærdskodeksen om </w:t>
      </w:r>
      <w:proofErr w:type="spellStart"/>
      <w:r w:rsidRPr="00946F57">
        <w:rPr>
          <w:color w:val="000000"/>
        </w:rPr>
        <w:t>flersprogethed</w:t>
      </w:r>
      <w:proofErr w:type="spellEnd"/>
      <w:r w:rsidRPr="00946F57">
        <w:rPr>
          <w:color w:val="000000"/>
        </w:rPr>
        <w:t>, der er planlagt til at finde sted i foråret 2025; anmoder om, at Parlamentet, hvor det er relevant, udnytter den store teknologiske udvikling inden for flersprogede tjenester, herunder udvikling og anvendelse af AI; anmoder generalsekretæren om rettidigt at underrette Budgetudvalget om eventuelle budgetmæssige konsekvenser af denne revision;</w:t>
      </w:r>
    </w:p>
    <w:p w14:paraId="511272ED" w14:textId="77777777" w:rsidR="005703CE" w:rsidRPr="00946F57" w:rsidRDefault="005703CE" w:rsidP="00E00A15">
      <w:pPr>
        <w:widowControl/>
        <w:spacing w:after="240"/>
        <w:ind w:left="567" w:hanging="567"/>
        <w:rPr>
          <w:color w:val="000000"/>
        </w:rPr>
      </w:pPr>
      <w:r w:rsidRPr="00946F57">
        <w:rPr>
          <w:color w:val="000000"/>
        </w:rPr>
        <w:t>20.</w:t>
      </w:r>
      <w:r w:rsidRPr="00946F57">
        <w:rPr>
          <w:color w:val="000000"/>
        </w:rPr>
        <w:tab/>
        <w:t>fremhæver den rolle, som Europa-Parlamentets forbindelseskontorer (</w:t>
      </w:r>
      <w:proofErr w:type="spellStart"/>
      <w:r w:rsidRPr="00946F57">
        <w:rPr>
          <w:color w:val="000000"/>
        </w:rPr>
        <w:t>EPLO'er</w:t>
      </w:r>
      <w:proofErr w:type="spellEnd"/>
      <w:r w:rsidRPr="00946F57">
        <w:rPr>
          <w:color w:val="000000"/>
        </w:rPr>
        <w:t>) spiller i forbindelse med bekæmpelsen af udenlandsk indblanding og desinformation; noterer sig i den forbindelse forbindelseskontorernes arbejde med proaktivt at fremme Parlamentets arbejde på deres lokale sprog på tværs af flere kanaler; fremhæver forbindelseskontorets rolle i Det Forenede Kongerige som det vigtigste kontaktpunkt for EU-borgere med bopæl i Det Forenede Kongerige, idet det forsyner disse borgere med oplysninger om Parlamentet og tilskynder dem til at stemme ved valget til Parlamentet; anmoder Præsidiet om at udvide produktionen og formidlingen af kommunikationsmateriale på en tilgængelig og inklusiv måde;</w:t>
      </w:r>
    </w:p>
    <w:p w14:paraId="7D55B26F" w14:textId="77777777" w:rsidR="005703CE" w:rsidRPr="00946F57" w:rsidRDefault="005703CE" w:rsidP="00E00A15">
      <w:pPr>
        <w:widowControl/>
        <w:spacing w:after="240"/>
        <w:ind w:left="567" w:hanging="567"/>
        <w:rPr>
          <w:color w:val="000000"/>
        </w:rPr>
      </w:pPr>
      <w:r w:rsidRPr="00946F57">
        <w:rPr>
          <w:color w:val="000000"/>
        </w:rPr>
        <w:t>21.</w:t>
      </w:r>
      <w:r w:rsidRPr="00946F57">
        <w:rPr>
          <w:color w:val="000000"/>
        </w:rPr>
        <w:tab/>
        <w:t>fremhæver den lave deltagelse af unge i visse EU-regioner i forbindelse med de seneste valg til Europa-Parlamentet og Parlamentets rolle med hensyn til at styrke uddannelse i EU-medborgerkundskab;</w:t>
      </w:r>
    </w:p>
    <w:p w14:paraId="54871584" w14:textId="77777777" w:rsidR="005703CE" w:rsidRPr="00946F57" w:rsidRDefault="005703CE" w:rsidP="00E00A15">
      <w:pPr>
        <w:widowControl/>
        <w:spacing w:after="240"/>
        <w:ind w:left="567" w:hanging="567"/>
        <w:rPr>
          <w:color w:val="000000"/>
        </w:rPr>
      </w:pPr>
      <w:r w:rsidRPr="00946F57">
        <w:rPr>
          <w:color w:val="000000"/>
        </w:rPr>
        <w:t>22.</w:t>
      </w:r>
      <w:r w:rsidRPr="00946F57">
        <w:rPr>
          <w:color w:val="000000"/>
        </w:rPr>
        <w:tab/>
        <w:t xml:space="preserve">minder om vigtigheden af Programmet Europa-Parlamentets Ambassadørskole med hensyn til at fremme aktivt engagement blandt unge europæere og af uddannelsesprogrammet for unge journalister, der er navngivet til ære for David </w:t>
      </w:r>
      <w:proofErr w:type="spellStart"/>
      <w:r w:rsidRPr="00946F57">
        <w:rPr>
          <w:color w:val="000000"/>
        </w:rPr>
        <w:t>Sassoli</w:t>
      </w:r>
      <w:proofErr w:type="spellEnd"/>
      <w:r w:rsidRPr="00946F57">
        <w:rPr>
          <w:color w:val="000000"/>
        </w:rPr>
        <w:t>, med hensyn til at styrke forståelsen af Unionen og dens funktion blandt journalister som den bedste modgift mod desinformation i lyset af de seneste tendenser, der viser et foruroligende fald i mediefriheden og -uafhængigheden i hele Unionen;</w:t>
      </w:r>
    </w:p>
    <w:p w14:paraId="15112E2A" w14:textId="77777777" w:rsidR="005703CE" w:rsidRPr="00946F57" w:rsidRDefault="005703CE" w:rsidP="00E00A15">
      <w:pPr>
        <w:widowControl/>
        <w:spacing w:after="240"/>
        <w:ind w:left="567" w:hanging="567"/>
        <w:rPr>
          <w:color w:val="000000"/>
        </w:rPr>
      </w:pPr>
      <w:r w:rsidRPr="00946F57">
        <w:rPr>
          <w:color w:val="000000"/>
        </w:rPr>
        <w:t>23.</w:t>
      </w:r>
      <w:r w:rsidRPr="00946F57">
        <w:rPr>
          <w:color w:val="000000"/>
        </w:rPr>
        <w:tab/>
        <w:t>anerkender, at besøgsgrupper udgør et vigtigt redskab til at gøre det muligt for borgerne at relatere til medlemmernes arbejde; glæder sig i den forbindelse over forhøjelsen af lofterne og omkostningsfaktorerne for beregningen af det finansielle bidrag til sponsorerede besøgende fra den 1. januar 2025;</w:t>
      </w:r>
      <w:r w:rsidRPr="00946F57">
        <w:t xml:space="preserve"> </w:t>
      </w:r>
      <w:r w:rsidRPr="00946F57">
        <w:rPr>
          <w:color w:val="000000"/>
        </w:rPr>
        <w:t xml:space="preserve">anmoder Præsidiet om at vurdere virkningen af de reviderede regler vedrørende besøgsgrupper i forhold til rejseudgifter, idet der tages hensyn til markedsudsving og til at undgå indirekte geografisk forskelsbehandling af besøgende; bemærker, at ca. 15 % af kvoten for besøgende sædvanligvis ikke anvendes af medlemmerne; opfordrer generalsekretæren til at foreslå Præsidiet at stille den uudnyttede kvote til rådighed for interesserede medlemmer; </w:t>
      </w:r>
      <w:r w:rsidRPr="00946F57">
        <w:rPr>
          <w:color w:val="000000"/>
        </w:rPr>
        <w:lastRenderedPageBreak/>
        <w:t>bemærker, at budgettet for besøgsgrupper udgør 22 % af det samlede budget for Generaldirektoratet for Kommunikation;</w:t>
      </w:r>
    </w:p>
    <w:p w14:paraId="525B123F" w14:textId="77777777" w:rsidR="005703CE" w:rsidRPr="00946F57" w:rsidRDefault="005703CE" w:rsidP="005759D2">
      <w:pPr>
        <w:widowControl/>
        <w:spacing w:after="240"/>
        <w:ind w:left="567" w:hanging="567"/>
        <w:rPr>
          <w:color w:val="000000"/>
        </w:rPr>
      </w:pPr>
      <w:r w:rsidRPr="00946F57">
        <w:rPr>
          <w:color w:val="000000"/>
        </w:rPr>
        <w:t>24.</w:t>
      </w:r>
      <w:r w:rsidRPr="00946F57">
        <w:rPr>
          <w:color w:val="000000"/>
        </w:rPr>
        <w:tab/>
        <w:t>bemærker med bekymring de interne regler for medlemmernes besøgsgrupper, som indebærer, at akkrediterede parlamentariske assistenter (</w:t>
      </w:r>
      <w:proofErr w:type="spellStart"/>
      <w:r w:rsidRPr="00946F57">
        <w:rPr>
          <w:color w:val="000000"/>
        </w:rPr>
        <w:t>APA'er</w:t>
      </w:r>
      <w:proofErr w:type="spellEnd"/>
      <w:r w:rsidRPr="00946F57">
        <w:rPr>
          <w:color w:val="000000"/>
        </w:rPr>
        <w:t xml:space="preserve">) under visse omstændigheder skal lægge 30 % af startomkostningerne ud; understreger, at disse regler er praktisk umulige, og fremhæver den økonomiske byrde, som dette lægger på </w:t>
      </w:r>
      <w:proofErr w:type="spellStart"/>
      <w:r w:rsidRPr="00946F57">
        <w:rPr>
          <w:color w:val="000000"/>
        </w:rPr>
        <w:t>APA'erne</w:t>
      </w:r>
      <w:proofErr w:type="spellEnd"/>
      <w:r w:rsidRPr="00946F57">
        <w:rPr>
          <w:color w:val="000000"/>
        </w:rPr>
        <w:t xml:space="preserve">; noterer sig generalsekretærens svar på Europa-Parlamentets overslag over indtægter og udgifter for regnskabsåret 2024 med hensyn til rationalet bag </w:t>
      </w:r>
      <w:proofErr w:type="spellStart"/>
      <w:r w:rsidRPr="00946F57">
        <w:rPr>
          <w:color w:val="000000"/>
        </w:rPr>
        <w:t>totrinstilgangen</w:t>
      </w:r>
      <w:proofErr w:type="spellEnd"/>
      <w:r w:rsidRPr="00946F57">
        <w:rPr>
          <w:color w:val="000000"/>
        </w:rPr>
        <w:t xml:space="preserve">; forstår rationalet, men understreger de voksende udfordringer, som dette udgør for </w:t>
      </w:r>
      <w:proofErr w:type="spellStart"/>
      <w:r w:rsidRPr="00946F57">
        <w:rPr>
          <w:color w:val="000000"/>
        </w:rPr>
        <w:t>APA'er</w:t>
      </w:r>
      <w:proofErr w:type="spellEnd"/>
      <w:r w:rsidRPr="00946F57">
        <w:rPr>
          <w:color w:val="000000"/>
        </w:rPr>
        <w:t>, navnlig som følge af det fortsatte skift i retning af mere restriktive regler;</w:t>
      </w:r>
    </w:p>
    <w:p w14:paraId="0AD7E224" w14:textId="77777777" w:rsidR="005703CE" w:rsidRPr="00946F57" w:rsidRDefault="005703CE">
      <w:pPr>
        <w:widowControl/>
        <w:spacing w:after="240"/>
        <w:ind w:left="567" w:hanging="567"/>
        <w:rPr>
          <w:color w:val="000000"/>
        </w:rPr>
      </w:pPr>
      <w:r w:rsidRPr="00946F57">
        <w:rPr>
          <w:color w:val="000000"/>
        </w:rPr>
        <w:t>25.</w:t>
      </w:r>
      <w:r w:rsidRPr="00946F57">
        <w:rPr>
          <w:color w:val="000000"/>
        </w:rPr>
        <w:tab/>
        <w:t>understreger det stadigt mere udfordrende kommunikationslandskab og de mange politiske kommunikationsmåder, som bør udnyttes, herunder forskellige sociale medieplatforme og andre medier; understreger nødvendigheden af, at de politiske grupper tilkendegiver og formidler deres budskab på tværs af alle medlemsstater som et centralt princip for et velfungerende europæisk demokrati;</w:t>
      </w:r>
    </w:p>
    <w:p w14:paraId="170B3E18" w14:textId="77777777" w:rsidR="005703CE" w:rsidRPr="00946F57" w:rsidRDefault="005703CE" w:rsidP="00E00A15">
      <w:pPr>
        <w:spacing w:after="240"/>
        <w:rPr>
          <w:b/>
          <w:i/>
          <w:color w:val="000000"/>
        </w:rPr>
      </w:pPr>
      <w:r w:rsidRPr="00946F57">
        <w:rPr>
          <w:b/>
          <w:i/>
          <w:color w:val="000000"/>
        </w:rPr>
        <w:t>Infrastruktur</w:t>
      </w:r>
    </w:p>
    <w:p w14:paraId="063FC788" w14:textId="77777777" w:rsidR="005703CE" w:rsidRPr="00946F57" w:rsidRDefault="005703CE" w:rsidP="00E00A15">
      <w:pPr>
        <w:widowControl/>
        <w:spacing w:after="240"/>
        <w:ind w:left="567" w:hanging="567"/>
        <w:rPr>
          <w:color w:val="000000"/>
        </w:rPr>
      </w:pPr>
      <w:r w:rsidRPr="00946F57">
        <w:rPr>
          <w:color w:val="000000"/>
        </w:rPr>
        <w:t>26.</w:t>
      </w:r>
      <w:r w:rsidRPr="00946F57">
        <w:rPr>
          <w:color w:val="000000"/>
        </w:rPr>
        <w:tab/>
        <w:t>anerkender den nye tilgang vedrørende bygninger, hvorved Parlamentet efter i en periode at have gjort sig i erhvervelser er overgået til konsolidering af bygninger, og hvorved der tages hensyn til bæredygtighed og til adgangsforhold og mobilitet for såvel medlemmer som personale;</w:t>
      </w:r>
    </w:p>
    <w:p w14:paraId="57514574" w14:textId="77777777" w:rsidR="005703CE" w:rsidRPr="00946F57" w:rsidRDefault="005703CE" w:rsidP="00E00A15">
      <w:pPr>
        <w:widowControl/>
        <w:spacing w:after="240"/>
        <w:ind w:left="567" w:hanging="567"/>
        <w:rPr>
          <w:color w:val="000000"/>
        </w:rPr>
      </w:pPr>
      <w:r w:rsidRPr="00946F57">
        <w:rPr>
          <w:color w:val="000000"/>
        </w:rPr>
        <w:t>27.</w:t>
      </w:r>
      <w:r w:rsidRPr="00946F57">
        <w:rPr>
          <w:color w:val="000000"/>
        </w:rPr>
        <w:tab/>
        <w:t>noterer sig, at overslagene for 2026 omfatter 4 mio. EUR til undersøgelser og til kontrahentens forberedende arbejde i forbindelse med renoveringen af SPAAK-Bygningen, og at de samlede omkostninger anslås til at beløbe sig til 36 mio. EUR; bemærker derfor, at 32 mio. EUR i omkostninger i forbindelse med renoveringen af SPAAK-Bygningen ikke er medtaget i overslagene for 2026; bemærker, at generalsekretæren agter at dække disse omkostninger ved hjælp af en opsamlingsoverførsel eller gennem optagelse af et lån; anmoder generalsekretæren om i overensstemmelse med finansforordningens artikel 272, stk. 6, hurtigst muligt at forelægge Budgetudvalget detaljerede oplysninger om et eventuelt lån til dækning af disse omkostninger og den fuldstændige planlægning af arbejdet, herunder udgiftsplanlægningen; fastholder, at omkostninger, der ikke er direkte forbundet med renoveringsarbejdet, også bør opføres klart og budgetteres; bemærker, at de direkte omkostninger til SPAAK-projektet pr. december 2024 beløber sig til 14,12 mio. EUR;</w:t>
      </w:r>
    </w:p>
    <w:p w14:paraId="7B3FEFE5" w14:textId="77777777" w:rsidR="005703CE" w:rsidRPr="00946F57" w:rsidRDefault="005703CE" w:rsidP="00E00A15">
      <w:pPr>
        <w:widowControl/>
        <w:spacing w:after="240"/>
        <w:ind w:left="567" w:hanging="567"/>
        <w:rPr>
          <w:color w:val="000000"/>
        </w:rPr>
      </w:pPr>
      <w:r w:rsidRPr="00946F57">
        <w:rPr>
          <w:color w:val="000000"/>
        </w:rPr>
        <w:t>28.</w:t>
      </w:r>
      <w:r w:rsidRPr="00946F57">
        <w:rPr>
          <w:color w:val="000000"/>
        </w:rPr>
        <w:tab/>
        <w:t xml:space="preserve">glæder sig over GD </w:t>
      </w:r>
      <w:proofErr w:type="spellStart"/>
      <w:r w:rsidRPr="00946F57">
        <w:rPr>
          <w:color w:val="000000"/>
        </w:rPr>
        <w:t>INLO's</w:t>
      </w:r>
      <w:proofErr w:type="spellEnd"/>
      <w:r w:rsidRPr="00946F57">
        <w:rPr>
          <w:color w:val="000000"/>
        </w:rPr>
        <w:t xml:space="preserve"> pilotprojekt, der har til formål at fjerne </w:t>
      </w:r>
      <w:proofErr w:type="spellStart"/>
      <w:r w:rsidRPr="00946F57">
        <w:rPr>
          <w:color w:val="000000"/>
        </w:rPr>
        <w:t>legionellabakterier</w:t>
      </w:r>
      <w:proofErr w:type="spellEnd"/>
      <w:r w:rsidRPr="00946F57">
        <w:rPr>
          <w:color w:val="000000"/>
        </w:rPr>
        <w:t xml:space="preserve"> fra rørledningerne i Parlamentets sanitetssystem, og fremhæver, at den eneste effektive måde at bekæmpe yderligere spredning af </w:t>
      </w:r>
      <w:proofErr w:type="spellStart"/>
      <w:r w:rsidRPr="00946F57">
        <w:rPr>
          <w:color w:val="000000"/>
        </w:rPr>
        <w:t>legionellabakterierne</w:t>
      </w:r>
      <w:proofErr w:type="spellEnd"/>
      <w:r w:rsidRPr="00946F57">
        <w:rPr>
          <w:color w:val="000000"/>
        </w:rPr>
        <w:t xml:space="preserve"> på er at bringe vandtemperaturen inde i rørledningerne op på 55 °C i en begrænset periode;</w:t>
      </w:r>
    </w:p>
    <w:p w14:paraId="4BFD9CBE" w14:textId="77777777" w:rsidR="005703CE" w:rsidRPr="00946F57" w:rsidRDefault="005703CE" w:rsidP="00E00A15">
      <w:pPr>
        <w:widowControl/>
        <w:spacing w:after="240"/>
        <w:ind w:left="567" w:hanging="567"/>
        <w:rPr>
          <w:color w:val="000000"/>
        </w:rPr>
      </w:pPr>
      <w:bookmarkStart w:id="9" w:name="_heading=h.30j0zll"/>
      <w:bookmarkEnd w:id="9"/>
      <w:r w:rsidRPr="00946F57">
        <w:rPr>
          <w:color w:val="000000"/>
        </w:rPr>
        <w:t>29.</w:t>
      </w:r>
      <w:r w:rsidRPr="00946F57">
        <w:rPr>
          <w:color w:val="000000"/>
        </w:rPr>
        <w:tab/>
        <w:t xml:space="preserve">bemærker, at det er planlagt, at der i 2026 skal foretages investeringer i Europa </w:t>
      </w:r>
      <w:proofErr w:type="spellStart"/>
      <w:r w:rsidRPr="00946F57">
        <w:rPr>
          <w:color w:val="000000"/>
        </w:rPr>
        <w:t>Experience</w:t>
      </w:r>
      <w:proofErr w:type="spellEnd"/>
      <w:r w:rsidRPr="00946F57">
        <w:rPr>
          <w:color w:val="000000"/>
        </w:rPr>
        <w:t>-centre på 11,45 mio. EUR; noterer sig Præsidiets beslutning fra november 2024 om at revidere Europa </w:t>
      </w:r>
      <w:proofErr w:type="spellStart"/>
      <w:r w:rsidRPr="00946F57">
        <w:rPr>
          <w:color w:val="000000"/>
        </w:rPr>
        <w:t>Experience</w:t>
      </w:r>
      <w:proofErr w:type="spellEnd"/>
      <w:r w:rsidRPr="00946F57">
        <w:rPr>
          <w:color w:val="000000"/>
        </w:rPr>
        <w:t>-konceptet og forventer, at det reviderede koncept bliver mere omkostningseffektivt og mere attraktivt for besøgende; beklager, at der stadig ikke findes et Europa </w:t>
      </w:r>
      <w:proofErr w:type="spellStart"/>
      <w:r w:rsidRPr="00946F57">
        <w:rPr>
          <w:color w:val="000000"/>
        </w:rPr>
        <w:t>Experience</w:t>
      </w:r>
      <w:proofErr w:type="spellEnd"/>
      <w:r w:rsidRPr="00946F57">
        <w:rPr>
          <w:color w:val="000000"/>
        </w:rPr>
        <w:t xml:space="preserve">-center i Bukarest, Riga, Madrid, Lissabon, Nicosia, Valletta eller Vilnius; opfordrer til, at der oprettes Europa </w:t>
      </w:r>
      <w:proofErr w:type="spellStart"/>
      <w:r w:rsidRPr="00946F57">
        <w:rPr>
          <w:color w:val="000000"/>
        </w:rPr>
        <w:t>Experience</w:t>
      </w:r>
      <w:proofErr w:type="spellEnd"/>
      <w:r w:rsidRPr="00946F57">
        <w:rPr>
          <w:color w:val="000000"/>
        </w:rPr>
        <w:t xml:space="preserve">-centre i </w:t>
      </w:r>
      <w:r w:rsidRPr="00946F57">
        <w:rPr>
          <w:color w:val="000000"/>
        </w:rPr>
        <w:lastRenderedPageBreak/>
        <w:t xml:space="preserve">alle medlemsstater, så snart der foreligger et revideret koncept herfor; minder om, at Europa </w:t>
      </w:r>
      <w:proofErr w:type="spellStart"/>
      <w:r w:rsidRPr="00946F57">
        <w:rPr>
          <w:color w:val="000000"/>
        </w:rPr>
        <w:t>Experience</w:t>
      </w:r>
      <w:proofErr w:type="spellEnd"/>
      <w:r w:rsidRPr="00946F57">
        <w:rPr>
          <w:color w:val="000000"/>
        </w:rPr>
        <w:t xml:space="preserve">-centrene bør gøre det muligt for alle borgere at få en bedre forståelse af, hvordan Unionen fungerer, og gøre dem opmærksomme på vores fælles værdier; gentager derfor, at Europa </w:t>
      </w:r>
      <w:proofErr w:type="spellStart"/>
      <w:r w:rsidRPr="00946F57">
        <w:rPr>
          <w:color w:val="000000"/>
        </w:rPr>
        <w:t>Experience</w:t>
      </w:r>
      <w:proofErr w:type="spellEnd"/>
      <w:r w:rsidRPr="00946F57">
        <w:rPr>
          <w:color w:val="000000"/>
        </w:rPr>
        <w:t>-centrene er en integreret del af Parlamentets løbende engagement med EU-borgerne;</w:t>
      </w:r>
    </w:p>
    <w:p w14:paraId="68F82FCE" w14:textId="77777777" w:rsidR="005703CE" w:rsidRPr="00946F57" w:rsidRDefault="005703CE" w:rsidP="00E00A15">
      <w:pPr>
        <w:widowControl/>
        <w:spacing w:after="240"/>
        <w:ind w:left="567" w:hanging="567"/>
        <w:rPr>
          <w:color w:val="000000"/>
        </w:rPr>
      </w:pPr>
      <w:r w:rsidRPr="00946F57">
        <w:rPr>
          <w:color w:val="000000"/>
        </w:rPr>
        <w:t>30.</w:t>
      </w:r>
      <w:r w:rsidRPr="00946F57">
        <w:rPr>
          <w:color w:val="000000"/>
        </w:rPr>
        <w:tab/>
        <w:t>noterer sig, at der ikke er behov for yderligere finansiering til åbningen af Parlamentets kontorer i Moldova og Vestbalkan, eftersom disse kontorer vil blive etableret i EU-Udenrigstjenestens lokaler; understreger vigtigheden af Parlamentets tilstedeværelse i disse lande som et tegn på europæisk solidaritet og et tegn på Parlamentets engagement i tiltrædelsesprocessen;</w:t>
      </w:r>
    </w:p>
    <w:p w14:paraId="2FA049BC" w14:textId="77777777" w:rsidR="005703CE" w:rsidRPr="00946F57" w:rsidRDefault="005703CE" w:rsidP="00E00A15">
      <w:pPr>
        <w:widowControl/>
        <w:spacing w:after="240"/>
        <w:ind w:left="567" w:hanging="567"/>
        <w:rPr>
          <w:color w:val="000000"/>
        </w:rPr>
      </w:pPr>
      <w:r w:rsidRPr="00946F57">
        <w:rPr>
          <w:color w:val="000000"/>
        </w:rPr>
        <w:t>31.</w:t>
      </w:r>
      <w:r w:rsidRPr="00946F57">
        <w:rPr>
          <w:color w:val="000000"/>
        </w:rPr>
        <w:tab/>
        <w:t xml:space="preserve">noterer sig den førtidige opsigelse af kontrakten med den tidligere tjenesteleverandør, der stod for driften af vuggestuen </w:t>
      </w:r>
      <w:proofErr w:type="spellStart"/>
      <w:r w:rsidRPr="00946F57">
        <w:rPr>
          <w:color w:val="000000"/>
        </w:rPr>
        <w:t>Crèche</w:t>
      </w:r>
      <w:proofErr w:type="spellEnd"/>
      <w:r w:rsidRPr="00946F57">
        <w:rPr>
          <w:color w:val="000000"/>
        </w:rPr>
        <w:t> </w:t>
      </w:r>
      <w:proofErr w:type="spellStart"/>
      <w:r w:rsidRPr="00946F57">
        <w:rPr>
          <w:color w:val="000000"/>
        </w:rPr>
        <w:t>Wayenberg</w:t>
      </w:r>
      <w:proofErr w:type="spellEnd"/>
      <w:r w:rsidRPr="00946F57">
        <w:rPr>
          <w:color w:val="000000"/>
        </w:rPr>
        <w:t>, efter en række alvorlige beskyldninger mod kontrahenten; glæder sig over aftalen med en ny leverandør, der forventes at sikre vuggestuepersonalet bedre arbejdsvilkår og børnene en bedre kvalitet i den leverede tjeneste; anerkender imidlertid, at dette medfører en forhøjelse af det budget, der er nødvendigt til dette formål, men understreger, at anstændige arbejdsvilkår for eksternt personale, hvor det er relevant, principielt bør være en prioritet i forbindelse med Parlamentets offentlige indkøb;</w:t>
      </w:r>
    </w:p>
    <w:p w14:paraId="3F094D01" w14:textId="77777777" w:rsidR="005703CE" w:rsidRPr="00946F57" w:rsidRDefault="005703CE" w:rsidP="00C7521E">
      <w:pPr>
        <w:widowControl/>
        <w:spacing w:after="240"/>
        <w:ind w:left="567" w:hanging="567"/>
        <w:rPr>
          <w:color w:val="000000"/>
        </w:rPr>
      </w:pPr>
      <w:r w:rsidRPr="00946F57">
        <w:rPr>
          <w:color w:val="000000"/>
        </w:rPr>
        <w:t>32.</w:t>
      </w:r>
      <w:r w:rsidRPr="00946F57">
        <w:rPr>
          <w:color w:val="000000"/>
        </w:rPr>
        <w:tab/>
        <w:t>gentager nødvendigheden af, at vuggestuerne i Parlamentets bygninger er af høj kvalitet, og opfordrer de kompetente tjenester til at opgradere de nuværende faciliteter med hensyn til udstyr, plads og tilgængelighed for at gøre dem børnevenlige; opfordrer til, at der gennemføres en konsekvensanalyse vedrørende behovet for at oprette et familielokale på Parlamentets arbejdssted i Bruxelles til børn af medlemmer, der ikke har fast bopæl i Bruxelles, og som svarer til det familielokale, der findes i Strasbourg;</w:t>
      </w:r>
    </w:p>
    <w:p w14:paraId="62DBE964" w14:textId="77777777" w:rsidR="005703CE" w:rsidRPr="00946F57" w:rsidRDefault="005703CE" w:rsidP="005703CE">
      <w:pPr>
        <w:spacing w:after="240"/>
        <w:rPr>
          <w:b/>
          <w:i/>
          <w:color w:val="000000"/>
        </w:rPr>
      </w:pPr>
      <w:r w:rsidRPr="00946F57">
        <w:rPr>
          <w:b/>
          <w:i/>
          <w:color w:val="000000"/>
        </w:rPr>
        <w:t>Andet</w:t>
      </w:r>
    </w:p>
    <w:p w14:paraId="29958CDA" w14:textId="77777777" w:rsidR="005703CE" w:rsidRPr="00946F57" w:rsidRDefault="005703CE" w:rsidP="00C7521E">
      <w:pPr>
        <w:spacing w:after="240"/>
        <w:ind w:left="567" w:hanging="567"/>
        <w:rPr>
          <w:color w:val="000000"/>
        </w:rPr>
      </w:pPr>
      <w:r w:rsidRPr="00946F57">
        <w:rPr>
          <w:color w:val="000000"/>
        </w:rPr>
        <w:t>33.</w:t>
      </w:r>
      <w:r w:rsidRPr="00946F57">
        <w:rPr>
          <w:color w:val="000000"/>
        </w:rPr>
        <w:tab/>
        <w:t>gentager den anmodning, som ved gentagne lejligheder er blevet vedtaget på plenarmødet, til de relevante organer om at påbegynde arbejdet med at finde en løsning, som giver medlemmerne mulighed for at udøve deres ret til at benytte fjernafstemning under barsels- eller fædreorlov, under certificeret langvarig sygdom eller i tilfælde af force majeure, ved at gøre brug af erfaringerne fra pandemien med hensyn til de tekniske aspekter af denne afstemningsmetode;</w:t>
      </w:r>
    </w:p>
    <w:p w14:paraId="694953C5" w14:textId="77777777" w:rsidR="005703CE" w:rsidRPr="00946F57" w:rsidRDefault="005703CE" w:rsidP="00C7521E">
      <w:pPr>
        <w:spacing w:after="240"/>
        <w:ind w:left="567" w:hanging="567"/>
        <w:rPr>
          <w:color w:val="000000"/>
        </w:rPr>
      </w:pPr>
      <w:r w:rsidRPr="00946F57">
        <w:rPr>
          <w:color w:val="000000"/>
        </w:rPr>
        <w:t>34.</w:t>
      </w:r>
      <w:r w:rsidRPr="00946F57">
        <w:rPr>
          <w:color w:val="000000"/>
        </w:rPr>
        <w:tab/>
        <w:t>gentager sin opfordring til generalsekretæren om at understrege det grundlæggende princip om, at al ansættelse bør baseres på kompetence, samtidig med at der sikres geografisk balance mellem alle medlemsstater på alle personaleniveauer; opfordrer Parlamentet til at opbygge sin egen kapacitet til at udføre opsøgende arbejde med det formål at tiltrække højt kvalificerede kandidater til udvælgelsesprøver med hensyn til profil, alder, køn og nationalitet og navnlig fra underrepræsenterede lande, hvilket Parlamentet har brug for; understreger, at opnåelse af en retfærdig geografisk repræsentation er afgørende for at fremme en ægte europæisk offentlig tjeneste; bemærker, at Parlamentet konsekvent har truffet foranstaltninger til støtte for dette mål, herunder tilrettelæggelsen af nationalitetsspecifikke udvælgelsesprøver, samtidig med at der opretholdes en streng meritbaseret udvælgelsestilgang;</w:t>
      </w:r>
    </w:p>
    <w:p w14:paraId="3D1F9ED5" w14:textId="77777777" w:rsidR="005703CE" w:rsidRPr="00946F57" w:rsidRDefault="005703CE" w:rsidP="00E00A15">
      <w:pPr>
        <w:spacing w:after="240"/>
        <w:ind w:left="567" w:hanging="567"/>
        <w:rPr>
          <w:color w:val="000000"/>
        </w:rPr>
      </w:pPr>
      <w:r w:rsidRPr="00946F57">
        <w:rPr>
          <w:color w:val="000000"/>
        </w:rPr>
        <w:t>35.</w:t>
      </w:r>
      <w:r w:rsidRPr="00946F57">
        <w:rPr>
          <w:color w:val="000000"/>
        </w:rPr>
        <w:tab/>
        <w:t xml:space="preserve">mener, at Parlamentet bør gå foran med et godt eksempel hvad angår rettigheder for personer med handicap, både som arbejdsgiver og som offentlig institution; glæder sig </w:t>
      </w:r>
      <w:r w:rsidRPr="00946F57">
        <w:rPr>
          <w:color w:val="000000"/>
        </w:rPr>
        <w:lastRenderedPageBreak/>
        <w:t>over Parlamentets politik til at ville sikre, at personer med handicap kan anvende Parlamentets bygninger fuldstændig uafhængigt, og støtter yderligere foranstaltninger og tilpasninger, der vil være nødvendige i den henseende; bemærker, at der i budgettet er afsat 3,7 mio. EUR til dette formål;</w:t>
      </w:r>
    </w:p>
    <w:p w14:paraId="5712B4E3" w14:textId="77777777" w:rsidR="005703CE" w:rsidRPr="00946F57" w:rsidRDefault="005703CE" w:rsidP="00E00A15">
      <w:pPr>
        <w:spacing w:after="240"/>
        <w:ind w:left="567" w:hanging="567"/>
        <w:rPr>
          <w:color w:val="000000"/>
        </w:rPr>
      </w:pPr>
      <w:r w:rsidRPr="00946F57">
        <w:rPr>
          <w:color w:val="000000"/>
        </w:rPr>
        <w:t>36.</w:t>
      </w:r>
      <w:r w:rsidRPr="00946F57">
        <w:rPr>
          <w:color w:val="000000"/>
        </w:rPr>
        <w:tab/>
        <w:t>understreger, at Parlamentets økonomiske og miljømæssige omkostninger kan reduceres, hvis det kun havde ét enkelt hjemsted; minder om, at Parlamentet i henhold til traktaten om Den Europæiske Union skal have sit hjemsted i Strasbourg; bemærker, at permanente ændringer vil kræve en traktatændring, hvilket kræver enstemmighed;</w:t>
      </w:r>
    </w:p>
    <w:p w14:paraId="67F72F5C" w14:textId="77777777" w:rsidR="005703CE" w:rsidRPr="00946F57" w:rsidRDefault="005703CE" w:rsidP="00E00A15">
      <w:pPr>
        <w:spacing w:after="240"/>
        <w:ind w:left="567" w:hanging="567"/>
        <w:rPr>
          <w:color w:val="000000"/>
        </w:rPr>
      </w:pPr>
      <w:r w:rsidRPr="00946F57">
        <w:t>37.</w:t>
      </w:r>
      <w:r w:rsidRPr="00946F57">
        <w:tab/>
      </w:r>
      <w:r w:rsidRPr="00946F57">
        <w:rPr>
          <w:color w:val="000000"/>
        </w:rPr>
        <w:t xml:space="preserve">bemærker, at medlemmernes og personalets udgifter til tjenesterejser beløber sig til 116 mio. EUR i Parlamentets budget; opfordrer Parlamentets organer til at overveje praksis for tjenesterejser og revision af missionsreglerne og -praksisserne med det overordnede mål at fortsætte med at forbedre karakteren af tjenesterejser og reducere de dermed forbundne finansielle og miljømæssige omkostninger yderligere; </w:t>
      </w:r>
      <w:r w:rsidRPr="00946F57">
        <w:t>tilskynder medlemmerne til at anvende alternative transportmuligheder med lave CO</w:t>
      </w:r>
      <w:r w:rsidRPr="00946F57">
        <w:rPr>
          <w:vertAlign w:val="subscript"/>
        </w:rPr>
        <w:t>2</w:t>
      </w:r>
      <w:r w:rsidRPr="00946F57">
        <w:t>-udledninger</w:t>
      </w:r>
      <w:r w:rsidRPr="00946F57">
        <w:rPr>
          <w:vertAlign w:val="subscript"/>
        </w:rPr>
        <w:t>2</w:t>
      </w:r>
      <w:r w:rsidRPr="00946F57">
        <w:t>-udledninger og slår til lyd for en ansvarlig og velovervejet anvendelse af de økonomisk mest fordelagtige flyrejsemuligheder og for at foretrække togrejser, når dette er et gangbart alternativ;</w:t>
      </w:r>
    </w:p>
    <w:p w14:paraId="19A5A407" w14:textId="77777777" w:rsidR="005703CE" w:rsidRPr="00946F57" w:rsidRDefault="005703CE" w:rsidP="00E00A15">
      <w:pPr>
        <w:spacing w:after="240"/>
        <w:ind w:left="567" w:hanging="567"/>
        <w:rPr>
          <w:color w:val="000000"/>
        </w:rPr>
      </w:pPr>
      <w:r w:rsidRPr="00946F57">
        <w:rPr>
          <w:color w:val="000000"/>
        </w:rPr>
        <w:t>38.</w:t>
      </w:r>
      <w:r w:rsidRPr="00946F57">
        <w:rPr>
          <w:color w:val="000000"/>
        </w:rPr>
        <w:tab/>
        <w:t>noterer sig, at artikel 46, stk. 2, i Gennemførelsesbestemmelser til statutten for Europa-Parlamentets medlemmer giver mulighed for at finansiere ekstra omkostninger i forbindelse med budgetterne for parlamentarisk assistance med bevillinger fra deres godtgørelse for generelle udgifter; opfordrer Parlamentets administration til at træffe de nødvendige foranstaltninger til at gøre det muligt for medlemmer, der ønsker det, at anvende deres godtgørelse for generelle udgifter til at dække udgifterne til akkrediterede parlamentariske assistenters tjenesterejser; fremhæver, at en sådan foranstaltning ville imødegå de stigende omkostninger i forbindelse med medlemmernes kontorer og samtidig være budgetneutral;</w:t>
      </w:r>
    </w:p>
    <w:p w14:paraId="46DB6561" w14:textId="29A02C4E" w:rsidR="005703CE" w:rsidRDefault="005703CE" w:rsidP="00E00A15">
      <w:pPr>
        <w:spacing w:after="240"/>
        <w:ind w:left="567" w:hanging="567"/>
        <w:rPr>
          <w:color w:val="000000"/>
        </w:rPr>
      </w:pPr>
      <w:r w:rsidRPr="00946F57">
        <w:rPr>
          <w:color w:val="000000"/>
        </w:rPr>
        <w:t>39.</w:t>
      </w:r>
      <w:r w:rsidRPr="00946F57">
        <w:rPr>
          <w:color w:val="000000"/>
        </w:rPr>
        <w:tab/>
        <w:t>opfordrer Præsidiet til ikke at indeksere godtgørelsen for generelle udgifter og til ikke at bevilge godtgørelse for generelle udgifter til tidligere medlemmer, således at det bliver muligt at sikre betydelige besparelser i de lovbestemte omkostninger;</w:t>
      </w:r>
    </w:p>
    <w:p w14:paraId="00D07EFC" w14:textId="01D34CCD" w:rsidR="00E00A15" w:rsidRPr="00946F57" w:rsidRDefault="00E00A15" w:rsidP="00E00A15">
      <w:pPr>
        <w:spacing w:after="240"/>
        <w:ind w:left="567" w:hanging="567"/>
        <w:rPr>
          <w:color w:val="000000"/>
        </w:rPr>
      </w:pPr>
      <w:r>
        <w:rPr>
          <w:color w:val="000000"/>
        </w:rPr>
        <w:t>40</w:t>
      </w:r>
      <w:r w:rsidRPr="00E00A15">
        <w:rPr>
          <w:color w:val="000000"/>
        </w:rPr>
        <w:t>.</w:t>
      </w:r>
      <w:r w:rsidRPr="00E00A15">
        <w:rPr>
          <w:color w:val="000000"/>
        </w:rPr>
        <w:tab/>
        <w:t>opfordrer Præsidiet til at revidere reglerne og indføre en afkølingsperiode for tidligere medlemmer, hvor de ikke kan deltage i lobbyvirksomhed eller repræsentationsaktiviteter over for Parlamentet, svarende til den periode, hvor medlemmerne modtager en overgangsgodtgørelse;</w:t>
      </w:r>
    </w:p>
    <w:p w14:paraId="7BB06A20" w14:textId="0B1D2BA2" w:rsidR="005703CE" w:rsidRPr="00946F57" w:rsidRDefault="00E00A15" w:rsidP="00C7521E">
      <w:pPr>
        <w:spacing w:after="240"/>
        <w:ind w:left="567" w:hanging="567"/>
        <w:rPr>
          <w:color w:val="000000"/>
        </w:rPr>
      </w:pPr>
      <w:r>
        <w:rPr>
          <w:color w:val="000000"/>
        </w:rPr>
        <w:t>41</w:t>
      </w:r>
      <w:r w:rsidR="005703CE" w:rsidRPr="00946F57">
        <w:rPr>
          <w:color w:val="000000"/>
        </w:rPr>
        <w:t>.</w:t>
      </w:r>
      <w:r w:rsidR="005703CE" w:rsidRPr="00946F57">
        <w:rPr>
          <w:color w:val="000000"/>
        </w:rPr>
        <w:tab/>
      </w:r>
      <w:r w:rsidRPr="00E00A15">
        <w:rPr>
          <w:color w:val="000000"/>
        </w:rPr>
        <w:t xml:space="preserve">minder om, at Parlamentet siden 2018 på plenarmødet konsekvent har stemt for at overveje at ophæve det generelle forbud mod, at akkrediterede parlamentariske assistenter deltager i officielle delegations- og tjenesterejser; beklager, at </w:t>
      </w:r>
      <w:r w:rsidR="005703CE" w:rsidRPr="00946F57">
        <w:rPr>
          <w:color w:val="000000"/>
        </w:rPr>
        <w:t>Formandskonferencens afgørelser fra marts 2025 om gennemførelsesbestemmelserne for tjenesterejser uden for Europa-Parlamentets tre arbejdssteder</w:t>
      </w:r>
      <w:r>
        <w:rPr>
          <w:color w:val="000000"/>
        </w:rPr>
        <w:t xml:space="preserve"> </w:t>
      </w:r>
      <w:r w:rsidRPr="00E00A15">
        <w:rPr>
          <w:color w:val="000000"/>
        </w:rPr>
        <w:t>ikke var i overensstemmelse med plenarforsamlingens opfordring; fastholder sit standpunkt om, at akkrediterede parlamentariske assistenter på visse betingelser bør have lov til at ledsage medlemmer på officielle delegations- og tjenesterejser; opfordrer sine relevante organer til uden yderligere forsinkelse at ændre de relevante artikler i sine interne regler for at gøre det muligt for akkrediterede parlamentariske assistenter at deltage i officielle tjeneste- og delegationsrejser uden for Parlamentets tre arbejdssteder</w:t>
      </w:r>
      <w:r w:rsidR="005703CE" w:rsidRPr="00946F57">
        <w:rPr>
          <w:color w:val="000000"/>
        </w:rPr>
        <w:t xml:space="preserve">; </w:t>
      </w:r>
    </w:p>
    <w:p w14:paraId="39E45758" w14:textId="791FA28A" w:rsidR="005703CE" w:rsidRPr="00946F57" w:rsidRDefault="00E00A15" w:rsidP="00C7521E">
      <w:pPr>
        <w:spacing w:after="240"/>
        <w:ind w:left="567" w:hanging="567"/>
        <w:rPr>
          <w:color w:val="000000"/>
        </w:rPr>
      </w:pPr>
      <w:r>
        <w:rPr>
          <w:color w:val="000000"/>
        </w:rPr>
        <w:lastRenderedPageBreak/>
        <w:t>42</w:t>
      </w:r>
      <w:r w:rsidR="005703CE" w:rsidRPr="00946F57">
        <w:rPr>
          <w:color w:val="000000"/>
        </w:rPr>
        <w:t>.</w:t>
      </w:r>
      <w:r w:rsidR="005703CE" w:rsidRPr="00946F57">
        <w:rPr>
          <w:color w:val="000000"/>
        </w:rPr>
        <w:tab/>
        <w:t>glæder sig over arbejdet i APA-udvalget, som repræsenterer ca. 2 000 parlamentariske assistenter (</w:t>
      </w:r>
      <w:proofErr w:type="spellStart"/>
      <w:r w:rsidR="005703CE" w:rsidRPr="00946F57">
        <w:rPr>
          <w:color w:val="000000"/>
        </w:rPr>
        <w:t>APA'er</w:t>
      </w:r>
      <w:proofErr w:type="spellEnd"/>
      <w:r w:rsidR="005703CE" w:rsidRPr="00946F57">
        <w:rPr>
          <w:color w:val="000000"/>
        </w:rPr>
        <w:t xml:space="preserve">), hvis arbejde er afgørende for, at MEP'ernes daglige aktiviteter kan fungere gnidningsløst; bemærker, at der er øremærket 10 000 EUR til APA-udvalget med henblik på at sikre, at det kan udfylde sin rolle, samt at det har tilstrækkelige ressourcer til effektivt at støtte og repræsentere </w:t>
      </w:r>
      <w:proofErr w:type="spellStart"/>
      <w:r w:rsidR="005703CE" w:rsidRPr="00946F57">
        <w:rPr>
          <w:color w:val="000000"/>
        </w:rPr>
        <w:t>APA'erne</w:t>
      </w:r>
      <w:proofErr w:type="spellEnd"/>
      <w:r w:rsidR="005703CE" w:rsidRPr="00946F57">
        <w:rPr>
          <w:color w:val="000000"/>
        </w:rPr>
        <w:t xml:space="preserve"> på passende vis;</w:t>
      </w:r>
    </w:p>
    <w:p w14:paraId="07F79F6B" w14:textId="4DAB8D48" w:rsidR="005703CE" w:rsidRPr="00946F57" w:rsidRDefault="00E00A15" w:rsidP="00C7521E">
      <w:pPr>
        <w:widowControl/>
        <w:spacing w:after="240"/>
        <w:ind w:left="567" w:hanging="567"/>
        <w:rPr>
          <w:color w:val="000000"/>
        </w:rPr>
      </w:pPr>
      <w:r>
        <w:rPr>
          <w:color w:val="000000"/>
        </w:rPr>
        <w:t>43</w:t>
      </w:r>
      <w:r w:rsidR="005703CE" w:rsidRPr="00946F57">
        <w:rPr>
          <w:color w:val="000000"/>
        </w:rPr>
        <w:t>.</w:t>
      </w:r>
      <w:r w:rsidR="005703CE" w:rsidRPr="00946F57">
        <w:rPr>
          <w:color w:val="000000"/>
        </w:rPr>
        <w:tab/>
        <w:t>glæder sig over den ekstraordinære 10 %-forhøjelse af stipendierne til alle praktikanter i 2026, opført med 1 mio. EUR på budgettet for 2026, med henblik på at hjælpe dem med at klare de stigende boligpriser i Bruxelles og Luxembourg;</w:t>
      </w:r>
    </w:p>
    <w:p w14:paraId="41AB742F" w14:textId="4957D474" w:rsidR="005703CE" w:rsidRPr="00946F57" w:rsidRDefault="00E00A15" w:rsidP="00C7521E">
      <w:pPr>
        <w:widowControl/>
        <w:spacing w:after="240"/>
        <w:ind w:left="567" w:hanging="567"/>
        <w:rPr>
          <w:color w:val="000000"/>
        </w:rPr>
      </w:pPr>
      <w:r>
        <w:rPr>
          <w:color w:val="000000"/>
        </w:rPr>
        <w:t>44</w:t>
      </w:r>
      <w:r w:rsidR="005703CE" w:rsidRPr="00946F57">
        <w:rPr>
          <w:color w:val="000000"/>
        </w:rPr>
        <w:t>.</w:t>
      </w:r>
      <w:r w:rsidR="005703CE" w:rsidRPr="00946F57">
        <w:rPr>
          <w:color w:val="000000"/>
        </w:rPr>
        <w:tab/>
        <w:t>forventer, at de ansvarlige organer behandler anmodninger, som er vedtaget på plenarforsamlingen, som højtrangerende prioriteter;</w:t>
      </w:r>
    </w:p>
    <w:p w14:paraId="6994FE45" w14:textId="77777777" w:rsidR="00C533D8" w:rsidRPr="00946F57" w:rsidRDefault="00C533D8" w:rsidP="00C533D8">
      <w:pPr>
        <w:widowControl/>
        <w:spacing w:after="240"/>
        <w:jc w:val="center"/>
        <w:rPr>
          <w:color w:val="000000"/>
        </w:rPr>
      </w:pPr>
      <w:r w:rsidRPr="00946F57">
        <w:rPr>
          <w:color w:val="000000"/>
        </w:rPr>
        <w:t>°</w:t>
      </w:r>
    </w:p>
    <w:p w14:paraId="13EB9D0C" w14:textId="77777777" w:rsidR="00C533D8" w:rsidRPr="00946F57" w:rsidRDefault="00C533D8" w:rsidP="00C533D8">
      <w:pPr>
        <w:widowControl/>
        <w:spacing w:after="240"/>
        <w:jc w:val="center"/>
        <w:rPr>
          <w:color w:val="000000"/>
        </w:rPr>
      </w:pPr>
      <w:r w:rsidRPr="00946F57">
        <w:rPr>
          <w:color w:val="000000"/>
        </w:rPr>
        <w:t>°     °</w:t>
      </w:r>
    </w:p>
    <w:p w14:paraId="5196BB60" w14:textId="497E430D" w:rsidR="005703CE" w:rsidRPr="00946F57" w:rsidRDefault="00E00A15" w:rsidP="00E00A15">
      <w:pPr>
        <w:spacing w:after="240"/>
        <w:ind w:left="567" w:hanging="567"/>
        <w:rPr>
          <w:color w:val="000000"/>
        </w:rPr>
      </w:pPr>
      <w:r>
        <w:rPr>
          <w:color w:val="000000"/>
        </w:rPr>
        <w:t>45</w:t>
      </w:r>
      <w:r w:rsidR="005703CE" w:rsidRPr="00946F57">
        <w:rPr>
          <w:color w:val="000000"/>
        </w:rPr>
        <w:t>.</w:t>
      </w:r>
      <w:r w:rsidR="005703CE" w:rsidRPr="00946F57">
        <w:rPr>
          <w:color w:val="000000"/>
        </w:rPr>
        <w:tab/>
        <w:t>vedtager budgetoverslaget for regnskabsåret 2026;</w:t>
      </w:r>
    </w:p>
    <w:p w14:paraId="1E9F4558" w14:textId="0BDF2C8E" w:rsidR="00E365E1" w:rsidRPr="00946F57" w:rsidRDefault="00E00A15" w:rsidP="00E00A15">
      <w:pPr>
        <w:ind w:left="567" w:hanging="567"/>
      </w:pPr>
      <w:r>
        <w:rPr>
          <w:color w:val="000000"/>
        </w:rPr>
        <w:t>46</w:t>
      </w:r>
      <w:r w:rsidR="005703CE" w:rsidRPr="00946F57">
        <w:rPr>
          <w:color w:val="000000"/>
        </w:rPr>
        <w:t>.</w:t>
      </w:r>
      <w:r w:rsidR="005703CE" w:rsidRPr="00946F57">
        <w:rPr>
          <w:color w:val="000000"/>
        </w:rPr>
        <w:tab/>
        <w:t xml:space="preserve">pålægger sin formand at sende denne beslutning og budgetoverslaget til Rådet </w:t>
      </w:r>
      <w:r w:rsidR="003601DF" w:rsidRPr="00946F57">
        <w:rPr>
          <w:color w:val="000000"/>
        </w:rPr>
        <w:t>og Kommissionen.</w:t>
      </w:r>
    </w:p>
    <w:sectPr w:rsidR="00E365E1" w:rsidRPr="00946F57" w:rsidSect="003601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3F168" w14:textId="77777777" w:rsidR="00D71EFE" w:rsidRPr="003601DF" w:rsidRDefault="00D71EFE">
      <w:r w:rsidRPr="003601DF">
        <w:separator/>
      </w:r>
    </w:p>
  </w:endnote>
  <w:endnote w:type="continuationSeparator" w:id="0">
    <w:p w14:paraId="79AEA99D" w14:textId="77777777" w:rsidR="00D71EFE" w:rsidRPr="003601DF" w:rsidRDefault="00D71EFE">
      <w:r w:rsidRPr="003601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52959" w14:textId="77777777" w:rsidR="00064002" w:rsidRPr="003601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9E875" w14:textId="77777777" w:rsidR="00064002" w:rsidRPr="003601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E5027" w14:textId="77777777" w:rsidR="00064002" w:rsidRPr="003601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D7564" w14:textId="77777777" w:rsidR="00D71EFE" w:rsidRPr="003601DF" w:rsidRDefault="00D71EFE">
      <w:r w:rsidRPr="003601DF">
        <w:separator/>
      </w:r>
    </w:p>
  </w:footnote>
  <w:footnote w:type="continuationSeparator" w:id="0">
    <w:p w14:paraId="1D423581" w14:textId="77777777" w:rsidR="00D71EFE" w:rsidRPr="003601DF" w:rsidRDefault="00D71EFE">
      <w:r w:rsidRPr="003601DF">
        <w:continuationSeparator/>
      </w:r>
    </w:p>
  </w:footnote>
  <w:footnote w:id="1">
    <w:p w14:paraId="666C77A8" w14:textId="77777777" w:rsidR="005703CE" w:rsidRPr="003601DF" w:rsidRDefault="005703CE" w:rsidP="003601DF">
      <w:pPr>
        <w:ind w:left="567" w:hanging="567"/>
        <w:rPr>
          <w:color w:val="000000"/>
        </w:rPr>
      </w:pPr>
      <w:r w:rsidRPr="003601DF">
        <w:rPr>
          <w:rStyle w:val="FootnoteReference"/>
        </w:rPr>
        <w:footnoteRef/>
      </w:r>
      <w:r w:rsidR="003601DF" w:rsidRPr="003601DF">
        <w:t xml:space="preserve"> </w:t>
      </w:r>
      <w:r w:rsidR="003601DF" w:rsidRPr="003601DF">
        <w:tab/>
      </w:r>
      <w:r w:rsidRPr="003601DF">
        <w:t>EUT L 433 I af 22.12.2020, s. 11, ELI:</w:t>
      </w:r>
      <w:r w:rsidRPr="003601DF">
        <w:rPr>
          <w:color w:val="000000"/>
        </w:rPr>
        <w:t xml:space="preserve"> </w:t>
      </w:r>
      <w:hyperlink r:id="rId1" w:history="1">
        <w:r w:rsidRPr="003601DF">
          <w:rPr>
            <w:rStyle w:val="Hyperlink"/>
          </w:rPr>
          <w:t>http://data.europa.eu/eli/reg/2020/2093/oj</w:t>
        </w:r>
      </w:hyperlink>
      <w:r w:rsidRPr="003601DF">
        <w:rPr>
          <w:color w:val="000000"/>
        </w:rPr>
        <w:t>.</w:t>
      </w:r>
    </w:p>
  </w:footnote>
  <w:footnote w:id="2">
    <w:p w14:paraId="6A375F3D" w14:textId="77777777" w:rsidR="005703CE" w:rsidRPr="003601DF" w:rsidRDefault="005703CE" w:rsidP="003601DF">
      <w:pPr>
        <w:ind w:left="567" w:hanging="567"/>
        <w:rPr>
          <w:color w:val="000000"/>
        </w:rPr>
      </w:pPr>
      <w:r w:rsidRPr="003601DF">
        <w:rPr>
          <w:rStyle w:val="FootnoteReference"/>
        </w:rPr>
        <w:footnoteRef/>
      </w:r>
      <w:r w:rsidR="003601DF" w:rsidRPr="003601DF">
        <w:t xml:space="preserve"> </w:t>
      </w:r>
      <w:r w:rsidR="003601DF" w:rsidRPr="003601DF">
        <w:tab/>
      </w:r>
      <w:r w:rsidRPr="003601DF">
        <w:t>EUT C 444 I af 22.12.2020, s. 4.</w:t>
      </w:r>
    </w:p>
  </w:footnote>
  <w:footnote w:id="3">
    <w:p w14:paraId="694DA6FC" w14:textId="77777777" w:rsidR="005703CE" w:rsidRPr="003601DF" w:rsidRDefault="005703CE" w:rsidP="003601DF">
      <w:pPr>
        <w:ind w:left="567" w:hanging="567"/>
        <w:rPr>
          <w:color w:val="000000"/>
        </w:rPr>
      </w:pPr>
      <w:r w:rsidRPr="003601DF">
        <w:rPr>
          <w:rStyle w:val="FootnoteReference"/>
        </w:rPr>
        <w:footnoteRef/>
      </w:r>
      <w:r w:rsidR="003601DF" w:rsidRPr="003601DF">
        <w:t xml:space="preserve"> </w:t>
      </w:r>
      <w:r w:rsidR="003601DF" w:rsidRPr="003601DF">
        <w:tab/>
      </w:r>
      <w:r w:rsidRPr="003601DF">
        <w:t>EUT C 445 af 29.10.2021, s. 252.</w:t>
      </w:r>
    </w:p>
  </w:footnote>
  <w:footnote w:id="4">
    <w:p w14:paraId="630C0D1A" w14:textId="77777777" w:rsidR="005703CE" w:rsidRPr="003601DF" w:rsidRDefault="005703CE" w:rsidP="003601DF">
      <w:pPr>
        <w:ind w:left="567" w:hanging="567"/>
      </w:pPr>
      <w:r w:rsidRPr="003601DF">
        <w:rPr>
          <w:rStyle w:val="FootnoteReference"/>
          <w:rFonts w:eastAsiaTheme="majorEastAsia"/>
        </w:rPr>
        <w:footnoteRef/>
      </w:r>
      <w:r w:rsidR="003601DF" w:rsidRPr="003601DF">
        <w:t xml:space="preserve"> </w:t>
      </w:r>
      <w:r w:rsidR="003601DF" w:rsidRPr="003601DF">
        <w:tab/>
      </w:r>
      <w:r w:rsidRPr="003601DF">
        <w:t xml:space="preserve">EUT L 325 af 20.12.2022, s. 11, ELI: </w:t>
      </w:r>
      <w:hyperlink r:id="rId2" w:history="1">
        <w:r w:rsidRPr="003601DF">
          <w:rPr>
            <w:rStyle w:val="Hyperlink"/>
          </w:rPr>
          <w:t>http://data.europa.eu/eli/reg/2022/2496/oj</w:t>
        </w:r>
      </w:hyperlink>
      <w:r w:rsidRPr="003601DF">
        <w:t>.</w:t>
      </w:r>
    </w:p>
  </w:footnote>
  <w:footnote w:id="5">
    <w:p w14:paraId="605F8C70" w14:textId="77777777" w:rsidR="005703CE" w:rsidRPr="00E00A15" w:rsidRDefault="005703CE" w:rsidP="003601DF">
      <w:pPr>
        <w:ind w:left="567" w:hanging="567"/>
        <w:rPr>
          <w:lang w:val="fi-FI"/>
        </w:rPr>
      </w:pPr>
      <w:r w:rsidRPr="003601DF">
        <w:rPr>
          <w:rStyle w:val="FootnoteReference"/>
        </w:rPr>
        <w:footnoteRef/>
      </w:r>
      <w:r w:rsidR="003601DF" w:rsidRPr="00E00A15">
        <w:rPr>
          <w:lang w:val="fi-FI"/>
        </w:rPr>
        <w:t xml:space="preserve"> </w:t>
      </w:r>
      <w:r w:rsidR="003601DF" w:rsidRPr="00E00A15">
        <w:rPr>
          <w:lang w:val="fi-FI"/>
        </w:rPr>
        <w:tab/>
      </w:r>
      <w:r w:rsidRPr="00E00A15">
        <w:rPr>
          <w:lang w:val="fi-FI"/>
        </w:rPr>
        <w:t xml:space="preserve">EUT L, 2024/765, 29.2.2024, ELI: </w:t>
      </w:r>
      <w:hyperlink r:id="rId3" w:history="1">
        <w:r w:rsidRPr="00E00A15">
          <w:rPr>
            <w:rStyle w:val="Hyperlink"/>
            <w:lang w:val="fi-FI"/>
          </w:rPr>
          <w:t>http://data.europa.eu/eli/reg/2024/765/oj</w:t>
        </w:r>
      </w:hyperlink>
      <w:r w:rsidRPr="00E00A15">
        <w:rPr>
          <w:lang w:val="fi-FI"/>
        </w:rPr>
        <w:t>.</w:t>
      </w:r>
    </w:p>
  </w:footnote>
  <w:footnote w:id="6">
    <w:p w14:paraId="4C9B9767" w14:textId="77777777" w:rsidR="005703CE" w:rsidRPr="003601DF" w:rsidRDefault="005703CE" w:rsidP="003601DF">
      <w:pPr>
        <w:ind w:left="567" w:hanging="567"/>
        <w:rPr>
          <w:color w:val="000000"/>
        </w:rPr>
      </w:pPr>
      <w:r w:rsidRPr="003601DF">
        <w:rPr>
          <w:rStyle w:val="FootnoteReference"/>
        </w:rPr>
        <w:footnoteRef/>
      </w:r>
      <w:r w:rsidR="003601DF" w:rsidRPr="003601DF">
        <w:t xml:space="preserve"> </w:t>
      </w:r>
      <w:r w:rsidR="003601DF" w:rsidRPr="003601DF">
        <w:tab/>
      </w:r>
      <w:r w:rsidRPr="003601DF">
        <w:t>EUT C 445 af 29.10.2021, s. 240.</w:t>
      </w:r>
    </w:p>
  </w:footnote>
  <w:footnote w:id="7">
    <w:p w14:paraId="080C27C8" w14:textId="77777777" w:rsidR="005703CE" w:rsidRPr="003601DF" w:rsidRDefault="005703CE" w:rsidP="003601DF">
      <w:pPr>
        <w:ind w:left="567" w:hanging="567"/>
        <w:rPr>
          <w:color w:val="000000"/>
        </w:rPr>
      </w:pPr>
      <w:r w:rsidRPr="003601DF">
        <w:rPr>
          <w:rStyle w:val="FootnoteReference"/>
        </w:rPr>
        <w:footnoteRef/>
      </w:r>
      <w:r w:rsidR="003601DF" w:rsidRPr="003601DF">
        <w:t xml:space="preserve"> </w:t>
      </w:r>
      <w:r w:rsidR="003601DF" w:rsidRPr="003601DF">
        <w:tab/>
      </w:r>
      <w:r w:rsidRPr="003601DF">
        <w:t>EUT C 177 af 17.5.2023, s. 115.</w:t>
      </w:r>
    </w:p>
  </w:footnote>
  <w:footnote w:id="8">
    <w:p w14:paraId="555EE392" w14:textId="3866B353" w:rsidR="005703CE" w:rsidRPr="00E00A15" w:rsidRDefault="005703CE" w:rsidP="003601DF">
      <w:pPr>
        <w:ind w:left="567" w:hanging="567"/>
        <w:rPr>
          <w:color w:val="000000"/>
          <w:lang w:val="fi-FI"/>
        </w:rPr>
      </w:pPr>
      <w:r w:rsidRPr="003601DF">
        <w:rPr>
          <w:rStyle w:val="FootnoteReference"/>
        </w:rPr>
        <w:footnoteRef/>
      </w:r>
      <w:r w:rsidR="003601DF" w:rsidRPr="00E00A15">
        <w:rPr>
          <w:lang w:val="fi-FI"/>
        </w:rPr>
        <w:t xml:space="preserve"> </w:t>
      </w:r>
      <w:r w:rsidR="003601DF" w:rsidRPr="00E00A15">
        <w:rPr>
          <w:lang w:val="fi-FI"/>
        </w:rPr>
        <w:tab/>
      </w:r>
      <w:r w:rsidRPr="00E00A15">
        <w:rPr>
          <w:lang w:val="fi-FI"/>
        </w:rPr>
        <w:t>EUT C, C/2024/1195, 23.2.2024, ELI:</w:t>
      </w:r>
      <w:r w:rsidRPr="00E00A15">
        <w:rPr>
          <w:color w:val="000000"/>
          <w:lang w:val="fi-FI"/>
        </w:rPr>
        <w:t xml:space="preserve"> </w:t>
      </w:r>
      <w:hyperlink r:id="rId4" w:history="1">
        <w:r w:rsidRPr="00E00A15">
          <w:rPr>
            <w:rStyle w:val="Hyperlink"/>
            <w:lang w:val="fi-FI"/>
          </w:rPr>
          <w:t>http://data.europa.eu/eli/C/2024/1195/oj</w:t>
        </w:r>
      </w:hyperlink>
      <w:r w:rsidRPr="00E00A15">
        <w:rPr>
          <w:color w:val="000000"/>
          <w:lang w:val="fi-FI"/>
        </w:rPr>
        <w:t>.</w:t>
      </w:r>
    </w:p>
  </w:footnote>
  <w:footnote w:id="9">
    <w:p w14:paraId="344D2F8E" w14:textId="77777777" w:rsidR="005703CE" w:rsidRPr="00E00A15" w:rsidRDefault="005703CE" w:rsidP="003601DF">
      <w:pPr>
        <w:ind w:left="567" w:hanging="567"/>
        <w:rPr>
          <w:color w:val="000000"/>
          <w:lang w:val="fi-FI"/>
        </w:rPr>
      </w:pPr>
      <w:r w:rsidRPr="003601DF">
        <w:rPr>
          <w:rStyle w:val="FootnoteReference"/>
        </w:rPr>
        <w:footnoteRef/>
      </w:r>
      <w:r w:rsidR="003601DF" w:rsidRPr="00E00A15">
        <w:rPr>
          <w:lang w:val="fi-FI"/>
        </w:rPr>
        <w:t xml:space="preserve"> </w:t>
      </w:r>
      <w:r w:rsidR="003601DF" w:rsidRPr="00E00A15">
        <w:rPr>
          <w:lang w:val="fi-FI"/>
        </w:rPr>
        <w:tab/>
      </w:r>
      <w:r w:rsidRPr="00E00A15">
        <w:rPr>
          <w:lang w:val="fi-FI"/>
        </w:rPr>
        <w:t>EUT C, C/2024/6751, 26.11.2024, ELI:</w:t>
      </w:r>
      <w:r w:rsidRPr="00E00A15">
        <w:rPr>
          <w:color w:val="000000"/>
          <w:lang w:val="fi-FI"/>
        </w:rPr>
        <w:t xml:space="preserve"> </w:t>
      </w:r>
      <w:hyperlink r:id="rId5" w:history="1">
        <w:r w:rsidRPr="00E00A15">
          <w:rPr>
            <w:rStyle w:val="Hyperlink"/>
            <w:lang w:val="fi-FI"/>
          </w:rPr>
          <w:t>http://data.europa.eu/eli/C/2024/6751/oj</w:t>
        </w:r>
      </w:hyperlink>
      <w:r w:rsidRPr="00E00A15">
        <w:rPr>
          <w:color w:val="000000"/>
          <w:lang w:val="fi-FI"/>
        </w:rPr>
        <w:t>.</w:t>
      </w:r>
    </w:p>
  </w:footnote>
  <w:footnote w:id="10">
    <w:p w14:paraId="10263A6C" w14:textId="2362A91E" w:rsidR="005703CE" w:rsidRPr="00E00A15" w:rsidRDefault="005703CE" w:rsidP="003601DF">
      <w:pPr>
        <w:ind w:left="567" w:hanging="567"/>
        <w:rPr>
          <w:color w:val="000000"/>
          <w:lang w:val="fi-FI"/>
        </w:rPr>
      </w:pPr>
      <w:r w:rsidRPr="003601DF">
        <w:rPr>
          <w:rStyle w:val="FootnoteReference"/>
        </w:rPr>
        <w:footnoteRef/>
      </w:r>
      <w:r w:rsidR="003601DF" w:rsidRPr="00E00A15">
        <w:rPr>
          <w:color w:val="000000"/>
          <w:lang w:val="fi-FI"/>
        </w:rPr>
        <w:t xml:space="preserve"> </w:t>
      </w:r>
      <w:r w:rsidR="003601DF" w:rsidRPr="00E00A15">
        <w:rPr>
          <w:color w:val="000000"/>
          <w:lang w:val="fi-FI"/>
        </w:rPr>
        <w:tab/>
      </w:r>
      <w:r w:rsidRPr="00E00A15">
        <w:rPr>
          <w:color w:val="000000"/>
          <w:lang w:val="fi-FI"/>
        </w:rPr>
        <w:t>EUT L</w:t>
      </w:r>
      <w:r w:rsidR="00B22063">
        <w:rPr>
          <w:color w:val="000000"/>
          <w:lang w:val="fi-FI"/>
        </w:rPr>
        <w:t>,</w:t>
      </w:r>
      <w:r w:rsidRPr="00E00A15">
        <w:rPr>
          <w:color w:val="000000"/>
          <w:lang w:val="fi-FI"/>
        </w:rPr>
        <w:t xml:space="preserve"> 2024/2509, 26.9.2024, ELI: </w:t>
      </w:r>
      <w:r w:rsidRPr="00E00A15">
        <w:rPr>
          <w:color w:val="337AB7"/>
          <w:u w:val="single"/>
          <w:lang w:val="fi-FI"/>
        </w:rPr>
        <w:t>http://data.europa.eu/eli/reg/2024/2509/oj.</w:t>
      </w:r>
    </w:p>
  </w:footnote>
  <w:footnote w:id="11">
    <w:p w14:paraId="259C00ED" w14:textId="77777777" w:rsidR="005703CE" w:rsidRPr="003601DF" w:rsidRDefault="005703CE" w:rsidP="003601DF">
      <w:pPr>
        <w:ind w:left="567" w:hanging="567"/>
        <w:rPr>
          <w:color w:val="000000"/>
        </w:rPr>
      </w:pPr>
      <w:r w:rsidRPr="003601DF">
        <w:rPr>
          <w:rStyle w:val="FootnoteReference"/>
        </w:rPr>
        <w:footnoteRef/>
      </w:r>
      <w:r w:rsidR="003601DF" w:rsidRPr="003601DF">
        <w:t xml:space="preserve"> </w:t>
      </w:r>
      <w:r w:rsidR="003601DF" w:rsidRPr="003601DF">
        <w:tab/>
      </w:r>
      <w:r w:rsidRPr="003601DF">
        <w:t>EUT L 433 I af 22.12.2020, s. 28, ELI:</w:t>
      </w:r>
      <w:r w:rsidRPr="003601DF">
        <w:rPr>
          <w:color w:val="000000"/>
        </w:rPr>
        <w:t xml:space="preserve"> </w:t>
      </w:r>
      <w:hyperlink r:id="rId6" w:history="1">
        <w:r w:rsidRPr="003601DF">
          <w:rPr>
            <w:rStyle w:val="Hyperlink"/>
          </w:rPr>
          <w:t>http://data.europa.eu/eli/agree_interinstit/2020/1222/oj</w:t>
        </w:r>
      </w:hyperlink>
      <w:r w:rsidRPr="003601DF">
        <w:rPr>
          <w:color w:val="000000"/>
        </w:rPr>
        <w:t>.</w:t>
      </w:r>
    </w:p>
  </w:footnote>
  <w:footnote w:id="12">
    <w:p w14:paraId="6CDC46B5" w14:textId="77777777" w:rsidR="005703CE" w:rsidRPr="00E00A15" w:rsidRDefault="005703CE" w:rsidP="003601DF">
      <w:pPr>
        <w:ind w:left="567" w:hanging="567"/>
        <w:rPr>
          <w:color w:val="000000"/>
          <w:lang w:val="fi-FI"/>
        </w:rPr>
      </w:pPr>
      <w:r w:rsidRPr="003601DF">
        <w:rPr>
          <w:rStyle w:val="FootnoteReference"/>
        </w:rPr>
        <w:footnoteRef/>
      </w:r>
      <w:r w:rsidR="003601DF" w:rsidRPr="00E00A15">
        <w:rPr>
          <w:lang w:val="fi-FI"/>
        </w:rPr>
        <w:t xml:space="preserve"> </w:t>
      </w:r>
      <w:r w:rsidR="003601DF" w:rsidRPr="00E00A15">
        <w:rPr>
          <w:lang w:val="fi-FI"/>
        </w:rPr>
        <w:tab/>
      </w:r>
      <w:r w:rsidRPr="00E00A15">
        <w:rPr>
          <w:lang w:val="fi-FI"/>
        </w:rPr>
        <w:t>EUT L, 2025/31, 27.2.2025, ELI:</w:t>
      </w:r>
      <w:r w:rsidRPr="00E00A15">
        <w:rPr>
          <w:color w:val="000000"/>
          <w:lang w:val="fi-FI"/>
        </w:rPr>
        <w:t xml:space="preserve"> </w:t>
      </w:r>
      <w:hyperlink r:id="rId7" w:history="1">
        <w:r w:rsidRPr="00E00A15">
          <w:rPr>
            <w:rStyle w:val="Hyperlink"/>
            <w:lang w:val="fi-FI"/>
          </w:rPr>
          <w:t>http://data.europa.eu/eli/budget/2025/31/oj</w:t>
        </w:r>
      </w:hyperlink>
      <w:r w:rsidRPr="00E00A15">
        <w:rPr>
          <w:color w:val="000000"/>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CCCEF" w14:textId="77777777" w:rsidR="00064002" w:rsidRPr="003601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68CA1" w14:textId="77777777" w:rsidR="00064002" w:rsidRPr="003601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D58E9" w14:textId="77777777" w:rsidR="00064002" w:rsidRPr="003601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DA"/>
    <w:docVar w:name="dvnumam" w:val="0"/>
    <w:docVar w:name="dvpe" w:val="770.074"/>
    <w:docVar w:name="dvrapporteur" w:val="Ordfører: "/>
    <w:docVar w:name="dvtitre" w:val="Europa-Parlamentets beslutning af xx. april 2025 om overslag over Europa-Parlamentets indtægter og udgifter for regnskabsåret 2026(2024/2111(BUI))"/>
  </w:docVars>
  <w:rsids>
    <w:rsidRoot w:val="00D71EFE"/>
    <w:rsid w:val="00002272"/>
    <w:rsid w:val="00064002"/>
    <w:rsid w:val="000677B9"/>
    <w:rsid w:val="000831BA"/>
    <w:rsid w:val="000A42CC"/>
    <w:rsid w:val="000E7DD9"/>
    <w:rsid w:val="0010095E"/>
    <w:rsid w:val="00125B37"/>
    <w:rsid w:val="00187494"/>
    <w:rsid w:val="001F32AE"/>
    <w:rsid w:val="002767FF"/>
    <w:rsid w:val="00296A7C"/>
    <w:rsid w:val="002B18FE"/>
    <w:rsid w:val="002B5493"/>
    <w:rsid w:val="00343214"/>
    <w:rsid w:val="003601DF"/>
    <w:rsid w:val="00361C00"/>
    <w:rsid w:val="00395FA1"/>
    <w:rsid w:val="003E15D4"/>
    <w:rsid w:val="00411CCE"/>
    <w:rsid w:val="0041666E"/>
    <w:rsid w:val="00421060"/>
    <w:rsid w:val="00471C19"/>
    <w:rsid w:val="004867E3"/>
    <w:rsid w:val="00494A28"/>
    <w:rsid w:val="004C0004"/>
    <w:rsid w:val="004C0EA8"/>
    <w:rsid w:val="004C5D52"/>
    <w:rsid w:val="0050519A"/>
    <w:rsid w:val="005072A1"/>
    <w:rsid w:val="00514517"/>
    <w:rsid w:val="00545827"/>
    <w:rsid w:val="00560270"/>
    <w:rsid w:val="005703CE"/>
    <w:rsid w:val="005759D2"/>
    <w:rsid w:val="005C2568"/>
    <w:rsid w:val="005F1B17"/>
    <w:rsid w:val="006037C0"/>
    <w:rsid w:val="00617D7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F57"/>
    <w:rsid w:val="009509D8"/>
    <w:rsid w:val="00950B64"/>
    <w:rsid w:val="00977EAF"/>
    <w:rsid w:val="00981893"/>
    <w:rsid w:val="009D765E"/>
    <w:rsid w:val="00A1687D"/>
    <w:rsid w:val="00A43E52"/>
    <w:rsid w:val="00A4678D"/>
    <w:rsid w:val="00A778C7"/>
    <w:rsid w:val="00AB441E"/>
    <w:rsid w:val="00AB6293"/>
    <w:rsid w:val="00AE0928"/>
    <w:rsid w:val="00AF3B82"/>
    <w:rsid w:val="00B12E95"/>
    <w:rsid w:val="00B22063"/>
    <w:rsid w:val="00B22876"/>
    <w:rsid w:val="00B558F0"/>
    <w:rsid w:val="00BD48FE"/>
    <w:rsid w:val="00BD7BD8"/>
    <w:rsid w:val="00BE6ADC"/>
    <w:rsid w:val="00C05BFE"/>
    <w:rsid w:val="00C23CD4"/>
    <w:rsid w:val="00C533D8"/>
    <w:rsid w:val="00C61C0C"/>
    <w:rsid w:val="00C7521E"/>
    <w:rsid w:val="00C941CB"/>
    <w:rsid w:val="00CC2357"/>
    <w:rsid w:val="00CF071A"/>
    <w:rsid w:val="00D058B8"/>
    <w:rsid w:val="00D56C11"/>
    <w:rsid w:val="00D71EFE"/>
    <w:rsid w:val="00D834A0"/>
    <w:rsid w:val="00D872DF"/>
    <w:rsid w:val="00D91E21"/>
    <w:rsid w:val="00DA7FCD"/>
    <w:rsid w:val="00E00A15"/>
    <w:rsid w:val="00E365E1"/>
    <w:rsid w:val="00E50DF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45726E"/>
  <w15:chartTrackingRefBased/>
  <w15:docId w15:val="{53F20E13-FAE9-4C43-B919-B1CDD0787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link w:val="FootnoteReference1"/>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703CE"/>
    <w:pPr>
      <w:spacing w:after="240"/>
      <w:ind w:left="567" w:hanging="567"/>
    </w:pPr>
  </w:style>
  <w:style w:type="character" w:styleId="Hyperlink">
    <w:name w:val="Hyperlink"/>
    <w:basedOn w:val="DefaultParagraphFont"/>
    <w:uiPriority w:val="99"/>
    <w:rsid w:val="005703CE"/>
    <w:rPr>
      <w:color w:val="0563C1" w:themeColor="hyperlink"/>
      <w:u w:val="single"/>
    </w:rPr>
  </w:style>
  <w:style w:type="paragraph" w:customStyle="1" w:styleId="FootnoteReference1">
    <w:name w:val="Footnote Reference1"/>
    <w:basedOn w:val="Normal"/>
    <w:link w:val="FootnoteReference"/>
    <w:rsid w:val="005703CE"/>
    <w:pPr>
      <w:widowControl/>
      <w:spacing w:after="160" w:line="240" w:lineRule="exact"/>
    </w:pPr>
    <w:rPr>
      <w:sz w:val="20"/>
      <w:vertAlign w:val="superscript"/>
      <w:lang w:val="en-GB"/>
    </w:rPr>
  </w:style>
  <w:style w:type="character" w:customStyle="1" w:styleId="NormalHanging12aChar">
    <w:name w:val="NormalHanging12a Char"/>
    <w:basedOn w:val="DefaultParagraphFont"/>
    <w:link w:val="NormalHanging12a"/>
    <w:locked/>
    <w:rsid w:val="005703CE"/>
    <w:rPr>
      <w:sz w:val="24"/>
      <w:lang w:val="da-DK"/>
    </w:rPr>
  </w:style>
  <w:style w:type="character" w:styleId="CommentReference">
    <w:name w:val="annotation reference"/>
    <w:basedOn w:val="DefaultParagraphFont"/>
    <w:rsid w:val="00C533D8"/>
    <w:rPr>
      <w:sz w:val="16"/>
      <w:szCs w:val="16"/>
    </w:rPr>
  </w:style>
  <w:style w:type="paragraph" w:styleId="CommentText">
    <w:name w:val="annotation text"/>
    <w:basedOn w:val="Normal"/>
    <w:link w:val="CommentTextChar"/>
    <w:rsid w:val="00C533D8"/>
    <w:rPr>
      <w:sz w:val="20"/>
    </w:rPr>
  </w:style>
  <w:style w:type="character" w:customStyle="1" w:styleId="CommentTextChar">
    <w:name w:val="Comment Text Char"/>
    <w:basedOn w:val="DefaultParagraphFont"/>
    <w:link w:val="CommentText"/>
    <w:rsid w:val="00C533D8"/>
    <w:rPr>
      <w:lang w:val="da-DK"/>
    </w:rPr>
  </w:style>
  <w:style w:type="paragraph" w:styleId="CommentSubject">
    <w:name w:val="annotation subject"/>
    <w:basedOn w:val="CommentText"/>
    <w:next w:val="CommentText"/>
    <w:link w:val="CommentSubjectChar"/>
    <w:rsid w:val="00C533D8"/>
    <w:rPr>
      <w:b/>
      <w:bCs/>
    </w:rPr>
  </w:style>
  <w:style w:type="character" w:customStyle="1" w:styleId="CommentSubjectChar">
    <w:name w:val="Comment Subject Char"/>
    <w:basedOn w:val="CommentTextChar"/>
    <w:link w:val="CommentSubject"/>
    <w:rsid w:val="00C533D8"/>
    <w:rPr>
      <w:b/>
      <w:bCs/>
      <w:lang w:val="da-DK"/>
    </w:rPr>
  </w:style>
  <w:style w:type="paragraph" w:styleId="BalloonText">
    <w:name w:val="Balloon Text"/>
    <w:basedOn w:val="Normal"/>
    <w:link w:val="BalloonTextChar"/>
    <w:rsid w:val="00C533D8"/>
    <w:rPr>
      <w:rFonts w:ascii="Segoe UI" w:hAnsi="Segoe UI" w:cs="Segoe UI"/>
      <w:sz w:val="18"/>
      <w:szCs w:val="18"/>
    </w:rPr>
  </w:style>
  <w:style w:type="character" w:customStyle="1" w:styleId="BalloonTextChar">
    <w:name w:val="Balloon Text Char"/>
    <w:basedOn w:val="DefaultParagraphFont"/>
    <w:link w:val="BalloonText"/>
    <w:rsid w:val="00C533D8"/>
    <w:rPr>
      <w:rFonts w:ascii="Segoe UI" w:hAnsi="Segoe UI" w:cs="Segoe UI"/>
      <w:sz w:val="18"/>
      <w:szCs w:val="18"/>
      <w:lang w:val="da-DK"/>
    </w:rPr>
  </w:style>
  <w:style w:type="character" w:styleId="FollowedHyperlink">
    <w:name w:val="FollowedHyperlink"/>
    <w:basedOn w:val="DefaultParagraphFont"/>
    <w:rsid w:val="00C533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0F02C-34AC-4656-91F8-B7A713D27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3949</Words>
  <Characters>24286</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2025-05-21T07:25:00Z</dcterms:created>
  <dcterms:modified xsi:type="dcterms:W3CDTF">2025-05-21T07:25:00Z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P10_TA(2025)0060_</vt:lpwstr>
  </property>
  <property fmtid="{D5CDD505-2E9C-101B-9397-08002B2CF9AE}" pid="4" name="&lt;Type&gt;">
    <vt:lpwstr>RR</vt:lpwstr>
  </property>
</Properties>
</file>