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6C8" w:rsidTr="0010095E">
        <w:trPr>
          <w:trHeight w:hRule="exact" w:val="1418"/>
        </w:trPr>
        <w:tc>
          <w:tcPr>
            <w:tcW w:w="6804" w:type="dxa"/>
            <w:shd w:val="clear" w:color="auto" w:fill="auto"/>
            <w:vAlign w:val="center"/>
          </w:tcPr>
          <w:p w:rsidR="00751A4A" w:rsidRPr="00F466C8" w:rsidRDefault="00684C05" w:rsidP="0010095E">
            <w:pPr>
              <w:pStyle w:val="EPName"/>
            </w:pPr>
            <w:r w:rsidRPr="00F466C8">
              <w:t>Ευρωπαϊκό Κοινοβούλιο</w:t>
            </w:r>
          </w:p>
          <w:p w:rsidR="00751A4A" w:rsidRPr="00F466C8" w:rsidRDefault="005F1B17" w:rsidP="005F1B17">
            <w:pPr>
              <w:pStyle w:val="EPTerm"/>
              <w:rPr>
                <w:rStyle w:val="HideTWBExt"/>
                <w:noProof w:val="0"/>
                <w:vanish w:val="0"/>
                <w:color w:val="auto"/>
              </w:rPr>
            </w:pPr>
            <w:r w:rsidRPr="00F466C8">
              <w:t>2024</w:t>
            </w:r>
            <w:r w:rsidR="00817416" w:rsidRPr="00F466C8">
              <w:t>-202</w:t>
            </w:r>
            <w:r w:rsidRPr="00F466C8">
              <w:t>9</w:t>
            </w:r>
          </w:p>
        </w:tc>
        <w:tc>
          <w:tcPr>
            <w:tcW w:w="2268" w:type="dxa"/>
            <w:shd w:val="clear" w:color="auto" w:fill="auto"/>
          </w:tcPr>
          <w:p w:rsidR="00751A4A" w:rsidRPr="00F466C8" w:rsidRDefault="00187494" w:rsidP="0010095E">
            <w:pPr>
              <w:pStyle w:val="EPLogo"/>
            </w:pPr>
            <w:r w:rsidRPr="00F466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6C8" w:rsidRDefault="00D058B8" w:rsidP="004C5D52">
      <w:pPr>
        <w:pStyle w:val="LineTop"/>
      </w:pPr>
    </w:p>
    <w:p w:rsidR="00680577" w:rsidRPr="00F466C8" w:rsidRDefault="00684C05" w:rsidP="00680577">
      <w:pPr>
        <w:pStyle w:val="EPBodyTA1"/>
      </w:pPr>
      <w:r w:rsidRPr="00F466C8">
        <w:t>ΚΕΙΜΕΝΑ ΠΟΥ ΕΓΚΡΙΘΗΚΑΝ</w:t>
      </w:r>
    </w:p>
    <w:p w:rsidR="00D058B8" w:rsidRPr="00F466C8" w:rsidRDefault="00D058B8" w:rsidP="00D058B8">
      <w:pPr>
        <w:pStyle w:val="LineBottom"/>
      </w:pPr>
    </w:p>
    <w:p w:rsidR="00684C05" w:rsidRPr="00F466C8" w:rsidRDefault="00684C05" w:rsidP="00684C05">
      <w:pPr>
        <w:pStyle w:val="ATHeading1"/>
      </w:pPr>
      <w:bookmarkStart w:id="0" w:name="TANumber"/>
      <w:r w:rsidRPr="00F466C8">
        <w:t>P10_TA(2025)00</w:t>
      </w:r>
      <w:r w:rsidR="00A7766C" w:rsidRPr="004A6E63">
        <w:t>60</w:t>
      </w:r>
      <w:bookmarkEnd w:id="0"/>
    </w:p>
    <w:p w:rsidR="00684C05" w:rsidRPr="00F466C8" w:rsidRDefault="00684C05" w:rsidP="00684C05">
      <w:pPr>
        <w:pStyle w:val="ATHeading2"/>
      </w:pPr>
      <w:bookmarkStart w:id="1" w:name="title"/>
      <w:r w:rsidRPr="00F466C8">
        <w:t xml:space="preserve">Κατάσταση προβλέψεων εσόδων και δαπανών για το οικονομικό έτος 2026 </w:t>
      </w:r>
      <w:r w:rsidR="000A57DA">
        <w:t>–</w:t>
      </w:r>
      <w:r w:rsidRPr="00F466C8">
        <w:t xml:space="preserve"> Τμήμα Ι </w:t>
      </w:r>
      <w:r w:rsidR="000A57DA">
        <w:t>–</w:t>
      </w:r>
      <w:r w:rsidRPr="00F466C8">
        <w:t xml:space="preserve"> Ευρωπαϊκό Κοινοβούλιο</w:t>
      </w:r>
      <w:bookmarkEnd w:id="1"/>
    </w:p>
    <w:p w:rsidR="00684C05" w:rsidRPr="00F466C8" w:rsidRDefault="00684C05" w:rsidP="00684C05">
      <w:pPr>
        <w:rPr>
          <w:i/>
          <w:vanish/>
        </w:rPr>
      </w:pPr>
      <w:r w:rsidRPr="00F466C8">
        <w:rPr>
          <w:i/>
        </w:rPr>
        <w:fldChar w:fldCharType="begin"/>
      </w:r>
      <w:r w:rsidRPr="00F466C8">
        <w:rPr>
          <w:i/>
        </w:rPr>
        <w:instrText xml:space="preserve"> TC"(</w:instrText>
      </w:r>
      <w:bookmarkStart w:id="2" w:name="DocNumber"/>
      <w:r w:rsidRPr="00F466C8">
        <w:rPr>
          <w:i/>
        </w:rPr>
        <w:instrText>A10-0048/2025</w:instrText>
      </w:r>
      <w:bookmarkEnd w:id="2"/>
      <w:r w:rsidRPr="00F466C8">
        <w:rPr>
          <w:i/>
        </w:rPr>
        <w:instrText xml:space="preserve"> - Εισηγητής: Matjaž Nemec)"\l3 \n&gt; \* MERGEFORMAT </w:instrText>
      </w:r>
      <w:r w:rsidRPr="00F466C8">
        <w:rPr>
          <w:i/>
        </w:rPr>
        <w:fldChar w:fldCharType="end"/>
      </w:r>
    </w:p>
    <w:p w:rsidR="00684C05" w:rsidRPr="00F466C8" w:rsidRDefault="00684C05" w:rsidP="00684C05">
      <w:pPr>
        <w:rPr>
          <w:vanish/>
        </w:rPr>
      </w:pPr>
      <w:bookmarkStart w:id="3" w:name="Commission"/>
      <w:r w:rsidRPr="00F466C8">
        <w:rPr>
          <w:vanish/>
        </w:rPr>
        <w:t>Επιτροπή Προϋπολογισμών</w:t>
      </w:r>
      <w:bookmarkEnd w:id="3"/>
    </w:p>
    <w:p w:rsidR="00684C05" w:rsidRPr="00F466C8" w:rsidRDefault="00684C05" w:rsidP="00684C05">
      <w:pPr>
        <w:rPr>
          <w:vanish/>
        </w:rPr>
      </w:pPr>
      <w:bookmarkStart w:id="4" w:name="PE"/>
      <w:r w:rsidRPr="00F466C8">
        <w:rPr>
          <w:vanish/>
        </w:rPr>
        <w:t>PE770.074</w:t>
      </w:r>
      <w:bookmarkEnd w:id="4"/>
    </w:p>
    <w:p w:rsidR="00684C05" w:rsidRPr="00F466C8" w:rsidRDefault="00684C05" w:rsidP="00684C05">
      <w:pPr>
        <w:pStyle w:val="ATHeading3"/>
      </w:pPr>
      <w:bookmarkStart w:id="5" w:name="Sujet"/>
      <w:r w:rsidRPr="00F466C8">
        <w:t>Ψήφισμα του Ευρωπαϊκού Κοινοβουλίου</w:t>
      </w:r>
      <w:r w:rsidR="002A32F8">
        <w:t xml:space="preserve"> της 3ης Απριλίου 2025</w:t>
      </w:r>
      <w:r w:rsidRPr="00F466C8">
        <w:t xml:space="preserve"> σχετικά με την κατάσταση προβλέψεων των εσόδων και δαπανών του Ευρωπαϊκού Κοινοβουλίου για το οικονομικό έτος 2026</w:t>
      </w:r>
      <w:bookmarkEnd w:id="5"/>
      <w:r w:rsidRPr="00F466C8">
        <w:t xml:space="preserve"> </w:t>
      </w:r>
      <w:bookmarkStart w:id="6" w:name="References"/>
      <w:r w:rsidRPr="00F466C8">
        <w:t>(2024/2111(BUI))</w:t>
      </w:r>
      <w:bookmarkEnd w:id="6"/>
    </w:p>
    <w:p w:rsidR="006012AF" w:rsidRPr="00F466C8" w:rsidRDefault="006012AF" w:rsidP="006012AF">
      <w:pPr>
        <w:keepNext/>
        <w:spacing w:before="480" w:after="240"/>
        <w:rPr>
          <w:color w:val="000000"/>
        </w:rPr>
      </w:pPr>
      <w:bookmarkStart w:id="7" w:name="TextBodyBegin"/>
      <w:bookmarkEnd w:id="7"/>
      <w:r w:rsidRPr="00F466C8">
        <w:rPr>
          <w:i/>
          <w:iCs/>
          <w:color w:val="000000"/>
        </w:rPr>
        <w:t>Το Ευρωπαϊκό Κοινοβούλιο</w:t>
      </w:r>
      <w:r w:rsidRPr="00F466C8">
        <w:rPr>
          <w:color w:val="000000"/>
        </w:rPr>
        <w:t>,</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το άρθρο 314 της Συνθήκης για τη λειτουργία της Ευρωπαϊκής Ένωσης,</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τον κανονισμό (EE, Ευρατόμ) 2020/2093 του Συμβουλίου, της 17ης Δεκεμβρίου 2020, για τον καθορισμό του πολυετούς δημοσιονομικού πλαισίου για τα έτη 2021 έως 2027</w:t>
      </w:r>
      <w:r w:rsidRPr="00F466C8">
        <w:rPr>
          <w:color w:val="000000"/>
          <w:vertAlign w:val="superscript"/>
        </w:rPr>
        <w:footnoteReference w:id="1"/>
      </w:r>
      <w:r w:rsidRPr="00F466C8">
        <w:rPr>
          <w:color w:val="000000"/>
        </w:rPr>
        <w:t>, και την κοινή δήλωση επί της οποίας συμφώνησαν το Κοινοβούλιο, το Συμβούλιο και η Επιτροπή σε αυτό το πλαίσιο</w:t>
      </w:r>
      <w:r w:rsidRPr="00F466C8">
        <w:rPr>
          <w:color w:val="000000"/>
          <w:vertAlign w:val="superscript"/>
        </w:rPr>
        <w:footnoteReference w:id="2"/>
      </w:r>
      <w:r w:rsidRPr="00F466C8">
        <w:rPr>
          <w:color w:val="000000"/>
        </w:rPr>
        <w:t>, καθώς και τις σχετικές μονομερείς δηλώσεις</w:t>
      </w:r>
      <w:r w:rsidRPr="00F466C8">
        <w:rPr>
          <w:color w:val="000000"/>
          <w:vertAlign w:val="superscript"/>
        </w:rPr>
        <w:footnoteReference w:id="3"/>
      </w:r>
      <w:r w:rsidRPr="00F466C8">
        <w:rPr>
          <w:color w:val="000000"/>
        </w:rPr>
        <w:t>,</w:t>
      </w:r>
    </w:p>
    <w:p w:rsidR="006012AF" w:rsidRPr="00F466C8" w:rsidRDefault="006012AF" w:rsidP="006012AF">
      <w:pPr>
        <w:spacing w:after="240"/>
        <w:ind w:left="567" w:hanging="567"/>
        <w:rPr>
          <w:color w:val="000000" w:themeColor="text1"/>
        </w:rPr>
      </w:pPr>
      <w:r w:rsidRPr="00F466C8">
        <w:rPr>
          <w:color w:val="000000"/>
        </w:rPr>
        <w:t>–</w:t>
      </w:r>
      <w:r w:rsidRPr="00F466C8">
        <w:rPr>
          <w:color w:val="000000"/>
        </w:rPr>
        <w:tab/>
        <w:t>έχοντας υπόψη τον κανονισμό (ΕΕ, Ευρατόμ) 2022/2496 του Συμβουλίου, της 15ης Δεκεμβρίου 2022, για την τροποποίηση του κανονισμού (ΕΕ, Ευρατόμ) 2020/2093 για τον καθορισμό του πολυετούς δημοσιονομικού πλαισίου για τα έτη 2021 έως 2027</w:t>
      </w:r>
      <w:r w:rsidRPr="00F466C8">
        <w:rPr>
          <w:color w:val="000000"/>
          <w:vertAlign w:val="superscript"/>
        </w:rPr>
        <w:footnoteReference w:id="4"/>
      </w:r>
      <w:r w:rsidRPr="00F466C8">
        <w:rPr>
          <w:color w:val="000000"/>
        </w:rPr>
        <w:t>,</w:t>
      </w:r>
    </w:p>
    <w:p w:rsidR="006012AF" w:rsidRPr="00F466C8" w:rsidRDefault="006012AF" w:rsidP="006012AF">
      <w:pPr>
        <w:spacing w:after="240"/>
        <w:ind w:left="567" w:hanging="567"/>
      </w:pPr>
      <w:r w:rsidRPr="00F466C8">
        <w:t>–</w:t>
      </w:r>
      <w:r w:rsidRPr="00F466C8">
        <w:tab/>
      </w:r>
      <w:r w:rsidRPr="00F466C8">
        <w:rPr>
          <w:color w:val="000000"/>
        </w:rPr>
        <w:t>έχοντας υπόψη τον κανονισμό (ΕΕ, Ευρατόμ) 2024/765 του Συμβουλίου για την τροποποίηση του κανονισμού (ΕΕ, Ευρατόμ) 2020/2093 για τον καθορισμό του πολυετούς δημοσιονομικού πλαισίου για τα έτη 2021 έως 2027</w:t>
      </w:r>
      <w:r w:rsidRPr="00F466C8">
        <w:rPr>
          <w:rStyle w:val="FootnoteReference"/>
          <w:color w:val="000000"/>
        </w:rPr>
        <w:footnoteReference w:id="5"/>
      </w:r>
      <w:r w:rsidRPr="00F466C8">
        <w:rPr>
          <w:color w:val="000000"/>
        </w:rPr>
        <w:t xml:space="preserve"> (αναθεώρηση ΠΔΠ),</w:t>
      </w:r>
    </w:p>
    <w:p w:rsidR="006012AF" w:rsidRPr="00F466C8" w:rsidRDefault="006012AF" w:rsidP="006012AF">
      <w:pPr>
        <w:spacing w:after="240"/>
        <w:ind w:left="567" w:hanging="567"/>
      </w:pPr>
      <w:r w:rsidRPr="00F466C8">
        <w:t>–</w:t>
      </w:r>
      <w:r w:rsidRPr="00F466C8">
        <w:tab/>
        <w:t>έχοντας υπόψη το νομοθετικό ψήφισμά του της 16ης Δεκεμβρίου 2020 σχετικά με το σχέδιο κανονισμού του Συμβουλίου για τον καθορισμό του πολυετούς δημοσιονομικού πλαισίου της περιόδου 2021-2027</w:t>
      </w:r>
      <w:r w:rsidRPr="00F466C8">
        <w:rPr>
          <w:vertAlign w:val="superscript"/>
        </w:rPr>
        <w:footnoteReference w:id="6"/>
      </w:r>
      <w:r w:rsidRPr="00F466C8">
        <w:t>,</w:t>
      </w:r>
    </w:p>
    <w:p w:rsidR="006012AF" w:rsidRPr="00F466C8" w:rsidRDefault="006012AF" w:rsidP="006012AF">
      <w:pPr>
        <w:spacing w:after="240"/>
        <w:ind w:left="567" w:hanging="567"/>
        <w:rPr>
          <w:color w:val="000000"/>
        </w:rPr>
      </w:pPr>
      <w:r w:rsidRPr="00F466C8">
        <w:rPr>
          <w:color w:val="000000"/>
        </w:rPr>
        <w:lastRenderedPageBreak/>
        <w:t>–</w:t>
      </w:r>
      <w:r w:rsidRPr="00F466C8">
        <w:rPr>
          <w:color w:val="000000"/>
        </w:rPr>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F466C8">
        <w:rPr>
          <w:color w:val="000000"/>
          <w:vertAlign w:val="superscript"/>
        </w:rPr>
        <w:footnoteReference w:id="7"/>
      </w:r>
      <w:r w:rsidRPr="00F466C8">
        <w:rPr>
          <w:color w:val="000000"/>
        </w:rPr>
        <w:t>,</w:t>
      </w:r>
    </w:p>
    <w:p w:rsidR="006012AF" w:rsidRPr="00F466C8" w:rsidRDefault="006012AF" w:rsidP="006012AF">
      <w:pPr>
        <w:spacing w:after="240"/>
        <w:ind w:left="567" w:hanging="567"/>
      </w:pPr>
      <w:r w:rsidRPr="00F466C8">
        <w:t>–</w:t>
      </w:r>
      <w:r w:rsidRPr="00F466C8">
        <w:tab/>
        <w:t>έχοντας υπόψη το ψήφισμά του της 3ης Οκτωβρίου 2023 σχετικά με την πρόταση για ενδιάμεση αναθεώρηση του πολυετούς δημοσιονομικού πλαισίου 2021-2027</w:t>
      </w:r>
      <w:r w:rsidRPr="00F466C8">
        <w:rPr>
          <w:vertAlign w:val="superscript"/>
        </w:rPr>
        <w:footnoteReference w:id="8"/>
      </w:r>
      <w:r w:rsidRPr="00F466C8">
        <w:t>,</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το ψήφισμά του της 27ης Φεβρουαρίου 2024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w:t>
      </w:r>
      <w:r w:rsidRPr="00F466C8">
        <w:rPr>
          <w:color w:val="000000"/>
          <w:vertAlign w:val="superscript"/>
        </w:rPr>
        <w:footnoteReference w:id="9"/>
      </w:r>
      <w:r w:rsidRPr="00F466C8">
        <w:rPr>
          <w:color w:val="000000"/>
        </w:rPr>
        <w:t>,</w:t>
      </w:r>
    </w:p>
    <w:p w:rsidR="006012AF" w:rsidRPr="00F466C8" w:rsidRDefault="006012AF" w:rsidP="006012AF">
      <w:pPr>
        <w:widowControl/>
        <w:spacing w:after="240"/>
        <w:ind w:left="567" w:hanging="567"/>
        <w:rPr>
          <w:color w:val="000000"/>
        </w:rPr>
      </w:pPr>
      <w:r w:rsidRPr="00F466C8">
        <w:rPr>
          <w:color w:val="000000"/>
        </w:rPr>
        <w:t>–</w:t>
      </w:r>
      <w:r w:rsidRPr="00F466C8">
        <w:rPr>
          <w:color w:val="000000"/>
        </w:rPr>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(αναδιατύπωση)</w:t>
      </w:r>
      <w:r w:rsidRPr="00F466C8">
        <w:rPr>
          <w:color w:val="000000"/>
          <w:vertAlign w:val="superscript"/>
        </w:rPr>
        <w:footnoteReference w:id="10"/>
      </w:r>
      <w:r w:rsidRPr="00F466C8">
        <w:rPr>
          <w:color w:val="000000"/>
        </w:rPr>
        <w:t xml:space="preserve"> (δημοσιονομικός κανονισμός),</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F466C8">
        <w:rPr>
          <w:color w:val="000000"/>
          <w:vertAlign w:val="superscript"/>
        </w:rPr>
        <w:footnoteReference w:id="11"/>
      </w:r>
      <w:r w:rsidRPr="00F466C8">
        <w:rPr>
          <w:color w:val="000000"/>
        </w:rPr>
        <w:t>,</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τον γενικό προϋπολογισμό της Ευρωπαϊκής Ένωσης για το οικονομικό έτος 2025</w:t>
      </w:r>
      <w:r w:rsidRPr="00F466C8">
        <w:rPr>
          <w:color w:val="000000"/>
          <w:vertAlign w:val="superscript"/>
        </w:rPr>
        <w:footnoteReference w:id="12"/>
      </w:r>
      <w:r w:rsidRPr="00F466C8">
        <w:rPr>
          <w:color w:val="000000"/>
        </w:rPr>
        <w:t xml:space="preserve"> και τις επισυναπτόμενες σε αυτόν κοινές δηλώσεις επί των οποίων επήλθε συμφωνία μεταξύ του Κοινοβουλίου, του Συμβουλίου και της Επιτροπής,</w:t>
      </w:r>
    </w:p>
    <w:p w:rsidR="006012AF" w:rsidRPr="00F466C8" w:rsidRDefault="006012AF" w:rsidP="006012AF">
      <w:pPr>
        <w:spacing w:after="240"/>
        <w:ind w:left="567" w:hanging="567"/>
        <w:rPr>
          <w:color w:val="000000"/>
        </w:rPr>
      </w:pPr>
      <w:r w:rsidRPr="00F466C8">
        <w:rPr>
          <w:color w:val="000000"/>
        </w:rPr>
        <w:t>–</w:t>
      </w:r>
      <w:r w:rsidRPr="00F466C8">
        <w:rPr>
          <w:color w:val="000000"/>
        </w:rPr>
        <w:tab/>
        <w:t>έχοντας υπόψη την έκθεση του Γενικού Γραμματέα προς το Προεδρείο ενόψει της κατάρτισης του προσχεδίου κατάστασης προβλέψεων του Ευρωπαϊκού Κοινοβουλίου για το οικονομικό έτος 2026,</w:t>
      </w:r>
    </w:p>
    <w:p w:rsidR="006012AF" w:rsidRPr="00F466C8" w:rsidRDefault="006012AF" w:rsidP="006012AF">
      <w:pPr>
        <w:tabs>
          <w:tab w:val="left" w:pos="357"/>
        </w:tabs>
        <w:spacing w:after="240"/>
        <w:ind w:left="567" w:hanging="567"/>
        <w:rPr>
          <w:color w:val="000000"/>
        </w:rPr>
      </w:pPr>
      <w:r w:rsidRPr="00F466C8">
        <w:rPr>
          <w:color w:val="000000"/>
        </w:rPr>
        <w:t>–</w:t>
      </w:r>
      <w:r w:rsidRPr="00F466C8">
        <w:rPr>
          <w:color w:val="000000"/>
        </w:rPr>
        <w:tab/>
      </w:r>
      <w:r w:rsidRPr="00F466C8">
        <w:rPr>
          <w:color w:val="000000"/>
        </w:rPr>
        <w:tab/>
        <w:t>έχοντας υπόψη το προσχέδιο κατ</w:t>
      </w:r>
      <w:bookmarkStart w:id="8" w:name="_GoBack"/>
      <w:bookmarkEnd w:id="8"/>
      <w:r w:rsidRPr="00F466C8">
        <w:rPr>
          <w:color w:val="000000"/>
        </w:rPr>
        <w:t>άστασης προβλέψεων που κατάρτισε το Προεδρείο στις 10 Μαρτίου 2025 σύμφωνα με το άρθρο 25 παράγραφος 7 και το άρθρο 104 παράγραφος 1 του Κανονισμού του Κοινοβουλίου,</w:t>
      </w:r>
    </w:p>
    <w:p w:rsidR="006012AF" w:rsidRPr="00F466C8" w:rsidRDefault="006012AF" w:rsidP="006012AF">
      <w:pPr>
        <w:tabs>
          <w:tab w:val="left" w:pos="357"/>
        </w:tabs>
        <w:spacing w:after="240"/>
        <w:ind w:left="567" w:hanging="567"/>
        <w:rPr>
          <w:color w:val="000000"/>
        </w:rPr>
      </w:pPr>
      <w:r w:rsidRPr="00F466C8">
        <w:rPr>
          <w:color w:val="000000"/>
        </w:rPr>
        <w:t>–</w:t>
      </w:r>
      <w:r w:rsidRPr="00F466C8">
        <w:rPr>
          <w:color w:val="000000"/>
        </w:rPr>
        <w:tab/>
      </w:r>
      <w:r w:rsidRPr="00F466C8">
        <w:rPr>
          <w:color w:val="000000"/>
        </w:rPr>
        <w:tab/>
        <w:t>έχοντας υπόψη το σχέδιο κατάστασης προβλέψεων που κατάρτισε η Επιτροπή Προϋπολογισμών σύμφωνα με το άρθρο 104 παράγραφος 2 του Κανονισμού του Κοινοβουλίου,</w:t>
      </w:r>
    </w:p>
    <w:p w:rsidR="006012AF" w:rsidRPr="00F466C8" w:rsidRDefault="006012AF" w:rsidP="006012AF">
      <w:pPr>
        <w:tabs>
          <w:tab w:val="left" w:pos="357"/>
        </w:tabs>
        <w:spacing w:after="240"/>
        <w:ind w:left="567" w:hanging="567"/>
        <w:rPr>
          <w:color w:val="000000"/>
        </w:rPr>
      </w:pPr>
      <w:r w:rsidRPr="00F466C8">
        <w:rPr>
          <w:color w:val="000000"/>
        </w:rPr>
        <w:t>–</w:t>
      </w:r>
      <w:r w:rsidRPr="00F466C8">
        <w:rPr>
          <w:color w:val="000000"/>
        </w:rPr>
        <w:tab/>
      </w:r>
      <w:r w:rsidRPr="00F466C8">
        <w:rPr>
          <w:color w:val="000000"/>
        </w:rPr>
        <w:tab/>
        <w:t>έχοντας υπόψη το άρθρο 104 του Κανονισμού του,</w:t>
      </w:r>
    </w:p>
    <w:p w:rsidR="006012AF" w:rsidRPr="00F466C8" w:rsidRDefault="006012AF" w:rsidP="006012AF">
      <w:pPr>
        <w:tabs>
          <w:tab w:val="left" w:pos="357"/>
        </w:tabs>
        <w:spacing w:after="240"/>
        <w:ind w:left="567" w:hanging="567"/>
        <w:rPr>
          <w:color w:val="000000"/>
        </w:rPr>
      </w:pPr>
      <w:r w:rsidRPr="00F466C8">
        <w:rPr>
          <w:color w:val="000000"/>
        </w:rPr>
        <w:t>–</w:t>
      </w:r>
      <w:r w:rsidRPr="00F466C8">
        <w:rPr>
          <w:color w:val="000000"/>
        </w:rPr>
        <w:tab/>
      </w:r>
      <w:r w:rsidRPr="00F466C8">
        <w:rPr>
          <w:color w:val="000000"/>
        </w:rPr>
        <w:tab/>
        <w:t>έχοντας υπόψη την έκθεση της Επιτροπής Προϋπολογισμών (A10-0048/2025),</w:t>
      </w:r>
    </w:p>
    <w:p w:rsidR="006012AF" w:rsidRPr="00F466C8" w:rsidRDefault="006012AF" w:rsidP="006012AF">
      <w:pPr>
        <w:widowControl/>
        <w:tabs>
          <w:tab w:val="left" w:pos="357"/>
        </w:tabs>
        <w:spacing w:after="240"/>
        <w:ind w:left="567" w:hanging="567"/>
        <w:rPr>
          <w:color w:val="000000"/>
        </w:rPr>
      </w:pPr>
      <w:r w:rsidRPr="00F466C8">
        <w:rPr>
          <w:color w:val="000000"/>
        </w:rPr>
        <w:lastRenderedPageBreak/>
        <w:t>Α.</w:t>
      </w:r>
      <w:r w:rsidRPr="00F466C8">
        <w:rPr>
          <w:color w:val="000000"/>
        </w:rPr>
        <w:tab/>
      </w:r>
      <w:r w:rsidRPr="00F466C8">
        <w:rPr>
          <w:color w:val="000000"/>
        </w:rPr>
        <w:tab/>
        <w:t xml:space="preserve">λαμβάνοντας υπόψη ότι ο προϋπολογισμός που προτάθηκε στις 10 Φεβρουαρίου 2025 από τον Γενικό Γραμματέα για το προσχέδιο κατάστασης προβλέψεων του Κοινοβουλίου για το 2026 ανέρχεται σε 2 641 609 620 EUR και αντιπροσωπεύει αύξηση κατά 4,30 % ή 108 914 512 EUR σε σύγκριση με τον προϋπολογισμό του 2025· </w:t>
      </w:r>
    </w:p>
    <w:p w:rsidR="006012AF" w:rsidRPr="00F466C8" w:rsidRDefault="006012AF" w:rsidP="006012AF">
      <w:pPr>
        <w:widowControl/>
        <w:tabs>
          <w:tab w:val="left" w:pos="357"/>
        </w:tabs>
        <w:spacing w:after="240"/>
        <w:ind w:left="567" w:hanging="567"/>
        <w:rPr>
          <w:color w:val="000000"/>
        </w:rPr>
      </w:pPr>
      <w:r w:rsidRPr="00F466C8">
        <w:rPr>
          <w:color w:val="000000"/>
        </w:rPr>
        <w:t>Β.</w:t>
      </w:r>
      <w:r w:rsidRPr="00F466C8">
        <w:rPr>
          <w:color w:val="000000"/>
        </w:rPr>
        <w:tab/>
      </w:r>
      <w:r w:rsidRPr="00F466C8">
        <w:rPr>
          <w:color w:val="000000"/>
        </w:rPr>
        <w:tab/>
        <w:t xml:space="preserve">λαμβάνοντας υπόψη ότι ο ετήσιος πληθωρισμός της Ένωσης ήταν 2,8 % τον Ιανουάριο του 2025, σύμφωνα με την </w:t>
      </w:r>
      <w:proofErr w:type="spellStart"/>
      <w:r w:rsidRPr="00F466C8">
        <w:rPr>
          <w:color w:val="000000"/>
        </w:rPr>
        <w:t>Eurostat</w:t>
      </w:r>
      <w:proofErr w:type="spellEnd"/>
      <w:r w:rsidRPr="00F466C8">
        <w:rPr>
          <w:color w:val="000000"/>
        </w:rPr>
        <w:t>, από 2,7 % τον Δεκέμβριο του 2024· λαμβάνοντας υπόψη ότι το επίπεδο των δαπανών στον τομέα 7 του πολυετούς δημοσιονομικού πλαισίου (ΠΔΠ) 2021-2027 βασίζεται σε ετήσια αύξηση ύψους 2 %·</w:t>
      </w:r>
    </w:p>
    <w:p w:rsidR="006012AF" w:rsidRPr="00F466C8" w:rsidRDefault="006012AF" w:rsidP="006012AF">
      <w:pPr>
        <w:widowControl/>
        <w:tabs>
          <w:tab w:val="left" w:pos="357"/>
        </w:tabs>
        <w:spacing w:after="240"/>
        <w:ind w:left="567" w:hanging="567"/>
        <w:rPr>
          <w:color w:val="000000"/>
        </w:rPr>
      </w:pPr>
      <w:r w:rsidRPr="00F466C8">
        <w:rPr>
          <w:color w:val="000000"/>
        </w:rPr>
        <w:t>Γ.</w:t>
      </w:r>
      <w:r w:rsidRPr="00F466C8">
        <w:rPr>
          <w:color w:val="000000"/>
        </w:rPr>
        <w:tab/>
      </w:r>
      <w:r w:rsidRPr="00F466C8">
        <w:rPr>
          <w:color w:val="000000"/>
        </w:rPr>
        <w:tab/>
        <w:t xml:space="preserve">λαμβάνοντας υπόψη ότι η αξιοπιστία του Κοινοβουλίου εξαρτάται από την ικανότητά του να επιτυγχάνει αποτελέσματα όσον αφορά το βασικό δημοσιονομικό, νομοθετικό και ελεγκτικό έργο του με βάση τα υψηλότερα δυνατά πρότυπα, δίνοντας παράλληλα το παράδειγμα έναντι άλλων θεσμικών οργάνων της Ένωσης για τον σχεδιασμό και την εκτέλεση των δαπανών του με σύνεση και αποδοτικότητα και για την αποτύπωση της επικρατούσας οικονομικής πραγματικότητας· </w:t>
      </w:r>
    </w:p>
    <w:p w:rsidR="006012AF" w:rsidRPr="00F466C8" w:rsidRDefault="006012AF" w:rsidP="006012AF">
      <w:pPr>
        <w:widowControl/>
        <w:spacing w:after="240"/>
        <w:ind w:left="567" w:hanging="567"/>
        <w:rPr>
          <w:b/>
          <w:i/>
          <w:color w:val="000000"/>
        </w:rPr>
      </w:pPr>
      <w:r w:rsidRPr="00F466C8">
        <w:rPr>
          <w:b/>
          <w:i/>
          <w:color w:val="000000"/>
        </w:rPr>
        <w:t>Γενικό πλαίσιο</w:t>
      </w:r>
    </w:p>
    <w:p w:rsidR="006012AF" w:rsidRPr="004A6E63" w:rsidRDefault="004A6E63" w:rsidP="004A6E63">
      <w:pPr>
        <w:widowControl/>
        <w:spacing w:after="240"/>
        <w:ind w:left="567" w:hanging="570"/>
        <w:rPr>
          <w:color w:val="000000"/>
        </w:rPr>
      </w:pPr>
      <w:r w:rsidRPr="002A32F8">
        <w:rPr>
          <w:color w:val="000000"/>
        </w:rPr>
        <w:t>1.</w:t>
      </w:r>
      <w:r w:rsidRPr="002A32F8">
        <w:rPr>
          <w:color w:val="000000"/>
        </w:rPr>
        <w:tab/>
      </w:r>
      <w:r w:rsidR="006012AF" w:rsidRPr="004A6E63">
        <w:rPr>
          <w:color w:val="000000"/>
        </w:rPr>
        <w:t>εκφράζει την ανησυχία του για την κατάσταση του τομέα 7 στο τρέχον ΠΔΠ· υπενθυμίζει ότι οι περιορισμοί είναι αποτέλεσμα των περικοπών που εφάρμοσε το Συμβούλιο στην ήδη εξαιρετικά χαμηλή αρχική πρόταση της Επιτροπής κατά την επίτευξη συμφωνίας για το τρέχον ΠΔΠ 2021-2027· εκφράζει τη λύπη του για την αντίθεση του Συμβουλίου στην πρόταση της Επιτροπής να αυξηθεί το ανώτατο όριο του τομέα 7 στην αναθεώρηση του ΠΔΠ από το 2024· επισημαίνει το γεγονός ότι κατά την αναθεώρηση του ΠΔΠ δεν διευθετήθηκε το ζήτημα του ανώτατου ορίου του τομέα 7· επισημαίνει ότι το προβλεπόμενο αρνητικό περιθώριο για το 2026 προϋποθέτει τη χρήση ειδικών μέσων στον τομέα 7 για τον σκοπό αυτό·</w:t>
      </w:r>
    </w:p>
    <w:p w:rsidR="006012AF" w:rsidRPr="004A6E63" w:rsidRDefault="004A6E63" w:rsidP="004A6E63">
      <w:pPr>
        <w:widowControl/>
        <w:spacing w:after="240"/>
        <w:ind w:left="567" w:hanging="570"/>
        <w:rPr>
          <w:color w:val="000000"/>
        </w:rPr>
      </w:pPr>
      <w:r w:rsidRPr="002A32F8">
        <w:rPr>
          <w:color w:val="000000"/>
        </w:rPr>
        <w:t>2.</w:t>
      </w:r>
      <w:r w:rsidRPr="002A32F8">
        <w:rPr>
          <w:color w:val="000000"/>
        </w:rPr>
        <w:tab/>
      </w:r>
      <w:r w:rsidR="006012AF" w:rsidRPr="004A6E63">
        <w:rPr>
          <w:color w:val="000000"/>
        </w:rPr>
        <w:t>εγκρίνει τη συμφωνία που επιτεύχθηκε κατά τη συνδιαλλαγή μεταξύ του Προεδρείου και της Επιτροπής Προϋπολογισμών στις 18 Μαρτίου 2025 για τον καθορισμό της αύξησης σε σχέση με τον προϋπολογισμό του 2025 σε 4,09 %, που αντιστοιχεί σε συνολικό επίπεδο προβλέψεων 2 636 241 620 EUR για το 2026, και για ανάλογη μείωση των πιστώσεων που προτείνονται στις ακόλουθες γραμμές του προϋπολογισμού, συνολικού ύψους 12 378 000 EUR:</w:t>
      </w:r>
    </w:p>
    <w:p w:rsidR="006012AF" w:rsidRPr="002A32F8" w:rsidRDefault="006012AF" w:rsidP="002A32F8">
      <w:pPr>
        <w:pStyle w:val="ListParagraph"/>
        <w:widowControl/>
        <w:spacing w:after="240"/>
        <w:ind w:left="567"/>
        <w:contextualSpacing w:val="0"/>
        <w:rPr>
          <w:color w:val="000000"/>
        </w:rPr>
      </w:pPr>
      <w:r w:rsidRPr="002A32F8">
        <w:rPr>
          <w:color w:val="000000"/>
        </w:rPr>
        <w:t>1 0 0 6 — Αποζημιώσεις γενικών εξόδων, 1 4 2 — Ανάθεση μεταφραστικών υπηρεσιών εκτός θεσμικού οργάνου, 2 0 0 0 — Μισθώματα, 2 0 0 7 — Ανέγερση κτιρίων και διαρρύθμιση των χώρων, 2 0 2 4 — Κατανάλωση ενέργειας, 2 1 0 1 — Διαχείριση επιχειρησιακών εφαρμογών, 3 2 0 — Απόκτηση εμπειρογνωμοσύνης, 3 2 4 3 — Κέντρα Επισκεπτών του Ευρωπαϊκού Κοινοβουλίου, 3 2 4 8 — Δαπάνες για την πληροφόρηση με οπτικοακουστικά μέσα, 4 4 — Συνεδριάσεις και άλλες δραστηριότητες των βουλευτών και πρώην βουλευτών·</w:t>
      </w:r>
    </w:p>
    <w:p w:rsidR="006012AF" w:rsidRPr="002A32F8" w:rsidRDefault="006012AF" w:rsidP="002A32F8">
      <w:pPr>
        <w:pStyle w:val="ListParagraph"/>
        <w:widowControl/>
        <w:spacing w:after="240"/>
        <w:ind w:left="567"/>
        <w:contextualSpacing w:val="0"/>
        <w:rPr>
          <w:color w:val="000000"/>
        </w:rPr>
      </w:pPr>
      <w:r w:rsidRPr="002A32F8">
        <w:rPr>
          <w:color w:val="000000"/>
        </w:rPr>
        <w:t>επιπλέον, αποφασίστηκε να αυξηθεί το επίπεδο των δαπανών του προσχεδίου κατάστασης προβλέψεων που ενέκρινε το Προεδρείο στις 10 Μαρτίου 2025 κατά 7 010 000 EUR και να αυξηθούν αναλόγως οι πιστώσεις που προτείνονται στις ακόλουθες γραμμές του προϋπολογισμού:</w:t>
      </w:r>
    </w:p>
    <w:p w:rsidR="006012AF" w:rsidRPr="002A32F8" w:rsidRDefault="006012AF" w:rsidP="002A32F8">
      <w:pPr>
        <w:pStyle w:val="ListParagraph"/>
        <w:widowControl/>
        <w:spacing w:after="240"/>
        <w:ind w:left="567"/>
        <w:contextualSpacing w:val="0"/>
        <w:rPr>
          <w:color w:val="000000"/>
        </w:rPr>
      </w:pPr>
      <w:r w:rsidRPr="002A32F8">
        <w:rPr>
          <w:color w:val="000000"/>
        </w:rPr>
        <w:t xml:space="preserve">1 2 0 0 — Αποδοχές και αποζημιώσεις, 1 6 3 0 — Κοινωνική υπηρεσία: κοινωνικές δαπάνες, 4 0 0 — Διοικητικές δαπάνες λειτουργίας, ενημερωτικές δραστηριότητες και </w:t>
      </w:r>
      <w:r w:rsidRPr="002A32F8">
        <w:rPr>
          <w:color w:val="000000"/>
        </w:rPr>
        <w:lastRenderedPageBreak/>
        <w:t>δαπάνες των πολιτικών ομάδων και των μη εγγεγραμμένων βουλευτών, και 4</w:t>
      </w:r>
      <w:r w:rsidR="004A6E63">
        <w:rPr>
          <w:color w:val="000000"/>
          <w:lang w:val="en-GB"/>
        </w:rPr>
        <w:t> </w:t>
      </w:r>
      <w:r w:rsidRPr="002A32F8">
        <w:rPr>
          <w:color w:val="000000"/>
        </w:rPr>
        <w:t>0</w:t>
      </w:r>
      <w:r w:rsidR="004A6E63">
        <w:rPr>
          <w:color w:val="000000"/>
          <w:lang w:val="en-GB"/>
        </w:rPr>
        <w:t> </w:t>
      </w:r>
      <w:r w:rsidRPr="002A32F8">
        <w:rPr>
          <w:color w:val="000000"/>
        </w:rPr>
        <w:t>3 — Χρηματοδότηση των ευρωπαϊκών πολιτικών ιδρυμάτων</w:t>
      </w:r>
    </w:p>
    <w:p w:rsidR="006012AF" w:rsidRPr="002A32F8" w:rsidRDefault="006012AF" w:rsidP="002A32F8">
      <w:pPr>
        <w:pStyle w:val="ListParagraph"/>
        <w:widowControl/>
        <w:spacing w:after="240"/>
        <w:ind w:left="567"/>
        <w:contextualSpacing w:val="0"/>
        <w:rPr>
          <w:color w:val="000000"/>
        </w:rPr>
      </w:pPr>
      <w:r w:rsidRPr="002A32F8">
        <w:rPr>
          <w:color w:val="000000"/>
        </w:rPr>
        <w:t>τέλος, συμφωνήθηκε να τροποποιηθούν οι παρατηρήσεις του προϋπολογισμού στη θέση 1 6</w:t>
      </w:r>
      <w:r w:rsidR="004A6E63">
        <w:rPr>
          <w:color w:val="000000"/>
          <w:lang w:val="en-GB"/>
        </w:rPr>
        <w:t> </w:t>
      </w:r>
      <w:r w:rsidRPr="002A32F8">
        <w:rPr>
          <w:color w:val="000000"/>
        </w:rPr>
        <w:t>3 0 — Κοινωνική υπηρεσία: κοινωνικές δαπάνες, ώστε να συμπεριληφθεί αναφορά στην επιτροπή ΔΚΒ·</w:t>
      </w:r>
    </w:p>
    <w:p w:rsidR="006012AF" w:rsidRPr="004A6E63" w:rsidRDefault="004A6E63" w:rsidP="004A6E63">
      <w:pPr>
        <w:widowControl/>
        <w:spacing w:after="240"/>
        <w:ind w:left="567" w:hanging="570"/>
        <w:rPr>
          <w:color w:val="000000"/>
        </w:rPr>
      </w:pPr>
      <w:r w:rsidRPr="002A32F8">
        <w:rPr>
          <w:color w:val="000000"/>
        </w:rPr>
        <w:t>3.</w:t>
      </w:r>
      <w:r w:rsidRPr="002A32F8">
        <w:rPr>
          <w:color w:val="000000"/>
        </w:rPr>
        <w:tab/>
      </w:r>
      <w:r w:rsidR="006012AF" w:rsidRPr="004A6E63">
        <w:rPr>
          <w:color w:val="000000"/>
        </w:rPr>
        <w:t>υπενθυμίζει ότι σχεδόν τα δύο τρίτα του προϋπολογισμού καθορίζονται από υποχρεώσεις που προβλέπονται στον Κανονισμό Υπηρεσιακής Κατάστασης· σημειώνει ότι από την αύξηση κατά 103,5 εκατ</w:t>
      </w:r>
      <w:r w:rsidR="002A32F8" w:rsidRPr="004A6E63">
        <w:rPr>
          <w:color w:val="000000"/>
        </w:rPr>
        <w:t>ομμύρια</w:t>
      </w:r>
      <w:r w:rsidR="006012AF" w:rsidRPr="004A6E63">
        <w:rPr>
          <w:color w:val="000000"/>
        </w:rPr>
        <w:t xml:space="preserve"> EUR σε σύγκριση με τον προϋπολογισμό του 2025, τα 85,3 εκατ</w:t>
      </w:r>
      <w:r w:rsidR="002A32F8" w:rsidRPr="004A6E63">
        <w:rPr>
          <w:color w:val="000000"/>
        </w:rPr>
        <w:t>ομμύρια</w:t>
      </w:r>
      <w:r w:rsidR="006012AF" w:rsidRPr="004A6E63">
        <w:rPr>
          <w:color w:val="000000"/>
        </w:rPr>
        <w:t xml:space="preserve"> EUR οφείλονται σε οικονομικές υποχρεώσεις που προβλέπονται στον Κανονισμό Υπηρεσιακής Κατάστασης, κυρίως για τις αναπροσαρμογές των μισθών των μόνιμων και έκτακτων υπαλλήλων (52,7 εκατ</w:t>
      </w:r>
      <w:r w:rsidR="002A32F8" w:rsidRPr="004A6E63">
        <w:rPr>
          <w:color w:val="000000"/>
        </w:rPr>
        <w:t>ομμύρια</w:t>
      </w:r>
      <w:r w:rsidR="006012AF" w:rsidRPr="004A6E63">
        <w:rPr>
          <w:color w:val="000000"/>
        </w:rPr>
        <w:t xml:space="preserve"> EUR), συμβασιούχων υπαλλήλων (9,2 εκατ</w:t>
      </w:r>
      <w:r w:rsidR="002A32F8" w:rsidRPr="004A6E63">
        <w:rPr>
          <w:color w:val="000000"/>
        </w:rPr>
        <w:t>ομμύρια</w:t>
      </w:r>
      <w:r w:rsidR="006012AF" w:rsidRPr="004A6E63">
        <w:rPr>
          <w:color w:val="000000"/>
        </w:rPr>
        <w:t xml:space="preserve"> EUR) και διαπιστευμένων κοινοβουλευτικών βοηθών (15,1 εκατ</w:t>
      </w:r>
      <w:r w:rsidR="002A32F8" w:rsidRPr="004A6E63">
        <w:rPr>
          <w:color w:val="000000"/>
        </w:rPr>
        <w:t>ομμύρια</w:t>
      </w:r>
      <w:r w:rsidR="006012AF" w:rsidRPr="004A6E63">
        <w:rPr>
          <w:color w:val="000000"/>
        </w:rPr>
        <w:t xml:space="preserve"> EUR)· υπενθυμίζει ότι η τιμαριθμική αναπροσαρμογή των μισθών, σύμφωνα με τον κανονισμό υπηρεσιακής κατάστασης και το καθεστώς των βουλευτών του Ευρωπαϊκού Κοινοβουλίου, προβλέπεται επί του παρόντος από την Επιτροπή για τον Απρίλιο του 2025, τον Ιούλιο του 2025, τον Απρίλιο του 2026 και τον Ιούλιο του 2026 σε 1,2 %, 4,6 %, 0,6 % και 3,4 % αντίστοιχα·</w:t>
      </w:r>
    </w:p>
    <w:p w:rsidR="006012AF" w:rsidRPr="004A6E63" w:rsidRDefault="004A6E63" w:rsidP="004A6E63">
      <w:pPr>
        <w:widowControl/>
        <w:spacing w:after="240"/>
        <w:ind w:left="567" w:hanging="570"/>
        <w:rPr>
          <w:color w:val="000000"/>
        </w:rPr>
      </w:pPr>
      <w:r w:rsidRPr="002A32F8">
        <w:rPr>
          <w:color w:val="000000"/>
        </w:rPr>
        <w:t>4.</w:t>
      </w:r>
      <w:r w:rsidRPr="002A32F8">
        <w:rPr>
          <w:color w:val="000000"/>
        </w:rPr>
        <w:tab/>
      </w:r>
      <w:r w:rsidR="006012AF" w:rsidRPr="004A6E63">
        <w:rPr>
          <w:color w:val="000000"/>
        </w:rPr>
        <w:t>σημειώνει ότι, για τρίτο κατά σειρά έτος, το Κοινοβούλιο δεν ζητεί πρόσθετες θέσεις για το 2026·</w:t>
      </w:r>
    </w:p>
    <w:p w:rsidR="006012AF" w:rsidRPr="004A6E63" w:rsidRDefault="004A6E63" w:rsidP="004A6E63">
      <w:pPr>
        <w:widowControl/>
        <w:spacing w:after="240"/>
        <w:ind w:left="567" w:hanging="570"/>
        <w:rPr>
          <w:color w:val="000000"/>
        </w:rPr>
      </w:pPr>
      <w:r w:rsidRPr="002A32F8">
        <w:rPr>
          <w:color w:val="000000"/>
        </w:rPr>
        <w:t>5.</w:t>
      </w:r>
      <w:r w:rsidRPr="002A32F8">
        <w:rPr>
          <w:color w:val="000000"/>
        </w:rPr>
        <w:tab/>
      </w:r>
      <w:r w:rsidR="006012AF" w:rsidRPr="004A6E63">
        <w:rPr>
          <w:color w:val="000000"/>
        </w:rPr>
        <w:t>σημειώνει ότι η αύξηση των μη καταστατικών δαπανών μεταξύ 2025 και 2026 είναι 1,96 %·</w:t>
      </w:r>
    </w:p>
    <w:p w:rsidR="006012AF" w:rsidRPr="004A6E63" w:rsidRDefault="004A6E63" w:rsidP="004A6E63">
      <w:pPr>
        <w:widowControl/>
        <w:spacing w:after="240"/>
        <w:ind w:left="567" w:hanging="570"/>
        <w:rPr>
          <w:color w:val="000000"/>
        </w:rPr>
      </w:pPr>
      <w:r w:rsidRPr="002A32F8">
        <w:rPr>
          <w:color w:val="000000"/>
        </w:rPr>
        <w:t>6.</w:t>
      </w:r>
      <w:r w:rsidRPr="002A32F8">
        <w:rPr>
          <w:color w:val="000000"/>
        </w:rPr>
        <w:tab/>
      </w:r>
      <w:r w:rsidR="006012AF" w:rsidRPr="004A6E63">
        <w:rPr>
          <w:color w:val="000000"/>
        </w:rPr>
        <w:t>εκφράζει την ικανοποίησή του για την πρωτοβουλία του Γενικού Γραμματέα να διενεργήσει αναλυτική εξέταση με στόχο να εντοπιστούν ευκαιρίες για διοικητική απλούστευση, να εξαλειφθούν ανεπάρκειες και να διασφαλιστούν απτές μειώσεις του κόστους, ώστε με τον τρόπο αυτό να ενισχυθεί η αποδοτικότητα και να εξασφαλιστεί η έξυπνη χρήση των πόρων· ζητεί από τον Γενικό Γραμματέα να ενημερώνει ανά εξάμηνο την Επιτροπή Προϋπολογισμών σχετικά με τα μέτρα που λαμβάνονται και το σχέδιο δράσης για την απλούστευση καθώς και τον αντίκτυπό τους όσον αφορά τον προϋπολογισμό και το προσωπικό· υπογραμμίζει ότι οι διοικητικές διαδικασίες και η διαχείριση των ανθρώπινων πόρων αντιπροσωπεύουν μεγάλο φόρτο για τους βουλευτές, ιδίως όσον αφορά την πρόσληψη τοπικών βοηθών, και ζητεί να απλουστευθούν οι διαδικασίες στον τομέα αυτόν·</w:t>
      </w:r>
    </w:p>
    <w:p w:rsidR="006012AF" w:rsidRPr="00F466C8" w:rsidRDefault="004A6E63" w:rsidP="004A6E63">
      <w:pPr>
        <w:pStyle w:val="NormalHanging12a"/>
        <w:ind w:hanging="570"/>
      </w:pPr>
      <w:r w:rsidRPr="00F466C8">
        <w:t>7.</w:t>
      </w:r>
      <w:r w:rsidRPr="00F466C8">
        <w:tab/>
      </w:r>
      <w:r w:rsidR="006012AF" w:rsidRPr="00F466C8">
        <w:t>λαμβάνει υπόψη ότι ο προϋπολογισμός του Κοινοβουλίου θα πρέπει να καθοριστεί σε ρεαλιστική βάση, σύμφωνα με τις αρχές της δημοσιονομικής πειθαρχίας και της χρηστής δημοσιονομικής διαχείρισης· τονίζει ότι είναι σημαντικό να διασφαλιστεί ότι η δημοσιονομική σύνεση και ασφάλεια παραμένουν απόλυτες προτεραιότητες, εξασφαλίζοντας παράλληλα ότι τα μέτρα αυτά δεν παρεμποδίζουν την αποδοτικότητα, την αποτελεσματικότητα και την επιχειρησιακή ικανότητα του θεσμικού οργάνου και του απαραίτητου προσωπικού του να εκτελεί επιτυχώς τα καθήκοντά του· τονίζει ότι, δεδομένου του γεωπολιτικού πλαισίου και των επενδύσεων που θα πρέπει να πραγματοποιήσει η Ένωση για τη στρατηγική αυτονομία της, το Κοινοβούλιο πρέπει να δώσει το παράδειγμα στη διαχείριση του προϋπολογισμού του·</w:t>
      </w:r>
    </w:p>
    <w:p w:rsidR="006012AF" w:rsidRPr="00F466C8" w:rsidRDefault="004A6E63" w:rsidP="004A6E63">
      <w:pPr>
        <w:pStyle w:val="NormalHanging12a"/>
        <w:ind w:hanging="570"/>
      </w:pPr>
      <w:r w:rsidRPr="00F466C8">
        <w:t>8.</w:t>
      </w:r>
      <w:r w:rsidRPr="00F466C8">
        <w:tab/>
      </w:r>
      <w:r w:rsidR="006012AF" w:rsidRPr="00F466C8">
        <w:t xml:space="preserve">τονίζει τον ρόλο του Κοινοβουλίου στη διαμόρφωση ευρωπαϊκής πολιτικής συνείδησης και στην προώθηση των αξιών της Ένωσης και πολιτικών όπως η ψηφιακή και η </w:t>
      </w:r>
      <w:r w:rsidR="006012AF" w:rsidRPr="00F466C8">
        <w:lastRenderedPageBreak/>
        <w:t>πράσινη μετάβαση· τονίζει ότι η διαφάνεια, η λογοδοσία, η ισότητα των φύλων και η ακεραιότητα αποτελούν βασικές αρχές εντός των θεσμικών οργάνων της Ένωσης και ιδίως του Κοινοβουλίου ως εστίας της ευρωπαϊκής δημοκρατίας·</w:t>
      </w:r>
    </w:p>
    <w:p w:rsidR="006012AF" w:rsidRPr="002A32F8" w:rsidRDefault="006012AF" w:rsidP="002A32F8">
      <w:pPr>
        <w:widowControl/>
        <w:spacing w:after="240"/>
        <w:ind w:left="-3"/>
        <w:rPr>
          <w:b/>
          <w:i/>
          <w:color w:val="000000"/>
        </w:rPr>
      </w:pPr>
      <w:r w:rsidRPr="002A32F8">
        <w:rPr>
          <w:b/>
          <w:i/>
          <w:color w:val="000000"/>
        </w:rPr>
        <w:t>Ενίσχυση των βασικών λειτουργιών του Κοινοβουλίου</w:t>
      </w:r>
    </w:p>
    <w:p w:rsidR="006012AF" w:rsidRPr="00F466C8" w:rsidRDefault="004A6E63" w:rsidP="004A6E63">
      <w:pPr>
        <w:pStyle w:val="NormalHanging12a"/>
        <w:ind w:hanging="570"/>
      </w:pPr>
      <w:r w:rsidRPr="00F466C8">
        <w:t>9.</w:t>
      </w:r>
      <w:r w:rsidRPr="00F466C8">
        <w:tab/>
      </w:r>
      <w:r w:rsidR="006012AF" w:rsidRPr="00F466C8">
        <w:t xml:space="preserve">λαμβάνει υπόψη τις τέσσερις νέες θεματικές Γενικές Διευθύνσεις (ΓΔ) που δημιουργήθηκαν τον Σεπτέμβριο του 2024 από την προηγούμενη Γενική Διεύθυνση Εσωτερικών Πολιτικών και είναι αρμόδιες για νομοθετικές, δημοσιονομικές και ελεγκτικές δραστηριότητες, προκειμένου να βελτιωθεί η λειτουργία του Κοινοβουλίου ως </w:t>
      </w:r>
      <w:proofErr w:type="spellStart"/>
      <w:r w:rsidR="006012AF" w:rsidRPr="00F466C8">
        <w:t>συννομοθέτη</w:t>
      </w:r>
      <w:proofErr w:type="spellEnd"/>
      <w:r w:rsidR="006012AF" w:rsidRPr="00F466C8">
        <w:t>, ως σκέλους της αρμόδιας για τον προϋπολογισμό αρχής και ως αρμόδιας για την απαλλαγή αρχής· ζητεί από τον Γενικό Γραμματέα να ενημερώνει τακτικά την Επιτροπή Προϋπολογισμών σχετικά με την εξέλιξη της εργασίας και του προσωπικού στις εν λόγω ΓΔ·</w:t>
      </w:r>
    </w:p>
    <w:p w:rsidR="006012AF" w:rsidRPr="00F466C8" w:rsidRDefault="004A6E63" w:rsidP="004A6E63">
      <w:pPr>
        <w:pStyle w:val="NormalHanging12a"/>
        <w:ind w:hanging="570"/>
      </w:pPr>
      <w:r w:rsidRPr="00F466C8">
        <w:t>10.</w:t>
      </w:r>
      <w:r w:rsidRPr="00F466C8">
        <w:tab/>
      </w:r>
      <w:r w:rsidR="006012AF" w:rsidRPr="00F466C8">
        <w:t>αναγνωρίζει την ανάγκη για περισσότερη λήψη πολιτικών αποφάσεων βάσει αποδεικτικών στοιχείων και γεγονότων· λαμβάνει υπόψη τον προϋπολογισμό ύψους 16,75 εκατ</w:t>
      </w:r>
      <w:r w:rsidR="002A32F8">
        <w:t>ομμυρίων</w:t>
      </w:r>
      <w:r w:rsidR="006012AF" w:rsidRPr="00F466C8">
        <w:t xml:space="preserve"> EUR για την ενίσχυση της διοικητικής ικανότητας του Κοινοβουλίου να στηρίζει τους βουλευτές στο κοινοβουλευτικό τους έργο και να αντιμετωπίζει την πολυπλοκότητα και την αβεβαιότητα·</w:t>
      </w:r>
    </w:p>
    <w:p w:rsidR="006012AF" w:rsidRPr="004A6E63" w:rsidRDefault="004A6E63" w:rsidP="004A6E63">
      <w:pPr>
        <w:widowControl/>
        <w:spacing w:after="240"/>
        <w:ind w:left="567" w:hanging="570"/>
        <w:rPr>
          <w:color w:val="000000"/>
        </w:rPr>
      </w:pPr>
      <w:r w:rsidRPr="002A32F8">
        <w:rPr>
          <w:color w:val="000000"/>
        </w:rPr>
        <w:t>11.</w:t>
      </w:r>
      <w:r w:rsidRPr="002A32F8">
        <w:rPr>
          <w:color w:val="000000"/>
        </w:rPr>
        <w:tab/>
      </w:r>
      <w:r w:rsidR="006012AF" w:rsidRPr="004A6E63">
        <w:rPr>
          <w:color w:val="000000"/>
        </w:rPr>
        <w:t>τονίζει τον καίριο ρόλο των πολιτικών ομάδων στην παροχή εμπειρογνωμοσύνης και πολιτικής στήριξης στους βουλευτές στο νομοθετικό και κοινοβουλευτικό τους έργο· υπογραμμίζει την ανάγκη να διασφαλιστεί ο σημαντικός στόχος της ενίσχυσης της ικανότητας του Κοινοβουλίου να στηρίζει το έργο των βουλευτών·</w:t>
      </w:r>
    </w:p>
    <w:p w:rsidR="006012AF" w:rsidRPr="002A32F8" w:rsidRDefault="006012AF" w:rsidP="002A32F8">
      <w:pPr>
        <w:widowControl/>
        <w:spacing w:after="240"/>
        <w:ind w:left="-3"/>
        <w:rPr>
          <w:b/>
          <w:i/>
          <w:color w:val="000000"/>
        </w:rPr>
      </w:pPr>
      <w:r w:rsidRPr="002A32F8">
        <w:rPr>
          <w:b/>
          <w:i/>
          <w:color w:val="000000"/>
        </w:rPr>
        <w:t xml:space="preserve">Ψηφιακή μετάβαση </w:t>
      </w:r>
    </w:p>
    <w:p w:rsidR="006012AF" w:rsidRPr="004A6E63" w:rsidRDefault="004A6E63" w:rsidP="004A6E63">
      <w:pPr>
        <w:widowControl/>
        <w:spacing w:after="240"/>
        <w:ind w:left="567" w:hanging="570"/>
        <w:rPr>
          <w:color w:val="000000"/>
        </w:rPr>
      </w:pPr>
      <w:r w:rsidRPr="002A32F8">
        <w:rPr>
          <w:color w:val="000000"/>
        </w:rPr>
        <w:t>12.</w:t>
      </w:r>
      <w:r w:rsidRPr="002A32F8">
        <w:rPr>
          <w:color w:val="000000"/>
        </w:rPr>
        <w:tab/>
      </w:r>
      <w:r w:rsidR="006012AF" w:rsidRPr="004A6E63">
        <w:rPr>
          <w:color w:val="000000"/>
        </w:rPr>
        <w:t>υπογραμμίζει ότι η κυβερνοασφάλεια του Κοινοβουλίου αποτελεί βασική προτεραιότητα· σημειώνει ότι ο συνολικός προϋπολογισμός ΤΠ αντιπροσωπεύει το 7,40 % του συνολικού προϋπολογισμού στις εκτιμήσεις για το 2026· τονίζει τη σημασία μιας υγιούς υποδομής κυβερνοασφάλειας σε γεωπολιτικά ταραχώδεις καιρούς και εκφράζει την ικανοποίησή του για την αύξηση των πιστώσεων που προορίζονται για την κυβερνοασφάλεια· υποστηρίζει το σχέδιο σταδιακής αύξησης των δημοσιονομικών πιστώσεων για την κυβερνοασφάλεια, ώστε να φτάσει στο 10 % του προϋπολογισμού του Κοινοβουλίου για τις ΤΠΕ έως το 2027·</w:t>
      </w:r>
    </w:p>
    <w:p w:rsidR="006012AF" w:rsidRPr="004A6E63" w:rsidRDefault="004A6E63" w:rsidP="004A6E63">
      <w:pPr>
        <w:widowControl/>
        <w:spacing w:after="240"/>
        <w:ind w:left="567" w:hanging="570"/>
        <w:rPr>
          <w:color w:val="000000"/>
        </w:rPr>
      </w:pPr>
      <w:r w:rsidRPr="002A32F8">
        <w:rPr>
          <w:color w:val="000000"/>
        </w:rPr>
        <w:t>13.</w:t>
      </w:r>
      <w:r w:rsidRPr="002A32F8">
        <w:rPr>
          <w:color w:val="000000"/>
        </w:rPr>
        <w:tab/>
      </w:r>
      <w:r w:rsidR="006012AF" w:rsidRPr="004A6E63">
        <w:rPr>
          <w:color w:val="000000"/>
        </w:rPr>
        <w:t xml:space="preserve">εκφράζει την ικανοποίησή του για την έγκριση από το Προεδρείο, στις 10 Φεβρουαρίου 2025, του πλαισίου για ένα εσωτερικό πλαίσιο διαχείρισης, διακυβέρνησης και ελέγχου κινδύνων κυβερνοασφάλειας· υπενθυμίζει ότι οι επενδύσεις στην κυβερνοασφάλεια είναι καίριας σημασίας για την προστασία της δημοκρατικής φωνής του Κοινοβουλίου και της Ένωσης· </w:t>
      </w:r>
    </w:p>
    <w:p w:rsidR="006012AF" w:rsidRPr="004A6E63" w:rsidRDefault="004A6E63" w:rsidP="004A6E63">
      <w:pPr>
        <w:widowControl/>
        <w:spacing w:after="240"/>
        <w:ind w:left="567" w:hanging="570"/>
        <w:rPr>
          <w:color w:val="000000"/>
        </w:rPr>
      </w:pPr>
      <w:r w:rsidRPr="002A32F8">
        <w:rPr>
          <w:color w:val="000000"/>
        </w:rPr>
        <w:t>14.</w:t>
      </w:r>
      <w:r w:rsidRPr="002A32F8">
        <w:rPr>
          <w:color w:val="000000"/>
        </w:rPr>
        <w:tab/>
      </w:r>
      <w:r w:rsidR="006012AF" w:rsidRPr="004A6E63">
        <w:rPr>
          <w:color w:val="000000"/>
        </w:rPr>
        <w:t>εκφράζει την ικανοποίησή του για τις επενδύσεις στην τεχνητή νοημοσύνη (ΤΝ) που ανέρχονται στο 1 εκατ</w:t>
      </w:r>
      <w:r w:rsidR="002A32F8" w:rsidRPr="004A6E63">
        <w:rPr>
          <w:color w:val="000000"/>
        </w:rPr>
        <w:t>ομμύριο</w:t>
      </w:r>
      <w:r w:rsidR="006012AF" w:rsidRPr="004A6E63">
        <w:rPr>
          <w:color w:val="000000"/>
        </w:rPr>
        <w:t xml:space="preserve"> EUR· ζητεί να αυξηθεί η χρήση της ΤΝ προκειμένου να βελτιωθεί η αποτελεσματικότητα, λαμβανομένων παράλληλα υπόψη των σχετικών κινδύνων, ιδίως όσον αφορά τη δεοντολογία και την προστασία των δεδομένων· επισημαίνει τις δυνατότητες της ΤΝ για τον εξορθολογισμό των διοικητικών διαδικασιών· τονίζει ότι η ανάπτυξη της ΤΝ πρέπει να εξισορροπεί την καινοτομία με τις αναγκαίες διασφαλίσεις· σημειώνει ότι η ανάπτυξη της ΤΝ θα παρακολουθείται στενά σύμφωνα με τις αρχές που έχει θεσπίσει το Προεδρείο, οι οποίες περιλαμβάνουν, μεταξύ άλλων, ενδελεχή εκτίμηση κινδύνου με τη χρήση νέων τεχνολογιών· καλεί τη </w:t>
      </w:r>
      <w:r w:rsidR="006012AF" w:rsidRPr="004A6E63">
        <w:rPr>
          <w:color w:val="000000"/>
        </w:rPr>
        <w:lastRenderedPageBreak/>
        <w:t>Γραμματεία να παράσχει λύσεις, όπως εφαρμογές και εργαλεία, που θα τεθούν στη διάθεση των βουλευτών και του προσωπικού το συντομότερο δυνατόν·</w:t>
      </w:r>
    </w:p>
    <w:p w:rsidR="006012AF" w:rsidRPr="002A32F8" w:rsidRDefault="006012AF" w:rsidP="002A32F8">
      <w:pPr>
        <w:keepNext/>
        <w:widowControl/>
        <w:spacing w:after="240"/>
        <w:ind w:left="-3"/>
        <w:rPr>
          <w:b/>
          <w:i/>
          <w:color w:val="000000"/>
        </w:rPr>
      </w:pPr>
      <w:r w:rsidRPr="002A32F8">
        <w:rPr>
          <w:b/>
          <w:i/>
          <w:color w:val="000000"/>
        </w:rPr>
        <w:t>Πράσινη μετάβαση</w:t>
      </w:r>
    </w:p>
    <w:p w:rsidR="006012AF" w:rsidRPr="004A6E63" w:rsidRDefault="004A6E63" w:rsidP="004A6E63">
      <w:pPr>
        <w:widowControl/>
        <w:spacing w:after="240"/>
        <w:ind w:left="567" w:hanging="570"/>
        <w:rPr>
          <w:color w:val="000000"/>
        </w:rPr>
      </w:pPr>
      <w:r w:rsidRPr="002A32F8">
        <w:rPr>
          <w:color w:val="000000"/>
        </w:rPr>
        <w:t>15.</w:t>
      </w:r>
      <w:r w:rsidRPr="002A32F8">
        <w:rPr>
          <w:color w:val="000000"/>
        </w:rPr>
        <w:tab/>
      </w:r>
      <w:r w:rsidR="006012AF" w:rsidRPr="004A6E63">
        <w:rPr>
          <w:color w:val="000000"/>
        </w:rPr>
        <w:t>εκφράζει την ικανοποίησή του για τους στόχους του συστήματος περιβαλλοντικής διαχείρισης (EMAS) του Κοινοβουλίου για την περίοδο 2025 έως 2029· υπενθυμίζει ότι οι επενδύσεις ενεργειακής απόδοσης αποτελούν καλή μέθοδο για την επίτευξη της βέλτιστης σχέσης κόστους-οφέλους· λαμβάνει υπόψη τον προϋπολογισμό ύψους 8,45 εκατ</w:t>
      </w:r>
      <w:r w:rsidR="002A32F8" w:rsidRPr="004A6E63">
        <w:rPr>
          <w:color w:val="000000"/>
        </w:rPr>
        <w:t>ομμυρίων</w:t>
      </w:r>
      <w:r w:rsidR="006012AF" w:rsidRPr="004A6E63">
        <w:rPr>
          <w:color w:val="000000"/>
        </w:rPr>
        <w:t xml:space="preserve"> EUR για επενδύσεις υπέρ της ενεργειακής απόδοσης και του περιβάλλοντος σύμφωνα με τις εκτιμήσεις του 2026 για την περαιτέρω βελτίωση των περιβαλλοντικών επιδόσεων των κτιρίων του· σημειώνει ότι αυτό αντιστοιχεί σε αύξηση κατά 74 % σε σύγκριση με τον προϋπολογισμό του 2025· αναγνωρίζει, ωστόσο, ότι οι εν λόγω περιβαλλοντικές δράσεις αποτελούν μέρος της γραμμής του προϋπολογισμού «Κατασκευή κτιρίων και διαρρύθμιση χώρων» του 2007, της οποίας το γενικό σύνολο μειώθηκε κατά 3,7 εκατ</w:t>
      </w:r>
      <w:r w:rsidR="002A32F8" w:rsidRPr="004A6E63">
        <w:rPr>
          <w:color w:val="000000"/>
        </w:rPr>
        <w:t>ομμύρια</w:t>
      </w:r>
      <w:r w:rsidR="006012AF" w:rsidRPr="004A6E63">
        <w:rPr>
          <w:color w:val="000000"/>
        </w:rPr>
        <w:t xml:space="preserve"> EUR το 2026 έναντι του 2025·</w:t>
      </w:r>
    </w:p>
    <w:p w:rsidR="006012AF" w:rsidRPr="004A6E63" w:rsidRDefault="004A6E63" w:rsidP="004A6E63">
      <w:pPr>
        <w:widowControl/>
        <w:spacing w:after="240"/>
        <w:ind w:left="567" w:hanging="570"/>
        <w:rPr>
          <w:color w:val="000000"/>
        </w:rPr>
      </w:pPr>
      <w:r w:rsidRPr="002A32F8">
        <w:rPr>
          <w:color w:val="000000"/>
        </w:rPr>
        <w:t>16.</w:t>
      </w:r>
      <w:r w:rsidRPr="002A32F8">
        <w:rPr>
          <w:color w:val="000000"/>
        </w:rPr>
        <w:tab/>
      </w:r>
      <w:r w:rsidR="006012AF" w:rsidRPr="004A6E63">
        <w:rPr>
          <w:color w:val="000000"/>
        </w:rPr>
        <w:t>υπενθυμίζει ότι σχεδόν τα δύο τρίτα του αποτυπώματος άνθρακα του Κοινοβουλίου προέρχονται από τη μεταφορά ανθρώπων· ζητεί να μειωθούν σε λογικά επίπεδα τα ταξίδια για συνεδριάσεις που μπορούν να πραγματοποιηθούν αποτελεσματικά εξ αποστάσεως ή με υβριδικό τρόπο, και να προωθηθεί η μετάβαση σε εναλλακτικές λύσεις χαμηλών ανθρακούχων εκπομπών για όλα τα υπόλοιπα ταξίδια, εφόσον δεν επηρεάζεται η ποιότητα του νομοθετικού και πολιτικού έργου·</w:t>
      </w:r>
    </w:p>
    <w:p w:rsidR="006012AF" w:rsidRPr="004A6E63" w:rsidRDefault="004A6E63" w:rsidP="004A6E63">
      <w:pPr>
        <w:widowControl/>
        <w:spacing w:after="240"/>
        <w:ind w:left="567" w:hanging="570"/>
        <w:rPr>
          <w:color w:val="000000"/>
        </w:rPr>
      </w:pPr>
      <w:r w:rsidRPr="002A32F8">
        <w:rPr>
          <w:color w:val="000000"/>
        </w:rPr>
        <w:t>17.</w:t>
      </w:r>
      <w:r w:rsidRPr="002A32F8">
        <w:rPr>
          <w:color w:val="000000"/>
        </w:rPr>
        <w:tab/>
      </w:r>
      <w:r w:rsidR="006012AF" w:rsidRPr="004A6E63">
        <w:rPr>
          <w:color w:val="000000"/>
        </w:rPr>
        <w:t>λαμβάνει υπόψη την προβλεπόμενη αύξηση των τιμών των πιστωτικών μορίων άνθρακα, η οποία, με τα σημερινά επίπεδα εκπομπών, θα οδηγούσε σε εκτιμώμενη δαπάνη ύψους 900 000 EUR για το 2026· καλεί τη διοίκηση, στο πλαίσιο της χρηστής δημοσιονομικής διαχείρισης, να συνεχίσει να μειώνει τις εκπομπές του Κοινοβουλίου αντί να αγοράζει πιστωτικά μόρια άνθρακα· χαιρετίζει την εισαγωγή βελτιωμένης προσφοράς μετακίνησης με τρένο για τις αποστολές στο Στρασβούργο από τον Ιούλιο του 2025 ως θετικό βήμα για τη μείωση των εκπομπών CO</w:t>
      </w:r>
      <w:r w:rsidR="006012AF" w:rsidRPr="004A6E63">
        <w:rPr>
          <w:color w:val="000000"/>
          <w:vertAlign w:val="subscript"/>
        </w:rPr>
        <w:t>2</w:t>
      </w:r>
      <w:r w:rsidR="006012AF" w:rsidRPr="004A6E63">
        <w:rPr>
          <w:color w:val="000000"/>
        </w:rPr>
        <w:t>·</w:t>
      </w:r>
    </w:p>
    <w:p w:rsidR="006012AF" w:rsidRPr="004A6E63" w:rsidRDefault="004A6E63" w:rsidP="004A6E63">
      <w:pPr>
        <w:widowControl/>
        <w:spacing w:after="240"/>
        <w:ind w:left="567" w:hanging="570"/>
        <w:rPr>
          <w:color w:val="000000"/>
        </w:rPr>
      </w:pPr>
      <w:r w:rsidRPr="002A32F8">
        <w:rPr>
          <w:color w:val="000000"/>
        </w:rPr>
        <w:t>18.</w:t>
      </w:r>
      <w:r w:rsidRPr="002A32F8">
        <w:rPr>
          <w:color w:val="000000"/>
        </w:rPr>
        <w:tab/>
      </w:r>
      <w:r w:rsidR="006012AF" w:rsidRPr="004A6E63">
        <w:rPr>
          <w:color w:val="000000"/>
        </w:rPr>
        <w:t xml:space="preserve">σημειώνει ότι το Κοινοβούλιο έχει εγκαταστήσει και συνεχίζει να εγκαθιστά </w:t>
      </w:r>
      <w:proofErr w:type="spellStart"/>
      <w:r w:rsidR="006012AF" w:rsidRPr="004A6E63">
        <w:rPr>
          <w:color w:val="000000"/>
        </w:rPr>
        <w:t>φωτοβολταϊκούς</w:t>
      </w:r>
      <w:proofErr w:type="spellEnd"/>
      <w:r w:rsidR="006012AF" w:rsidRPr="004A6E63">
        <w:rPr>
          <w:color w:val="000000"/>
        </w:rPr>
        <w:t xml:space="preserve"> ηλιακούς συλλέκτες προκειμένου να αυξηθεί περαιτέρω το μερίδιο της ανανεώσιμης ενέργειας που παράγεται επιτόπου, ώστε να επιτευχθεί ο στόχος του 25 %· λαμβάνει υπόψη τις απαντήσεις που έδωσε ο Γενικός Γραμματέας σχετικά με την κατάσταση προβλέψεων των εσόδων και δαπανών του Κοινοβουλίου για το οικονομικό έτος 2024, επισημαίνοντας ότι το 2022 εκπονήθηκε μελέτη σχετικά με τη χρήση φωτοβολταϊκών πάνελ για τα κτίρια του Στρασβούργου, η οποία ολοκληρώθηκε το 2023, και ότι το 2024 επρόκειτο να διεξαχθούν περαιτέρω μελέτες για βιώσιμες λύσεις, ιδίως για το κτίριο WEISS·</w:t>
      </w:r>
    </w:p>
    <w:p w:rsidR="006012AF" w:rsidRPr="002A32F8" w:rsidRDefault="006012AF" w:rsidP="002A32F8">
      <w:pPr>
        <w:spacing w:after="240"/>
        <w:ind w:left="-3"/>
        <w:rPr>
          <w:b/>
          <w:i/>
          <w:color w:val="000000"/>
        </w:rPr>
      </w:pPr>
      <w:r w:rsidRPr="002A32F8">
        <w:rPr>
          <w:b/>
          <w:i/>
          <w:color w:val="000000"/>
        </w:rPr>
        <w:t>Πολυγλωσσία, επικοινωνία και παραπληροφόρηση</w:t>
      </w:r>
    </w:p>
    <w:p w:rsidR="006012AF" w:rsidRPr="004A6E63" w:rsidRDefault="004A6E63" w:rsidP="004A6E63">
      <w:pPr>
        <w:widowControl/>
        <w:spacing w:after="240"/>
        <w:ind w:left="567" w:hanging="570"/>
        <w:rPr>
          <w:color w:val="000000"/>
        </w:rPr>
      </w:pPr>
      <w:r w:rsidRPr="002A32F8">
        <w:rPr>
          <w:color w:val="000000"/>
        </w:rPr>
        <w:t>19.</w:t>
      </w:r>
      <w:r w:rsidRPr="002A32F8">
        <w:rPr>
          <w:color w:val="000000"/>
        </w:rPr>
        <w:tab/>
      </w:r>
      <w:r w:rsidR="006012AF" w:rsidRPr="004A6E63">
        <w:rPr>
          <w:color w:val="000000"/>
        </w:rPr>
        <w:t>επισημαίνει ότι η πολυγλωσσία αποτελεί βασική αρχή στην οποία βασίζονται οι εργασίες του Κοινοβουλίου· λαμβάνει υπό σημείωση την αναθεώρηση του Κώδικα Συμπεριφοράς για την Πολυγλωσσία που έχει προγραμματιστεί για την άνοιξη του 2025· ζητεί, κατά περίπτωση, από το Κοινοβούλιο να αξιοποιήσει τις σημαντικές τεχνολογικές εξελίξεις στις υπηρεσίες που σχετίζονται με την πολυγλωσσία, συμπεριλαμβανομένης της ανάπτυξης και της χρήσης της τεχνητής νοημοσύνης· ζητεί από τον Γενικό Γραμματέα να ενημερώσει εγκαίρως την Επιτροπή Προϋπολογισμών σχετικά με τυχόν δημοσιονομικές επιπτώσεις μετά την εν λόγω αναθεώρηση·</w:t>
      </w:r>
    </w:p>
    <w:p w:rsidR="006012AF" w:rsidRPr="004A6E63" w:rsidRDefault="004A6E63" w:rsidP="004A6E63">
      <w:pPr>
        <w:widowControl/>
        <w:spacing w:after="240"/>
        <w:ind w:left="567" w:hanging="570"/>
        <w:rPr>
          <w:color w:val="000000"/>
        </w:rPr>
      </w:pPr>
      <w:r w:rsidRPr="002A32F8">
        <w:rPr>
          <w:color w:val="000000"/>
        </w:rPr>
        <w:t>20.</w:t>
      </w:r>
      <w:r w:rsidRPr="002A32F8">
        <w:rPr>
          <w:color w:val="000000"/>
        </w:rPr>
        <w:tab/>
      </w:r>
      <w:r w:rsidR="006012AF" w:rsidRPr="004A6E63">
        <w:rPr>
          <w:color w:val="000000"/>
        </w:rPr>
        <w:t>επισημαίνει τον ρόλο που διαδραματίζουν τα Γραφεία Συνδέσμου του Ευρωπαϊκού Κοινοβουλίου (EPLO) στην αντιμετώπιση των εξωτερικών παρεμβάσεων και της παραπληροφόρησης· σημειώνει, στο πλαίσιο αυτό, το έργο των Γραφείων Συνδέσμου του ΕΚ που προωθούν προορατικά το έργο του Κοινοβουλίου στις τοπικές τους γλώσσες μέσω πολλαπλών διαύλων· επισημαίνει τον ρόλο των Γραφείων Συνδέσμου του ΕΚ στο Ηνωμένο Βασίλειο ως κύριου σημείου επαφής για τους υπηκόους της Ένωσης που διαμένουν στο Ηνωμένο Βασίλειο, παρέχοντάς τους πληροφορίες σχετικά με το Ευρωπαϊκό Κοινοβούλιο και ενθαρρύνοντάς τους να ψηφίσουν στις ευρωπαϊκές εκλογές· ζητεί από το Προεδρείο να επεκτείνει την παραγωγή και τη διάδοση επικοινωνιακού υλικού με προσβάσιμο και συμπεριληπτικό τρόπο·</w:t>
      </w:r>
    </w:p>
    <w:p w:rsidR="006012AF" w:rsidRPr="004A6E63" w:rsidRDefault="004A6E63" w:rsidP="004A6E63">
      <w:pPr>
        <w:widowControl/>
        <w:spacing w:after="240"/>
        <w:ind w:left="567" w:hanging="570"/>
        <w:rPr>
          <w:color w:val="000000"/>
        </w:rPr>
      </w:pPr>
      <w:r w:rsidRPr="002A32F8">
        <w:rPr>
          <w:color w:val="000000"/>
        </w:rPr>
        <w:t>21.</w:t>
      </w:r>
      <w:r w:rsidRPr="002A32F8">
        <w:rPr>
          <w:color w:val="000000"/>
        </w:rPr>
        <w:tab/>
      </w:r>
      <w:r w:rsidR="006012AF" w:rsidRPr="004A6E63">
        <w:rPr>
          <w:color w:val="000000"/>
        </w:rPr>
        <w:t>επισημαίνει το χαμηλό ποσοστό συμμετοχής των νέων στις πρόσφατες ευρωπαϊκές εκλογές σε ορισμένες περιφέρειες της Ένωσης και τον ρόλο του Κοινοβουλίου στην ενίσχυση της αγωγής του πολίτη της ΕΕ·</w:t>
      </w:r>
    </w:p>
    <w:p w:rsidR="006012AF" w:rsidRPr="004A6E63" w:rsidRDefault="004A6E63" w:rsidP="004A6E63">
      <w:pPr>
        <w:widowControl/>
        <w:spacing w:after="240"/>
        <w:ind w:left="567" w:hanging="570"/>
        <w:rPr>
          <w:color w:val="000000"/>
        </w:rPr>
      </w:pPr>
      <w:r w:rsidRPr="002A32F8">
        <w:rPr>
          <w:color w:val="000000"/>
        </w:rPr>
        <w:t>22.</w:t>
      </w:r>
      <w:r w:rsidRPr="002A32F8">
        <w:rPr>
          <w:color w:val="000000"/>
        </w:rPr>
        <w:tab/>
      </w:r>
      <w:r w:rsidR="006012AF" w:rsidRPr="004A6E63">
        <w:rPr>
          <w:color w:val="000000"/>
        </w:rPr>
        <w:t xml:space="preserve">υπενθυμίζει τη σημασία του προγράμματος «Σχολείο-Πρεσβευτής του Ευρωπαϊκού Κοινοβουλίου» για την προώθηση της ενεργού συμμετοχής των νέων Ευρωπαίων, και του προγράμματος κατάρτισης για νέους δημοσιογράφους, που φέρει το όνομα του </w:t>
      </w:r>
      <w:proofErr w:type="spellStart"/>
      <w:r w:rsidR="006012AF" w:rsidRPr="004A6E63">
        <w:rPr>
          <w:color w:val="000000"/>
        </w:rPr>
        <w:t>David</w:t>
      </w:r>
      <w:proofErr w:type="spellEnd"/>
      <w:r w:rsidR="006012AF" w:rsidRPr="004A6E63">
        <w:rPr>
          <w:color w:val="000000"/>
        </w:rPr>
        <w:t xml:space="preserve"> </w:t>
      </w:r>
      <w:proofErr w:type="spellStart"/>
      <w:r w:rsidR="006012AF" w:rsidRPr="004A6E63">
        <w:rPr>
          <w:color w:val="000000"/>
        </w:rPr>
        <w:t>Sassoli</w:t>
      </w:r>
      <w:proofErr w:type="spellEnd"/>
      <w:r w:rsidR="006012AF" w:rsidRPr="004A6E63">
        <w:rPr>
          <w:color w:val="000000"/>
        </w:rPr>
        <w:t>, για την ενίσχυση της κατανόησης της Ένωσης και της λειτουργίας της μεταξύ των δημοσιογράφων, δεδομένου ότι τα προγράμματα αυτά αποτελούν το καλύτερο αντίδοτο κατά της παραπληροφόρησης, υπό το πρίσμα των πρόσφατων τάσεων που καταδεικνύουν μια ανησυχητική μείωση της ελευθερίας και της ανεξαρτησίας των μέσων ενημέρωσης σε ολόκληρη την Ένωση·</w:t>
      </w:r>
    </w:p>
    <w:p w:rsidR="006012AF" w:rsidRPr="004A6E63" w:rsidRDefault="004A6E63" w:rsidP="004A6E63">
      <w:pPr>
        <w:widowControl/>
        <w:spacing w:after="240"/>
        <w:ind w:left="567" w:hanging="570"/>
        <w:rPr>
          <w:color w:val="000000"/>
        </w:rPr>
      </w:pPr>
      <w:r w:rsidRPr="002A32F8">
        <w:rPr>
          <w:color w:val="000000"/>
        </w:rPr>
        <w:t>23.</w:t>
      </w:r>
      <w:r w:rsidRPr="002A32F8">
        <w:rPr>
          <w:color w:val="000000"/>
        </w:rPr>
        <w:tab/>
      </w:r>
      <w:r w:rsidR="006012AF" w:rsidRPr="004A6E63">
        <w:rPr>
          <w:color w:val="000000"/>
        </w:rPr>
        <w:t>αναγνωρίζει τη σημασία των ομάδων επισκεπτών ως σημαντικού εργαλείου για τη σύνδεση των πολιτών με το έργο των βουλευτών· εκφράζει, στο πλαίσιο αυτό, την ικανοποίησή του για την αύξηση των ανώτατων ορίων και των συντελεστών κόστους για τον υπολογισμό της χρηματοδοτικής συνεισφοράς σε επιδοτούμενους επισκέπτες από την 1η Ιανουαρίου 2025·</w:t>
      </w:r>
      <w:r w:rsidR="006012AF" w:rsidRPr="00F466C8">
        <w:t xml:space="preserve"> </w:t>
      </w:r>
      <w:r w:rsidR="006012AF" w:rsidRPr="004A6E63">
        <w:rPr>
          <w:color w:val="000000"/>
        </w:rPr>
        <w:t>ζητεί από το Προεδρείο να αξιολογήσει τον αντίκτυπο των αναθεωρημένων κανόνων σχετικά με τις ομάδες επισκεπτών όσον αφορά τα έξοδα ταξιδίου, λαμβάνοντας υπόψη τις διακυμάνσεις της αγοράς, και να αποφύγει τις έμμεσες γεωγραφικές διακρίσεις για τους επισκέπτες· σημειώνει ότι, ιστορικά, περίπου το 15 % της ποσόστωσης για τους επισκέπτες δεν χρησιμοποιείται από τους βουλευτές· καλεί τον Γενικό Γραμματέα να προτείνει στο Προεδρείο να διαθέσει την αχρησιμοποίητη ποσόστωση στους ενδιαφερόμενους βουλευτές· σημειώνει ότι ο προϋπολογισμός για τις ομάδες επισκεπτών αντιπροσωπεύει το 22 % του συνολικού προϋπολογισμού της Γενικής Διεύθυνσης Επικοινωνίας·</w:t>
      </w:r>
    </w:p>
    <w:p w:rsidR="006012AF" w:rsidRPr="004A6E63" w:rsidRDefault="004A6E63" w:rsidP="004A6E63">
      <w:pPr>
        <w:widowControl/>
        <w:spacing w:after="240"/>
        <w:ind w:left="567" w:hanging="570"/>
        <w:rPr>
          <w:color w:val="000000"/>
        </w:rPr>
      </w:pPr>
      <w:r w:rsidRPr="002A32F8">
        <w:rPr>
          <w:color w:val="000000"/>
        </w:rPr>
        <w:t>24.</w:t>
      </w:r>
      <w:r w:rsidRPr="002A32F8">
        <w:rPr>
          <w:color w:val="000000"/>
        </w:rPr>
        <w:tab/>
      </w:r>
      <w:r w:rsidR="006012AF" w:rsidRPr="004A6E63">
        <w:rPr>
          <w:color w:val="000000"/>
        </w:rPr>
        <w:t>σημειώνει με ανησυχία τους εσωτερικούς κανόνες που διέπουν τις ομάδες επισκεπτών των βουλευτών του Ευρωπαϊκού Κοινοβουλίου, οι οποίοι έχουν ως αποτέλεσμα το 30% του αρχικού κόστους να βαρύνει τους διαπιστευμένους κοινοβουλευτικούς βοηθούς (ΔΚΒ) σε ορισμένες περιπτώσεις· τονίζει το ανέφικτο των κανόνων αυτών και την οικονομική επιβάρυνση που αυτό συνεπάγεται για τους ΔΚΒ· λαμβάνει υπόψη τις απαντήσεις που έδωσε ο Γενικός Γραμματέας στην κατάσταση προβλέψεων των εσόδων και δαπανών του Κοινοβουλίου για το οικονομικό έτος 2024 όσον αφορά το σκεπτικό της προσέγγισης δύο σταδίων· κατανοεί το σκεπτικό, αλλά τονίζει τις αυξανόμενες προκλήσεις που θέτει αυτό για τους ΔΚΒ, ιδίως με τη συνεχή στροφή προς αυστηρότερους κανόνες·</w:t>
      </w:r>
    </w:p>
    <w:p w:rsidR="006012AF" w:rsidRPr="004A6E63" w:rsidRDefault="004A6E63" w:rsidP="004A6E63">
      <w:pPr>
        <w:widowControl/>
        <w:spacing w:after="240"/>
        <w:ind w:left="567" w:hanging="570"/>
        <w:rPr>
          <w:color w:val="000000"/>
        </w:rPr>
      </w:pPr>
      <w:r w:rsidRPr="002A32F8">
        <w:rPr>
          <w:color w:val="000000"/>
        </w:rPr>
        <w:t>25.</w:t>
      </w:r>
      <w:r w:rsidRPr="002A32F8">
        <w:rPr>
          <w:color w:val="000000"/>
        </w:rPr>
        <w:tab/>
      </w:r>
      <w:r w:rsidR="006012AF" w:rsidRPr="004A6E63">
        <w:rPr>
          <w:color w:val="000000"/>
        </w:rPr>
        <w:t>τονίζει το ολοένα και πιο δύσκολο επικοινωνιακό τοπίο και τους πολλαπλούς τρόπους με τους οποίους θα πρέπει να πραγματοποιείται η πολιτική επικοινωνία, μεταξύ άλλων μέσω της συμμετοχής σε διάφορες πλατφόρμες μέσων κοινωνικής δικτύωσης και άλλα μέσα ενημέρωσης· υπογραμμίζει την ανάγκη οι πολιτικές ομάδες να μεταφέρουν και να επικοινωνούν το μήνυμά τους σε όλα τα κράτη μέλη ως βασική αρχή μιας εύρυθμα λειτουργούσας ευρωπαϊκής δημοκρατίας·</w:t>
      </w:r>
    </w:p>
    <w:p w:rsidR="006012AF" w:rsidRPr="002A32F8" w:rsidRDefault="006012AF" w:rsidP="002A32F8">
      <w:pPr>
        <w:spacing w:after="240"/>
        <w:ind w:left="-3"/>
        <w:rPr>
          <w:b/>
          <w:i/>
          <w:color w:val="000000"/>
        </w:rPr>
      </w:pPr>
      <w:r w:rsidRPr="002A32F8">
        <w:rPr>
          <w:b/>
          <w:i/>
          <w:color w:val="000000"/>
        </w:rPr>
        <w:t>Υποδομές</w:t>
      </w:r>
    </w:p>
    <w:p w:rsidR="006012AF" w:rsidRPr="004A6E63" w:rsidRDefault="004A6E63" w:rsidP="004A6E63">
      <w:pPr>
        <w:widowControl/>
        <w:spacing w:after="240"/>
        <w:ind w:left="567" w:hanging="570"/>
        <w:rPr>
          <w:color w:val="000000"/>
        </w:rPr>
      </w:pPr>
      <w:r w:rsidRPr="002A32F8">
        <w:rPr>
          <w:color w:val="000000"/>
        </w:rPr>
        <w:t>26.</w:t>
      </w:r>
      <w:r w:rsidRPr="002A32F8">
        <w:rPr>
          <w:color w:val="000000"/>
        </w:rPr>
        <w:tab/>
      </w:r>
      <w:r w:rsidR="006012AF" w:rsidRPr="004A6E63">
        <w:rPr>
          <w:color w:val="000000"/>
        </w:rPr>
        <w:t>αναγνωρίζει τη νέα προσέγγιση σχετικά με τα κτίρια, όπου, μετά από μια περίοδο αγορών, το Κοινοβούλιο εισήλθε σε μια εποχή σταθεροποίησης στον τομέα των κτιρίων, στο πλαίσιο της οποίας λαμβάνονται υπόψη η βιωσιμότητα, η προσβασιμότητα και η κινητικότητα των βουλευτών και του προσωπικού·</w:t>
      </w:r>
    </w:p>
    <w:p w:rsidR="006012AF" w:rsidRPr="004A6E63" w:rsidRDefault="004A6E63" w:rsidP="004A6E63">
      <w:pPr>
        <w:widowControl/>
        <w:spacing w:after="240"/>
        <w:ind w:left="567" w:hanging="570"/>
        <w:rPr>
          <w:color w:val="000000"/>
        </w:rPr>
      </w:pPr>
      <w:r w:rsidRPr="002A32F8">
        <w:rPr>
          <w:color w:val="000000"/>
        </w:rPr>
        <w:t>27.</w:t>
      </w:r>
      <w:r w:rsidRPr="002A32F8">
        <w:rPr>
          <w:color w:val="000000"/>
        </w:rPr>
        <w:tab/>
      </w:r>
      <w:r w:rsidR="006012AF" w:rsidRPr="004A6E63">
        <w:rPr>
          <w:color w:val="000000"/>
        </w:rPr>
        <w:t>σημειώνει ότι 4 εκατ</w:t>
      </w:r>
      <w:r w:rsidR="002A32F8" w:rsidRPr="004A6E63">
        <w:rPr>
          <w:color w:val="000000"/>
        </w:rPr>
        <w:t>ομμύρια</w:t>
      </w:r>
      <w:r w:rsidR="006012AF" w:rsidRPr="004A6E63">
        <w:rPr>
          <w:color w:val="000000"/>
        </w:rPr>
        <w:t xml:space="preserve"> EUR περιλαμβάνονται στις εκτιμήσεις του 2026 για τις μελέτες και τις προπαρασκευαστικές εργασίες του αναδόχου σχετικά με την ανακαίνιση του κτιρίου SPAAK, ενώ το συνολικό κόστος εκτιμάται σε 36 εκατ</w:t>
      </w:r>
      <w:r w:rsidR="002A32F8" w:rsidRPr="004A6E63">
        <w:rPr>
          <w:color w:val="000000"/>
        </w:rPr>
        <w:t>ομμύρια</w:t>
      </w:r>
      <w:r w:rsidR="006012AF" w:rsidRPr="004A6E63">
        <w:rPr>
          <w:color w:val="000000"/>
        </w:rPr>
        <w:t> EUR· σημειώνει, ως εκ τούτου, ότι δαπάνες ύψους 32 εκατ</w:t>
      </w:r>
      <w:r w:rsidR="002A32F8" w:rsidRPr="004A6E63">
        <w:rPr>
          <w:color w:val="000000"/>
        </w:rPr>
        <w:t>ομμυρίων</w:t>
      </w:r>
      <w:r w:rsidR="006012AF" w:rsidRPr="004A6E63">
        <w:rPr>
          <w:color w:val="000000"/>
        </w:rPr>
        <w:t> EUR που σχετίζονται με την ανακαίνιση του κτιρίου SPAAK δεν περιλαμβάνονται στις εκτιμήσεις του 2026· σημειώνει ότι ο Γενικός Γραμματέας προτίθεται να καλύψει τα εν λόγω έξοδα με συγκεντρωτική μεταφορά υπολοίπων ή με τη χρήση δανείου· ζητεί από τον Γενικό Γραμματέα να παράσχει στην Επιτροπή Προϋπολογισμών λεπτομερείς πληροφορίες σχετικά με πιθανό δάνειο για την κάλυψη αυτών των δαπανών, σύμφωνα με το άρθρο 272 παράγραφος 6 του δημοσιονομικού κανονισμού, το συντομότερο δυνατόν, καθώς και τον πλήρη προγραμματισμό των εργασιών, συμπεριλαμβανομένου του προγραμματισμού των δαπανών· επιμένει ότι οι δαπάνες που δεν συνδέονται άμεσα με τις εργασίες ανακαίνισης θα πρέπει επίσης να αναφέρονται σαφώς και να εγγράφονται στον προϋπολογισμό· σημειώνει ότι, τον Δεκέμβριο του 2024, οι άμεσες δαπάνες του έργου SPAAK ανέρχονταν σε 14,12 εκατ</w:t>
      </w:r>
      <w:r w:rsidR="002A32F8" w:rsidRPr="004A6E63">
        <w:rPr>
          <w:color w:val="000000"/>
        </w:rPr>
        <w:t>ομμύρια</w:t>
      </w:r>
      <w:r w:rsidR="006012AF" w:rsidRPr="004A6E63">
        <w:rPr>
          <w:color w:val="000000"/>
        </w:rPr>
        <w:t> EUR·</w:t>
      </w:r>
    </w:p>
    <w:p w:rsidR="006012AF" w:rsidRPr="004A6E63" w:rsidRDefault="004A6E63" w:rsidP="004A6E63">
      <w:pPr>
        <w:widowControl/>
        <w:spacing w:after="240"/>
        <w:ind w:left="567" w:hanging="570"/>
        <w:rPr>
          <w:color w:val="000000"/>
        </w:rPr>
      </w:pPr>
      <w:r w:rsidRPr="002A32F8">
        <w:rPr>
          <w:color w:val="000000"/>
        </w:rPr>
        <w:t>28.</w:t>
      </w:r>
      <w:r w:rsidRPr="002A32F8">
        <w:rPr>
          <w:color w:val="000000"/>
        </w:rPr>
        <w:tab/>
      </w:r>
      <w:r w:rsidR="006012AF" w:rsidRPr="004A6E63">
        <w:rPr>
          <w:color w:val="000000"/>
        </w:rPr>
        <w:t xml:space="preserve">εκφράζει την ικανοποίησή του για το δοκιμαστικό σχέδιο της ΓΔ INLO που αποσκοπεί στην αφαίρεση της </w:t>
      </w:r>
      <w:proofErr w:type="spellStart"/>
      <w:r w:rsidR="006012AF" w:rsidRPr="004A6E63">
        <w:rPr>
          <w:color w:val="000000"/>
        </w:rPr>
        <w:t>λεγεωνέλλας</w:t>
      </w:r>
      <w:proofErr w:type="spellEnd"/>
      <w:r w:rsidR="006012AF" w:rsidRPr="004A6E63">
        <w:rPr>
          <w:color w:val="000000"/>
        </w:rPr>
        <w:t xml:space="preserve"> από το υγειονομικό σύστημα αγωγών του Κοινοβουλίου και επισημαίνει ότι ο μόνος αποτελεσματικός τρόπος για την καταπολέμηση της περαιτέρω εξάπλωσης της </w:t>
      </w:r>
      <w:proofErr w:type="spellStart"/>
      <w:r w:rsidR="006012AF" w:rsidRPr="004A6E63">
        <w:rPr>
          <w:color w:val="000000"/>
        </w:rPr>
        <w:t>λεγεωνέλλας</w:t>
      </w:r>
      <w:proofErr w:type="spellEnd"/>
      <w:r w:rsidR="006012AF" w:rsidRPr="004A6E63">
        <w:rPr>
          <w:color w:val="000000"/>
        </w:rPr>
        <w:t xml:space="preserve"> είναι να μειωθεί η θερμοκρασία του νερού εντός των αγωγών σε 55 βαθμούς Κελσίου για περιορισμένο χρονικό διάστημα</w:t>
      </w:r>
    </w:p>
    <w:p w:rsidR="006012AF" w:rsidRPr="004A6E63" w:rsidRDefault="004A6E63" w:rsidP="004A6E63">
      <w:pPr>
        <w:widowControl/>
        <w:spacing w:after="240"/>
        <w:ind w:left="567" w:hanging="570"/>
        <w:rPr>
          <w:color w:val="000000"/>
        </w:rPr>
      </w:pPr>
      <w:bookmarkStart w:id="9" w:name="_heading=h.30j0zll"/>
      <w:bookmarkEnd w:id="9"/>
      <w:r w:rsidRPr="002A32F8">
        <w:rPr>
          <w:color w:val="000000"/>
        </w:rPr>
        <w:t>29.</w:t>
      </w:r>
      <w:r w:rsidRPr="002A32F8">
        <w:rPr>
          <w:color w:val="000000"/>
        </w:rPr>
        <w:tab/>
      </w:r>
      <w:r w:rsidR="006012AF" w:rsidRPr="004A6E63">
        <w:rPr>
          <w:color w:val="000000"/>
        </w:rPr>
        <w:t xml:space="preserve">σημειώνει ότι προβλέπεται να επενδυθούν 11,45 εκατομμύρια EUR σε κέντρα «Europa </w:t>
      </w:r>
      <w:proofErr w:type="spellStart"/>
      <w:r w:rsidR="006012AF" w:rsidRPr="004A6E63">
        <w:rPr>
          <w:color w:val="000000"/>
        </w:rPr>
        <w:t>Experience</w:t>
      </w:r>
      <w:proofErr w:type="spellEnd"/>
      <w:r w:rsidR="006012AF" w:rsidRPr="004A6E63">
        <w:rPr>
          <w:color w:val="000000"/>
        </w:rPr>
        <w:t xml:space="preserve">» το 2026· λαμβάνει υπόψη την απόφαση του Προεδρείου, του Νοεμβρίου του 2024, να αναθεωρήσει τον σχεδιασμό των κέντρων «Europa </w:t>
      </w:r>
      <w:proofErr w:type="spellStart"/>
      <w:r w:rsidR="006012AF" w:rsidRPr="004A6E63">
        <w:rPr>
          <w:color w:val="000000"/>
        </w:rPr>
        <w:t>Experience</w:t>
      </w:r>
      <w:proofErr w:type="spellEnd"/>
      <w:r w:rsidR="006012AF" w:rsidRPr="004A6E63">
        <w:rPr>
          <w:color w:val="000000"/>
        </w:rPr>
        <w:t xml:space="preserve">» και αναμένει ότι ο αναθεωρημένος σχεδιασμός θα είναι πιο αποδοτικός ως προς το κόστος και ελκυστικότερος για τους επισκέπτες· εκφράζει την απογοήτευσή του για το ότι δεν υπάρχουν ακόμη κέντρα «Europa </w:t>
      </w:r>
      <w:proofErr w:type="spellStart"/>
      <w:r w:rsidR="006012AF" w:rsidRPr="004A6E63">
        <w:rPr>
          <w:color w:val="000000"/>
        </w:rPr>
        <w:t>Experience</w:t>
      </w:r>
      <w:proofErr w:type="spellEnd"/>
      <w:r w:rsidR="006012AF" w:rsidRPr="004A6E63">
        <w:rPr>
          <w:color w:val="000000"/>
        </w:rPr>
        <w:t xml:space="preserve">» στο Βουκουρέστι, τη Ρίγα, τη Μαδρίτη, τη Λισαβόνα, τη Λευκωσία, τη Βαλέτα ή το Βίλνιους· ζητεί τη δημιουργία κέντρων «Europa </w:t>
      </w:r>
      <w:proofErr w:type="spellStart"/>
      <w:r w:rsidR="006012AF" w:rsidRPr="004A6E63">
        <w:rPr>
          <w:color w:val="000000"/>
        </w:rPr>
        <w:t>Experience</w:t>
      </w:r>
      <w:proofErr w:type="spellEnd"/>
      <w:r w:rsidR="006012AF" w:rsidRPr="004A6E63">
        <w:rPr>
          <w:color w:val="000000"/>
        </w:rPr>
        <w:t xml:space="preserve">» σε όλα τα κράτη μέλη αφ’ ης στιγμής καθοριστεί η αναθεωρημένη μορφή τους· υπενθυμίζει ότι τα κέντρα «Europa </w:t>
      </w:r>
      <w:proofErr w:type="spellStart"/>
      <w:r w:rsidR="006012AF" w:rsidRPr="004A6E63">
        <w:rPr>
          <w:color w:val="000000"/>
        </w:rPr>
        <w:t>Experience</w:t>
      </w:r>
      <w:proofErr w:type="spellEnd"/>
      <w:r w:rsidR="006012AF" w:rsidRPr="004A6E63">
        <w:rPr>
          <w:color w:val="000000"/>
        </w:rPr>
        <w:t xml:space="preserve">» θα πρέπει να δίνουν στους πολίτες τη δυνατότητα να κατανοούν καλύτερα τη λειτουργία της Ένωσης και να μαθαίνουν για τις κοινές μας αξίες· επαναλαμβάνει, επομένως, ότι τα κέντρα «Europa </w:t>
      </w:r>
      <w:proofErr w:type="spellStart"/>
      <w:r w:rsidR="006012AF" w:rsidRPr="004A6E63">
        <w:rPr>
          <w:color w:val="000000"/>
        </w:rPr>
        <w:t>Experience</w:t>
      </w:r>
      <w:proofErr w:type="spellEnd"/>
      <w:r w:rsidR="006012AF" w:rsidRPr="004A6E63">
        <w:rPr>
          <w:color w:val="000000"/>
        </w:rPr>
        <w:t>» αποτελούν αναπόσπαστο μέρος της συνεχιζόμενης αλληλεπίδρασης του Κοινοβουλίου με τους πολίτες της Ένωσης·</w:t>
      </w:r>
    </w:p>
    <w:p w:rsidR="006012AF" w:rsidRPr="004A6E63" w:rsidRDefault="004A6E63" w:rsidP="004A6E63">
      <w:pPr>
        <w:widowControl/>
        <w:spacing w:after="240"/>
        <w:ind w:left="567" w:hanging="570"/>
        <w:rPr>
          <w:color w:val="000000"/>
        </w:rPr>
      </w:pPr>
      <w:r w:rsidRPr="002A32F8">
        <w:rPr>
          <w:color w:val="000000"/>
        </w:rPr>
        <w:t>30.</w:t>
      </w:r>
      <w:r w:rsidRPr="002A32F8">
        <w:rPr>
          <w:color w:val="000000"/>
        </w:rPr>
        <w:tab/>
      </w:r>
      <w:r w:rsidR="006012AF" w:rsidRPr="004A6E63">
        <w:rPr>
          <w:color w:val="000000"/>
        </w:rPr>
        <w:t>σημειώνει ότι δεν απαιτείται πρόσθετη χρηματοδότηση για το άνοιγμα των γραφείων του Κοινοβουλίου στη Μολδαβία και τα Δυτικά Βαλκάνια, καθώς αυτά θα βρίσκονται εντός των εγκαταστάσεων της ΕΥΕΔ· τονίζει τη σημασία της παρουσίας του Κοινοβουλίου στις χώρες αυτές ως ένδειξη ευρωπαϊκής αλληλεγγύης και της προσήλωσης του Κοινοβουλίου στη διαδικασία προσχώρησης·</w:t>
      </w:r>
    </w:p>
    <w:p w:rsidR="006012AF" w:rsidRPr="004A6E63" w:rsidRDefault="004A6E63" w:rsidP="004A6E63">
      <w:pPr>
        <w:widowControl/>
        <w:spacing w:after="240"/>
        <w:ind w:left="567" w:hanging="570"/>
        <w:rPr>
          <w:color w:val="000000"/>
        </w:rPr>
      </w:pPr>
      <w:r w:rsidRPr="002A32F8">
        <w:rPr>
          <w:color w:val="000000"/>
        </w:rPr>
        <w:t>31.</w:t>
      </w:r>
      <w:r w:rsidRPr="002A32F8">
        <w:rPr>
          <w:color w:val="000000"/>
        </w:rPr>
        <w:tab/>
      </w:r>
      <w:r w:rsidR="006012AF" w:rsidRPr="004A6E63">
        <w:rPr>
          <w:color w:val="000000"/>
        </w:rPr>
        <w:t xml:space="preserve">λαμβάνει υπό σημείωση την πρόωρη καταγγελία της σύμβασης με τον προηγούμενο πάροχο του βρεφονηπιακού σταθμού </w:t>
      </w:r>
      <w:proofErr w:type="spellStart"/>
      <w:r w:rsidR="006012AF" w:rsidRPr="004A6E63">
        <w:rPr>
          <w:color w:val="000000"/>
        </w:rPr>
        <w:t>Wayenberg</w:t>
      </w:r>
      <w:proofErr w:type="spellEnd"/>
      <w:r w:rsidR="006012AF" w:rsidRPr="004A6E63">
        <w:rPr>
          <w:color w:val="000000"/>
        </w:rPr>
        <w:t xml:space="preserve"> κατόπιν σειράς σοβαρών καταγγελιών κατά του αναδόχου· εκφράζει την ικανοποίησή του για τη συμφωνία με νέο πάροχο που προβλέπει καλύτερες συνθήκες εργασίας για το προσωπικό του βρεφονηπιακού σταθμού και καλύτερη ποιότητα των υπηρεσιών για τα παιδιά· αναγνωρίζει, εντούτοις, ότι αυτό συνεπάγεται αύξηση του προϋπολογισμού που απαιτείται για τον σκοπό αυτό, τονίζει όμως ότι οι αξιοπρεπείς συνθήκες εργασίας για το εξωτερικό προσωπικό θα πρέπει, κατά περίπτωση, να αποτελούν προτεραιότητα στις δημόσιες συμβάσεις του Κοινοβουλίου ως ζήτημα αρχής·</w:t>
      </w:r>
    </w:p>
    <w:p w:rsidR="006012AF" w:rsidRPr="004A6E63" w:rsidRDefault="004A6E63" w:rsidP="004A6E63">
      <w:pPr>
        <w:widowControl/>
        <w:spacing w:after="240"/>
        <w:ind w:left="567" w:hanging="570"/>
        <w:rPr>
          <w:color w:val="000000"/>
        </w:rPr>
      </w:pPr>
      <w:r w:rsidRPr="002A32F8">
        <w:rPr>
          <w:color w:val="000000"/>
        </w:rPr>
        <w:t>32.</w:t>
      </w:r>
      <w:r w:rsidRPr="002A32F8">
        <w:rPr>
          <w:color w:val="000000"/>
        </w:rPr>
        <w:tab/>
      </w:r>
      <w:r w:rsidR="006012AF" w:rsidRPr="004A6E63">
        <w:rPr>
          <w:color w:val="000000"/>
        </w:rPr>
        <w:t>επαναλαμβάνει την ανάγκη για υψηλής ποιότητας δωμάτια θηλασμού στους χώρους του Κοινοβουλίου και καλεί τις αρμόδιες υπηρεσίες να αναβαθμίσουν τις υφιστάμενες εγκαταστάσεις όσον αφορά τον εξοπλισμό, τον χώρο και την προσβασιμότητα, προκειμένου να καταστούν φιλικές προς τα παιδιά· ζητεί να διενεργηθεί εκτίμηση επιπτώσεων σχετικά με την ανάγκη να δημιουργηθεί, στους χώρους της έδρας του Κοινοβουλίου στις Βρυξέλλες, αίθουσα για τη φύλαξη των παιδιών των βουλευτών που δεν διαμένουν μόνιμα στις Βρυξέλλες, ανάλογη με εκείνη που υπάρχει στο Στρασβούργο·</w:t>
      </w:r>
    </w:p>
    <w:p w:rsidR="006012AF" w:rsidRPr="002A32F8" w:rsidRDefault="006012AF" w:rsidP="002A32F8">
      <w:pPr>
        <w:spacing w:after="240"/>
        <w:ind w:left="-3"/>
        <w:rPr>
          <w:b/>
          <w:i/>
          <w:color w:val="000000"/>
        </w:rPr>
      </w:pPr>
      <w:r w:rsidRPr="002A32F8">
        <w:rPr>
          <w:b/>
          <w:i/>
          <w:color w:val="000000"/>
        </w:rPr>
        <w:t>Άλλες</w:t>
      </w:r>
    </w:p>
    <w:p w:rsidR="006012AF" w:rsidRPr="004A6E63" w:rsidRDefault="004A6E63" w:rsidP="004A6E63">
      <w:pPr>
        <w:spacing w:after="240"/>
        <w:ind w:left="567" w:hanging="570"/>
        <w:rPr>
          <w:color w:val="000000"/>
        </w:rPr>
      </w:pPr>
      <w:r w:rsidRPr="002A32F8">
        <w:rPr>
          <w:color w:val="000000"/>
        </w:rPr>
        <w:t>33.</w:t>
      </w:r>
      <w:r w:rsidRPr="002A32F8">
        <w:rPr>
          <w:color w:val="000000"/>
        </w:rPr>
        <w:tab/>
      </w:r>
      <w:r w:rsidR="006012AF" w:rsidRPr="004A6E63">
        <w:rPr>
          <w:color w:val="000000"/>
        </w:rPr>
        <w:t>επαναλαμβάνει το αίτημά του, το οποίο έχει εγκριθεί επανειλημμένα σε επίπεδο Ολομέλειας, να εξετάσουν τα αρμόδια όργανα μια λύση που θα δίνει στους βουλευτές τη δυνατότητα να ασκούν το δικαίωμά τους να ψηφίζουν εξ αποστάσεως, κατά τη διάρκεια άδειας μητρότητας ή πατρότητας, ή κατά τη διάρκεια πιστοποιημένης μακροχρόνιας ασθένειας, αξιοποιώντας τα διδάγματα που αντλήθηκαν κατά τη διάρκεια της πανδημίας σχετικά με τις τεχνικές πτυχές αυτής της μεθόδου ψηφοφορίας·</w:t>
      </w:r>
    </w:p>
    <w:p w:rsidR="006012AF" w:rsidRPr="004A6E63" w:rsidRDefault="004A6E63" w:rsidP="004A6E63">
      <w:pPr>
        <w:spacing w:after="240"/>
        <w:ind w:left="567" w:hanging="570"/>
        <w:rPr>
          <w:color w:val="000000"/>
        </w:rPr>
      </w:pPr>
      <w:r w:rsidRPr="002A32F8">
        <w:rPr>
          <w:color w:val="000000"/>
        </w:rPr>
        <w:t>34.</w:t>
      </w:r>
      <w:r w:rsidRPr="002A32F8">
        <w:rPr>
          <w:color w:val="000000"/>
        </w:rPr>
        <w:tab/>
      </w:r>
      <w:r w:rsidR="006012AF" w:rsidRPr="004A6E63">
        <w:rPr>
          <w:color w:val="000000"/>
        </w:rPr>
        <w:t>επαναλαμβάνει την έκκλησή του προς τον Γενικό Γραμματέα να τονίσει τη θεμελιώδη αρχή ότι όλες οι προσλήψεις θα πρέπει να βασίζονται σε ικανότητες, διασφαλίζοντας παράλληλα τη γεωγραφική ισορροπία μεταξύ όλων των κρατών μελών σε κάθε επίπεδο προσωπικού· καλεί το Κοινοβούλιο να διαμορφώσει τη δική του ικανότητα προβολής, με στόχο να προσελκύσει στους διαγωνισμούς ποιοτικούς υποψηφίους τους οποίους έχει ανάγκη το Κοινοβούλιο όσον αφορά το προφίλ, την ηλικία, το φύλο και την εθνικότητα και ιδίως από χώρες που υποεκπροσωπούνται· υπογραμμίζει ότι η επίτευξη δίκαιης γεωγραφικής εκπροσώπησης είναι απαραίτητη για την προώθηση μιας πραγματικά ευρωπαϊκής δημόσιας υπηρεσίας· σημειώνει ότι το Κοινοβούλιο έχει λάβει συστηματικά μέτρα για τη στήριξη αυτού του στόχου, συμπεριλαμβανομένης της διοργάνωσης διαγωνισμών για συγκεκριμένες εθνικότητες, διατηρώντας παράλληλα μια αυστηρά αξιοκρατική προσέγγιση επιλογής·</w:t>
      </w:r>
    </w:p>
    <w:p w:rsidR="006012AF" w:rsidRPr="004A6E63" w:rsidRDefault="004A6E63" w:rsidP="004A6E63">
      <w:pPr>
        <w:spacing w:after="240"/>
        <w:ind w:left="567" w:hanging="570"/>
        <w:rPr>
          <w:color w:val="000000"/>
        </w:rPr>
      </w:pPr>
      <w:r w:rsidRPr="002A32F8">
        <w:rPr>
          <w:color w:val="000000"/>
        </w:rPr>
        <w:t>35.</w:t>
      </w:r>
      <w:r w:rsidRPr="002A32F8">
        <w:rPr>
          <w:color w:val="000000"/>
        </w:rPr>
        <w:tab/>
      </w:r>
      <w:r w:rsidR="006012AF" w:rsidRPr="004A6E63">
        <w:rPr>
          <w:color w:val="000000"/>
        </w:rPr>
        <w:t>πιστεύει ότι το Κοινοβούλιο θα πρέπει να δώσει το παράδειγμα όσον αφορά τα δικαιώματα των ατόμων με αναπηρία, τόσο ως εργοδότης όσο και ως δημόσιος οργανισμός· εκφράζει την ικανοποίησή του για την πολιτική του Κοινοβουλίου που αποσκοπεί στη διασφάλιση της πλήρως ανεξάρτητης χρήσης των κτιρίων του Κοινοβουλίου από άτομα με αναπηρία και υποστηρίζει περαιτέρω μέτρα και προσαρμογές που θα χρειαστούν εν προκειμένω· σημειώνει ότι ο προϋπολογισμός προβλέπει 3,7 εκατ</w:t>
      </w:r>
      <w:r w:rsidR="002A32F8" w:rsidRPr="004A6E63">
        <w:rPr>
          <w:color w:val="000000"/>
        </w:rPr>
        <w:t>ομμύρια</w:t>
      </w:r>
      <w:r w:rsidR="006012AF" w:rsidRPr="004A6E63">
        <w:rPr>
          <w:color w:val="000000"/>
        </w:rPr>
        <w:t> EUR για τον σκοπό αυτό·</w:t>
      </w:r>
    </w:p>
    <w:p w:rsidR="006012AF" w:rsidRPr="004A6E63" w:rsidRDefault="004A6E63" w:rsidP="004A6E63">
      <w:pPr>
        <w:spacing w:after="240"/>
        <w:ind w:left="567" w:hanging="570"/>
        <w:rPr>
          <w:color w:val="000000"/>
        </w:rPr>
      </w:pPr>
      <w:r w:rsidRPr="002A32F8">
        <w:rPr>
          <w:color w:val="000000"/>
        </w:rPr>
        <w:t>36.</w:t>
      </w:r>
      <w:r w:rsidRPr="002A32F8">
        <w:rPr>
          <w:color w:val="000000"/>
        </w:rPr>
        <w:tab/>
      </w:r>
      <w:r w:rsidR="006012AF" w:rsidRPr="004A6E63">
        <w:rPr>
          <w:color w:val="000000"/>
        </w:rPr>
        <w:t>τονίζει ότι, εάν το Κοινοβούλιο είχε μια ενιαία έδρα, αυτό θα μπορούσε να οδηγήσει σε μείωση του οικονομικού και περιβαλλοντικού κόστους· υπενθυμίζει ότι, σύμφωνα με τη Συνθήκη για την Ευρωπαϊκή Ένωση, το Ευρωπαϊκό Κοινοβούλιο έχει την έδρα του στο Στρασβούργο· σημειώνει ότι, για να πραγματοποιηθούν μόνιμες αλλαγές, απαιτείται τροποποίηση της Συνθήκης, κάτι που απαιτεί ομοφωνία·</w:t>
      </w:r>
    </w:p>
    <w:p w:rsidR="006012AF" w:rsidRPr="004A6E63" w:rsidRDefault="004A6E63" w:rsidP="004A6E63">
      <w:pPr>
        <w:spacing w:after="240"/>
        <w:ind w:left="567" w:hanging="570"/>
        <w:rPr>
          <w:color w:val="000000"/>
        </w:rPr>
      </w:pPr>
      <w:r w:rsidRPr="002A32F8">
        <w:rPr>
          <w:color w:val="000000"/>
        </w:rPr>
        <w:t>37.</w:t>
      </w:r>
      <w:r w:rsidRPr="002A32F8">
        <w:rPr>
          <w:color w:val="000000"/>
        </w:rPr>
        <w:tab/>
      </w:r>
      <w:r w:rsidR="006012AF" w:rsidRPr="004A6E63">
        <w:rPr>
          <w:color w:val="000000"/>
        </w:rPr>
        <w:t>σημειώνει ότι τα έξοδα αποστολών των βουλευτών και του προσωπικού ανέρχονται σε 116 εκατ</w:t>
      </w:r>
      <w:r w:rsidR="002A32F8" w:rsidRPr="004A6E63">
        <w:rPr>
          <w:color w:val="000000"/>
        </w:rPr>
        <w:t>ομμύρια</w:t>
      </w:r>
      <w:r w:rsidR="006012AF" w:rsidRPr="004A6E63">
        <w:rPr>
          <w:color w:val="000000"/>
        </w:rPr>
        <w:t xml:space="preserve"> EUR στον προϋπολογισμό του Κοινοβουλίου· καλεί τα όργανα του Κοινοβουλίου να εξετάσουν τις πρακτικές όσον αφορά τις αποστολές και το ενδεχόμενο να αναθεωρήσουν τους κανόνες και τις πρακτικές για τις αποστολές, με γενικό στόχο να συνεχιστεί η βελτίωση της φύσης των αποστολών και να περιοριστεί περαιτέρω το σχετικό οικονομικό και περιβαλλοντικό κόστος· </w:t>
      </w:r>
      <w:r w:rsidR="006012AF" w:rsidRPr="00F466C8">
        <w:t>ενθαρρύνει τους βουλευτές να χρησιμοποιούν εναλλακτικούς τρόπους μεταφορών χαμηλών ανθρακούχων εκπομπών, και τάσσεται υπέρ της υπεύθυνης και μετρημένης χρήσης των οικονομικότερων επιλογών πτήσεων, καθώς και υπέρ της προτίμησης για τα σιδηροδρομικά ταξίδια, όπου αυτό αποτελεί βιώσιμη επιλογή·</w:t>
      </w:r>
    </w:p>
    <w:p w:rsidR="006012AF" w:rsidRPr="004A6E63" w:rsidRDefault="004A6E63" w:rsidP="004A6E63">
      <w:pPr>
        <w:spacing w:after="240"/>
        <w:ind w:left="567" w:hanging="570"/>
        <w:rPr>
          <w:color w:val="000000"/>
        </w:rPr>
      </w:pPr>
      <w:r w:rsidRPr="002A32F8">
        <w:rPr>
          <w:color w:val="000000"/>
        </w:rPr>
        <w:t>38.</w:t>
      </w:r>
      <w:r w:rsidRPr="002A32F8">
        <w:rPr>
          <w:color w:val="000000"/>
        </w:rPr>
        <w:tab/>
      </w:r>
      <w:r w:rsidR="006012AF" w:rsidRPr="004A6E63">
        <w:rPr>
          <w:color w:val="000000"/>
        </w:rPr>
        <w:t>σημειώνει ότι το άρθρο 46 παράγραφος 2 των μέτρων εφαρμογής του καθεστώτος των βουλευτών του Ευρωπαϊκού Κοινοβουλίου προβλέπει τη δυνατότητα χρηματοδότησης πρόσθετων δαπανών σε σχέση με τους προϋπολογισμούς κοινοβουλευτικής επικουρίας με πιστώσεις από την αποζημίωση γενικών εξόδων τους (ΑΓΕ)· καλεί τη διοίκηση του Κοινοβουλίου να λάβει τα απαραίτητα μέτρα για να μπορέσουν τα μέλη που το επιθυμούν να χρησιμοποιήσουν την ΑΓΕ τους για να καλύψουν το κόστος των αποστολών των ΔΚΒ· επισημαίνει ότι ένα τέτοιο μέτρο θα αντιμετωπίσει το αυξανόμενο κόστος στα γραφεία των βουλευτών, ενώ παράλληλα θα είναι δημοσιονομικά ουδέτερο·</w:t>
      </w:r>
    </w:p>
    <w:p w:rsidR="006012AF" w:rsidRPr="004A6E63" w:rsidRDefault="004A6E63" w:rsidP="004A6E63">
      <w:pPr>
        <w:spacing w:after="240"/>
        <w:ind w:left="567" w:hanging="570"/>
        <w:rPr>
          <w:color w:val="000000"/>
        </w:rPr>
      </w:pPr>
      <w:r>
        <w:rPr>
          <w:color w:val="000000"/>
        </w:rPr>
        <w:t>39.</w:t>
      </w:r>
      <w:r>
        <w:rPr>
          <w:color w:val="000000"/>
        </w:rPr>
        <w:tab/>
      </w:r>
      <w:r w:rsidR="006012AF" w:rsidRPr="004A6E63">
        <w:rPr>
          <w:color w:val="000000"/>
        </w:rPr>
        <w:t>καλεί το Προεδρείο να μην προβαίνει σε τιμαριθμική αναπροσαρμογή της ΑΓΕ και να μη χορηγεί ΑΓΕ σε πρώην βουλευτές, για να επιτευχθούν έτσι σημαντικές εξοικονομήσεις στις δαπάνες που προκύπτουν από το καθεστώς των βουλευτών·</w:t>
      </w:r>
    </w:p>
    <w:p w:rsidR="00A7766C" w:rsidRPr="004A6E63" w:rsidRDefault="004A6E63" w:rsidP="004A6E63">
      <w:pPr>
        <w:spacing w:after="240"/>
        <w:ind w:left="567" w:hanging="570"/>
        <w:rPr>
          <w:color w:val="000000"/>
        </w:rPr>
      </w:pPr>
      <w:r w:rsidRPr="002A32F8">
        <w:rPr>
          <w:color w:val="000000"/>
        </w:rPr>
        <w:t>40.</w:t>
      </w:r>
      <w:r w:rsidRPr="002A32F8">
        <w:rPr>
          <w:color w:val="000000"/>
        </w:rPr>
        <w:tab/>
      </w:r>
      <w:r w:rsidR="00A7766C" w:rsidRPr="004A6E63">
        <w:rPr>
          <w:color w:val="000000"/>
        </w:rPr>
        <w:t>καλεί το Προεδρείο να αναθεωρήσει τους κανόνες και να θεσπίσει περίοδο αναμονής για τους πρώην βουλευτές, κατά τη διάρκεια της οποίας να μην μπορούν να συμμετέχουν σε δραστηριότητες εκπροσώπησης ομάδων συμφερόντων ή σε δραστηριότητες εκπροσώπησης με το Κοινοβούλιο, ίση με το χρονικό διάστημα κατά το οποίο οι βουλευτές λαμβάνουν μεταβατική αποζημίωση·</w:t>
      </w:r>
    </w:p>
    <w:p w:rsidR="006012AF" w:rsidRPr="004A6E63" w:rsidRDefault="004A6E63" w:rsidP="004A6E63">
      <w:pPr>
        <w:spacing w:after="240"/>
        <w:ind w:left="567" w:hanging="570"/>
        <w:rPr>
          <w:color w:val="000000"/>
        </w:rPr>
      </w:pPr>
      <w:r w:rsidRPr="002A32F8">
        <w:rPr>
          <w:color w:val="000000"/>
        </w:rPr>
        <w:t>41.</w:t>
      </w:r>
      <w:r w:rsidRPr="002A32F8">
        <w:rPr>
          <w:color w:val="000000"/>
        </w:rPr>
        <w:tab/>
      </w:r>
      <w:r w:rsidR="00A7766C" w:rsidRPr="004A6E63">
        <w:rPr>
          <w:color w:val="000000"/>
        </w:rPr>
        <w:t>υπενθυμίζει ότι το Κοινοβούλιο έχει επανειλημμένα ψηφίσει στην Ολομέλεια, από το 2018 και έπειτα, να εξεταστεί το ενδεχόμενο άρσης της συνολικής απαγόρευσης όσον αφορά τη συμμετοχή ΔΚΒ σε επίσημες αντιπροσωπείες και αποστολές· εκφράζει τη λύπη του για το γεγονός ότι οι</w:t>
      </w:r>
      <w:r w:rsidR="006012AF" w:rsidRPr="004A6E63">
        <w:rPr>
          <w:color w:val="000000"/>
        </w:rPr>
        <w:t xml:space="preserve"> αποφάσεις της Διάσκεψης των Προέδρων, του Μαρτίου του 2025, σχετικά με τις εκτελεστικές διατάξεις που διέπουν τις αποστολές εκτός των τριών τόπων εργασίας του Ευρωπαϊκού Κοινοβουλίου</w:t>
      </w:r>
      <w:r w:rsidR="00A7766C" w:rsidRPr="004A6E63">
        <w:rPr>
          <w:color w:val="000000"/>
        </w:rPr>
        <w:t xml:space="preserve"> δεν ευθυγραμμίστηκαν με το αίτημα της Ολομέλειας· εμμένει στη θέση του ότι οι ΔΚΒ θα πρέπει να έχουν τη δυνατότητα, υπό ορισμένες προϋποθέσεις, να συνοδεύουν τους βουλευτές σε επίσημες αντιπροσωπείες και αποστολές· καλεί τα αρμόδια όργανά του να τροποποιήσουν τα σχετικά άρθρα των εσωτερικών κανόνων του, ώστε να καταστεί δυνατή η συμμετοχή ΔΚΒ σε επίσημες αποστολές και αντιπροσωπείες εκτός των τριών τόπων εργασίας του Κοινοβουλίου χωρίς περαιτέρω καθυστέρηση</w:t>
      </w:r>
      <w:r w:rsidR="006012AF" w:rsidRPr="004A6E63">
        <w:rPr>
          <w:color w:val="000000"/>
        </w:rPr>
        <w:t>·</w:t>
      </w:r>
    </w:p>
    <w:p w:rsidR="006012AF" w:rsidRPr="004A6E63" w:rsidRDefault="004A6E63" w:rsidP="004A6E63">
      <w:pPr>
        <w:spacing w:after="240"/>
        <w:ind w:left="567" w:hanging="570"/>
        <w:rPr>
          <w:color w:val="000000"/>
        </w:rPr>
      </w:pPr>
      <w:r w:rsidRPr="002A32F8">
        <w:rPr>
          <w:color w:val="000000"/>
        </w:rPr>
        <w:t>42.</w:t>
      </w:r>
      <w:r w:rsidRPr="002A32F8">
        <w:rPr>
          <w:color w:val="000000"/>
        </w:rPr>
        <w:tab/>
      </w:r>
      <w:r w:rsidR="006012AF" w:rsidRPr="004A6E63">
        <w:rPr>
          <w:color w:val="000000"/>
        </w:rPr>
        <w:t>εκφράζει την ικανοποίησή του για το έργο της επιτροπής ΔΚΒ, η οποία εκπροσωπεί περίπου 2 000 ΔΚΒ, το έργο της οποίας είναι ζωτικής σημασίας για την ομαλή λειτουργία των καθημερινών δραστηριοτήτων των βουλευτών του ΕΚ· σημειώνει τη διάθεση 10 000 EUR προκειμένου η επιτροπή ΔΚΒ να εκπληρώσει τον ρόλο της και να εξασφαλίσει επαρκείς πόρους για την αποτελεσματική στήριξη και την κατάλληλη εκπροσώπηση των ΔΚΒ·</w:t>
      </w:r>
    </w:p>
    <w:p w:rsidR="006012AF" w:rsidRPr="004A6E63" w:rsidRDefault="004A6E63" w:rsidP="004A6E63">
      <w:pPr>
        <w:widowControl/>
        <w:spacing w:after="240"/>
        <w:ind w:left="567" w:hanging="570"/>
        <w:rPr>
          <w:color w:val="000000"/>
        </w:rPr>
      </w:pPr>
      <w:r w:rsidRPr="002A32F8">
        <w:rPr>
          <w:color w:val="000000"/>
        </w:rPr>
        <w:t>43.</w:t>
      </w:r>
      <w:r w:rsidRPr="002A32F8">
        <w:rPr>
          <w:color w:val="000000"/>
        </w:rPr>
        <w:tab/>
      </w:r>
      <w:r w:rsidR="006012AF" w:rsidRPr="004A6E63">
        <w:rPr>
          <w:color w:val="000000"/>
        </w:rPr>
        <w:t>εκφράζει την ικανοποίησή του για την έκτακτη αύξηση κατά 10 % των υποτροφιών για κάθε ασκούμενο το 2026, η οποία ανήλθε σε 1 εκατ</w:t>
      </w:r>
      <w:r w:rsidR="002A32F8" w:rsidRPr="004A6E63">
        <w:rPr>
          <w:color w:val="000000"/>
        </w:rPr>
        <w:t>ομμύριο</w:t>
      </w:r>
      <w:r w:rsidR="006012AF" w:rsidRPr="004A6E63">
        <w:rPr>
          <w:color w:val="000000"/>
        </w:rPr>
        <w:t> EUR το 2026, ώστε να τους βοηθήσει να αντιμετωπίσουν το αυξανόμενο κόστος στέγασης στις Βρυξέλλες και το Λουξεμβούργο·</w:t>
      </w:r>
    </w:p>
    <w:p w:rsidR="006012AF" w:rsidRPr="004A6E63" w:rsidRDefault="004A6E63" w:rsidP="004A6E63">
      <w:pPr>
        <w:widowControl/>
        <w:spacing w:after="240"/>
        <w:ind w:left="567" w:hanging="570"/>
        <w:rPr>
          <w:color w:val="000000"/>
        </w:rPr>
      </w:pPr>
      <w:r>
        <w:rPr>
          <w:color w:val="000000"/>
        </w:rPr>
        <w:t>44.</w:t>
      </w:r>
      <w:r>
        <w:rPr>
          <w:color w:val="000000"/>
        </w:rPr>
        <w:tab/>
      </w:r>
      <w:r w:rsidR="006012AF" w:rsidRPr="004A6E63">
        <w:rPr>
          <w:color w:val="000000"/>
        </w:rPr>
        <w:t>αναμένει ότι τα αιτήματα που ψηφίστηκαν από την Ολομέλεια θα πρέπει να αντιμετωπίζονται από τα αρμόδια όργανα ως ζήτημα υψηλής προτεραιότητας·</w:t>
      </w:r>
    </w:p>
    <w:p w:rsidR="002A32F8" w:rsidRDefault="002A32F8" w:rsidP="004A6E63">
      <w:pPr>
        <w:pStyle w:val="ListParagraph"/>
        <w:widowControl/>
        <w:spacing w:after="240"/>
        <w:ind w:left="0"/>
        <w:contextualSpacing w:val="0"/>
        <w:jc w:val="center"/>
        <w:rPr>
          <w:color w:val="000000"/>
        </w:rPr>
      </w:pPr>
      <w:r>
        <w:rPr>
          <w:color w:val="000000"/>
        </w:rPr>
        <w:t>°</w:t>
      </w:r>
    </w:p>
    <w:p w:rsidR="002A32F8" w:rsidRDefault="002A32F8" w:rsidP="004A6E63">
      <w:pPr>
        <w:pStyle w:val="ListParagraph"/>
        <w:widowControl/>
        <w:spacing w:after="240"/>
        <w:ind w:left="0"/>
        <w:contextualSpacing w:val="0"/>
        <w:jc w:val="center"/>
        <w:rPr>
          <w:color w:val="000000"/>
        </w:rPr>
      </w:pPr>
      <w:r>
        <w:rPr>
          <w:color w:val="000000"/>
        </w:rPr>
        <w:t>°     °</w:t>
      </w:r>
    </w:p>
    <w:p w:rsidR="006012AF" w:rsidRPr="004A6E63" w:rsidRDefault="004A6E63" w:rsidP="004A6E63">
      <w:pPr>
        <w:spacing w:after="240"/>
        <w:ind w:left="567" w:hanging="570"/>
        <w:rPr>
          <w:color w:val="000000"/>
        </w:rPr>
      </w:pPr>
      <w:r w:rsidRPr="002A32F8">
        <w:rPr>
          <w:color w:val="000000"/>
        </w:rPr>
        <w:t>45.</w:t>
      </w:r>
      <w:r w:rsidRPr="002A32F8">
        <w:rPr>
          <w:color w:val="000000"/>
        </w:rPr>
        <w:tab/>
      </w:r>
      <w:r w:rsidR="006012AF" w:rsidRPr="004A6E63">
        <w:rPr>
          <w:color w:val="000000"/>
        </w:rPr>
        <w:t>εγκρίνει την κατάσταση προβλέψεων των εσόδων και δαπανών για το οικονομικό έτος 2026·</w:t>
      </w:r>
    </w:p>
    <w:p w:rsidR="006012AF" w:rsidRPr="00F466C8" w:rsidRDefault="004A6E63" w:rsidP="004A6E63">
      <w:pPr>
        <w:spacing w:after="240"/>
        <w:ind w:left="567" w:hanging="570"/>
      </w:pPr>
      <w:r w:rsidRPr="00F466C8">
        <w:t>46.</w:t>
      </w:r>
      <w:r w:rsidRPr="00F466C8">
        <w:tab/>
      </w:r>
      <w:r w:rsidR="006012AF" w:rsidRPr="004A6E63">
        <w:rPr>
          <w:color w:val="000000"/>
        </w:rPr>
        <w:t xml:space="preserve">αναθέτει στην Πρόεδρό του να διαβιβάσει το παρόν ψήφισμα και την κατάσταση προβλέψεων των εσόδων και δαπανών στο </w:t>
      </w:r>
      <w:r w:rsidR="00F466C8" w:rsidRPr="004A6E63">
        <w:rPr>
          <w:color w:val="000000"/>
        </w:rPr>
        <w:t>Συμβούλιο και στην Επιτροπή.</w:t>
      </w:r>
    </w:p>
    <w:sectPr w:rsidR="006012AF" w:rsidRPr="00F466C8" w:rsidSect="00F466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C05" w:rsidRPr="00F466C8" w:rsidRDefault="00684C05">
      <w:r w:rsidRPr="00F466C8">
        <w:separator/>
      </w:r>
    </w:p>
  </w:endnote>
  <w:endnote w:type="continuationSeparator" w:id="0">
    <w:p w:rsidR="00684C05" w:rsidRPr="00F466C8" w:rsidRDefault="00684C05">
      <w:r w:rsidRPr="00F466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C05" w:rsidRPr="00F466C8" w:rsidRDefault="00684C05">
      <w:r w:rsidRPr="00F466C8">
        <w:separator/>
      </w:r>
    </w:p>
  </w:footnote>
  <w:footnote w:type="continuationSeparator" w:id="0">
    <w:p w:rsidR="00684C05" w:rsidRPr="00F466C8" w:rsidRDefault="00684C05">
      <w:r w:rsidRPr="00F466C8">
        <w:continuationSeparator/>
      </w:r>
    </w:p>
  </w:footnote>
  <w:footnote w:id="1">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 xml:space="preserve">ΕΕ L 433 I της 22.12.2020, σ. 11, ELI: </w:t>
      </w:r>
      <w:hyperlink r:id="rId1" w:history="1">
        <w:r w:rsidRPr="00F466C8">
          <w:rPr>
            <w:rStyle w:val="Hyperlink"/>
          </w:rPr>
          <w:t>http://data.europa.eu/eli/reg/2020/2093/oj</w:t>
        </w:r>
      </w:hyperlink>
      <w:r w:rsidRPr="00F466C8">
        <w:rPr>
          <w:color w:val="000000"/>
        </w:rPr>
        <w:t>.</w:t>
      </w:r>
    </w:p>
  </w:footnote>
  <w:footnote w:id="2">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ΕΕ C 444 I της 22.12.2020, σ. 4.</w:t>
      </w:r>
    </w:p>
  </w:footnote>
  <w:footnote w:id="3">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ΕΕ C 445 της 29.10.2021, σ. 252.</w:t>
      </w:r>
    </w:p>
  </w:footnote>
  <w:footnote w:id="4">
    <w:p w:rsidR="006012AF" w:rsidRPr="00F466C8" w:rsidRDefault="006012AF" w:rsidP="00F466C8">
      <w:pPr>
        <w:ind w:left="567" w:hanging="567"/>
      </w:pPr>
      <w:r w:rsidRPr="00F466C8">
        <w:rPr>
          <w:rStyle w:val="FootnoteReference"/>
          <w:rFonts w:eastAsiaTheme="majorEastAsia"/>
        </w:rPr>
        <w:footnoteRef/>
      </w:r>
      <w:r w:rsidR="00F466C8" w:rsidRPr="00F466C8">
        <w:t xml:space="preserve"> </w:t>
      </w:r>
      <w:r w:rsidR="00F466C8" w:rsidRPr="00F466C8">
        <w:tab/>
      </w:r>
      <w:r w:rsidRPr="00F466C8">
        <w:t xml:space="preserve">ΕΕ L 325 της 20.12.2022, σ. 11, ELI: </w:t>
      </w:r>
      <w:hyperlink r:id="rId2" w:history="1">
        <w:r w:rsidRPr="00F466C8">
          <w:rPr>
            <w:rStyle w:val="Hyperlink"/>
          </w:rPr>
          <w:t>http://data.europa.eu/eli/reg/2022/2496/oj</w:t>
        </w:r>
      </w:hyperlink>
      <w:r w:rsidRPr="00F466C8">
        <w:t>.</w:t>
      </w:r>
    </w:p>
  </w:footnote>
  <w:footnote w:id="5">
    <w:p w:rsidR="006012AF" w:rsidRPr="000A57DA" w:rsidRDefault="006012AF" w:rsidP="00F466C8">
      <w:pPr>
        <w:ind w:left="567" w:hanging="567"/>
        <w:rPr>
          <w:lang w:val="fi-FI"/>
        </w:rPr>
      </w:pPr>
      <w:r w:rsidRPr="00F466C8">
        <w:rPr>
          <w:rStyle w:val="FootnoteReference"/>
        </w:rPr>
        <w:footnoteRef/>
      </w:r>
      <w:r w:rsidR="00F466C8" w:rsidRPr="000A57DA">
        <w:rPr>
          <w:lang w:val="fi-FI"/>
        </w:rPr>
        <w:t xml:space="preserve"> </w:t>
      </w:r>
      <w:r w:rsidR="00F466C8" w:rsidRPr="000A57DA">
        <w:rPr>
          <w:lang w:val="fi-FI"/>
        </w:rPr>
        <w:tab/>
      </w:r>
      <w:r w:rsidRPr="00F466C8">
        <w:t>ΕΕ</w:t>
      </w:r>
      <w:r w:rsidRPr="000A57DA">
        <w:rPr>
          <w:lang w:val="fi-FI"/>
        </w:rPr>
        <w:t xml:space="preserve"> L, 2024/765, 29.2.2024, ELI: </w:t>
      </w:r>
      <w:hyperlink r:id="rId3" w:history="1">
        <w:r w:rsidRPr="000A57DA">
          <w:rPr>
            <w:rStyle w:val="Hyperlink"/>
            <w:lang w:val="fi-FI"/>
          </w:rPr>
          <w:t>http://data.europa.eu/eli/reg/2024/765/oj</w:t>
        </w:r>
      </w:hyperlink>
      <w:r w:rsidRPr="000A57DA">
        <w:rPr>
          <w:lang w:val="fi-FI"/>
        </w:rPr>
        <w:t>.</w:t>
      </w:r>
    </w:p>
  </w:footnote>
  <w:footnote w:id="6">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ΕΕ C 445 της 29.10.2021, σ. 240.</w:t>
      </w:r>
    </w:p>
  </w:footnote>
  <w:footnote w:id="7">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ΕΕ C 177 της 17.5.2023, σ. 115.</w:t>
      </w:r>
    </w:p>
  </w:footnote>
  <w:footnote w:id="8">
    <w:p w:rsidR="006012AF" w:rsidRPr="000A57DA" w:rsidRDefault="006012AF" w:rsidP="00F466C8">
      <w:pPr>
        <w:ind w:left="567" w:hanging="567"/>
        <w:rPr>
          <w:color w:val="000000"/>
          <w:lang w:val="fi-FI"/>
        </w:rPr>
      </w:pPr>
      <w:r w:rsidRPr="00F466C8">
        <w:rPr>
          <w:rStyle w:val="FootnoteReference"/>
        </w:rPr>
        <w:footnoteRef/>
      </w:r>
      <w:r w:rsidR="00F466C8" w:rsidRPr="000A57DA">
        <w:rPr>
          <w:color w:val="000000"/>
          <w:lang w:val="fi-FI"/>
        </w:rPr>
        <w:t xml:space="preserve"> </w:t>
      </w:r>
      <w:r w:rsidR="00F466C8" w:rsidRPr="000A57DA">
        <w:rPr>
          <w:color w:val="000000"/>
          <w:lang w:val="fi-FI"/>
        </w:rPr>
        <w:tab/>
      </w:r>
      <w:r w:rsidRPr="00F466C8">
        <w:rPr>
          <w:color w:val="000000"/>
        </w:rPr>
        <w:t>ΕΕ</w:t>
      </w:r>
      <w:r w:rsidRPr="000A57DA">
        <w:rPr>
          <w:color w:val="000000"/>
          <w:lang w:val="fi-FI"/>
        </w:rPr>
        <w:t xml:space="preserve"> C, C/2024/1195, 23.02.2024, ELI: </w:t>
      </w:r>
      <w:hyperlink r:id="rId4" w:history="1">
        <w:r w:rsidRPr="000A57DA">
          <w:rPr>
            <w:rStyle w:val="Hyperlink"/>
            <w:lang w:val="fi-FI"/>
          </w:rPr>
          <w:t>http://data.europa.eu/eli/C/2024/1195/oj</w:t>
        </w:r>
      </w:hyperlink>
      <w:r w:rsidRPr="000A57DA">
        <w:rPr>
          <w:color w:val="000000"/>
          <w:lang w:val="fi-FI"/>
        </w:rPr>
        <w:t>.</w:t>
      </w:r>
    </w:p>
  </w:footnote>
  <w:footnote w:id="9">
    <w:p w:rsidR="006012AF" w:rsidRPr="000A57DA" w:rsidRDefault="006012AF" w:rsidP="00F466C8">
      <w:pPr>
        <w:ind w:left="567" w:hanging="567"/>
        <w:rPr>
          <w:color w:val="000000"/>
          <w:lang w:val="fi-FI"/>
        </w:rPr>
      </w:pPr>
      <w:r w:rsidRPr="00F466C8">
        <w:rPr>
          <w:rStyle w:val="FootnoteReference"/>
        </w:rPr>
        <w:footnoteRef/>
      </w:r>
      <w:r w:rsidR="00F466C8" w:rsidRPr="000A57DA">
        <w:rPr>
          <w:color w:val="000000"/>
          <w:lang w:val="fi-FI"/>
        </w:rPr>
        <w:t xml:space="preserve"> </w:t>
      </w:r>
      <w:r w:rsidR="00F466C8" w:rsidRPr="000A57DA">
        <w:rPr>
          <w:color w:val="000000"/>
          <w:lang w:val="fi-FI"/>
        </w:rPr>
        <w:tab/>
      </w:r>
      <w:r w:rsidRPr="00F466C8">
        <w:rPr>
          <w:color w:val="000000"/>
        </w:rPr>
        <w:t>ΕΕ</w:t>
      </w:r>
      <w:r w:rsidRPr="000A57DA">
        <w:rPr>
          <w:color w:val="000000"/>
          <w:lang w:val="fi-FI"/>
        </w:rPr>
        <w:t xml:space="preserve"> C, C/2024/6751, 26.11.2024, ELI: </w:t>
      </w:r>
      <w:hyperlink r:id="rId5" w:history="1">
        <w:r w:rsidRPr="000A57DA">
          <w:rPr>
            <w:rStyle w:val="Hyperlink"/>
            <w:lang w:val="fi-FI"/>
          </w:rPr>
          <w:t>http://data.europa.eu/eli/C/2024/6751/oj</w:t>
        </w:r>
      </w:hyperlink>
      <w:r w:rsidRPr="000A57DA">
        <w:rPr>
          <w:color w:val="000000"/>
          <w:lang w:val="fi-FI"/>
        </w:rPr>
        <w:t>.</w:t>
      </w:r>
    </w:p>
  </w:footnote>
  <w:footnote w:id="10">
    <w:p w:rsidR="006012AF" w:rsidRPr="000A57DA" w:rsidRDefault="006012AF" w:rsidP="00F466C8">
      <w:pPr>
        <w:ind w:left="567" w:hanging="567"/>
        <w:rPr>
          <w:color w:val="000000"/>
          <w:lang w:val="fi-FI"/>
        </w:rPr>
      </w:pPr>
      <w:r w:rsidRPr="00F466C8">
        <w:rPr>
          <w:rStyle w:val="FootnoteReference"/>
        </w:rPr>
        <w:footnoteRef/>
      </w:r>
      <w:r w:rsidR="00F466C8" w:rsidRPr="000A57DA">
        <w:rPr>
          <w:color w:val="000000"/>
          <w:lang w:val="fi-FI"/>
        </w:rPr>
        <w:t xml:space="preserve"> </w:t>
      </w:r>
      <w:r w:rsidR="00F466C8" w:rsidRPr="000A57DA">
        <w:rPr>
          <w:color w:val="000000"/>
          <w:lang w:val="fi-FI"/>
        </w:rPr>
        <w:tab/>
      </w:r>
      <w:r w:rsidRPr="00F466C8">
        <w:rPr>
          <w:color w:val="000000"/>
        </w:rPr>
        <w:t>ΕΕ</w:t>
      </w:r>
      <w:r w:rsidRPr="000A57DA">
        <w:rPr>
          <w:color w:val="000000"/>
          <w:lang w:val="fi-FI"/>
        </w:rPr>
        <w:t xml:space="preserve"> L</w:t>
      </w:r>
      <w:r w:rsidR="00A9215A">
        <w:rPr>
          <w:color w:val="000000"/>
        </w:rPr>
        <w:t>,</w:t>
      </w:r>
      <w:r w:rsidRPr="000A57DA">
        <w:rPr>
          <w:color w:val="000000"/>
          <w:lang w:val="fi-FI"/>
        </w:rPr>
        <w:t xml:space="preserve"> 2024/2509, 26.9.2024, ELI: </w:t>
      </w:r>
      <w:hyperlink r:id="rId6" w:history="1">
        <w:r w:rsidRPr="00A9215A">
          <w:rPr>
            <w:rStyle w:val="Hyperlink"/>
            <w:lang w:val="fi-FI"/>
          </w:rPr>
          <w:t>http://data.europa.eu/e</w:t>
        </w:r>
        <w:r w:rsidRPr="00A9215A">
          <w:rPr>
            <w:rStyle w:val="Hyperlink"/>
            <w:lang w:val="fi-FI"/>
          </w:rPr>
          <w:t>l</w:t>
        </w:r>
        <w:r w:rsidRPr="00A9215A">
          <w:rPr>
            <w:rStyle w:val="Hyperlink"/>
            <w:lang w:val="fi-FI"/>
          </w:rPr>
          <w:t>i/reg/2024/2509/oj</w:t>
        </w:r>
      </w:hyperlink>
      <w:r w:rsidRPr="000A57DA">
        <w:rPr>
          <w:color w:val="337AB7"/>
          <w:u w:val="single"/>
          <w:lang w:val="fi-FI"/>
        </w:rPr>
        <w:t>.</w:t>
      </w:r>
    </w:p>
  </w:footnote>
  <w:footnote w:id="11">
    <w:p w:rsidR="006012AF" w:rsidRPr="00F466C8" w:rsidRDefault="006012AF" w:rsidP="00F466C8">
      <w:pPr>
        <w:ind w:left="567" w:hanging="567"/>
        <w:rPr>
          <w:color w:val="000000"/>
        </w:rPr>
      </w:pPr>
      <w:r w:rsidRPr="00F466C8">
        <w:rPr>
          <w:rStyle w:val="FootnoteReference"/>
        </w:rPr>
        <w:footnoteRef/>
      </w:r>
      <w:r w:rsidR="00F466C8" w:rsidRPr="00F466C8">
        <w:rPr>
          <w:color w:val="000000"/>
        </w:rPr>
        <w:t xml:space="preserve"> </w:t>
      </w:r>
      <w:r w:rsidR="00F466C8" w:rsidRPr="00F466C8">
        <w:rPr>
          <w:color w:val="000000"/>
        </w:rPr>
        <w:tab/>
      </w:r>
      <w:r w:rsidRPr="00F466C8">
        <w:rPr>
          <w:color w:val="000000"/>
        </w:rPr>
        <w:t xml:space="preserve">ΕΕ L 433 I της 22.12.2020, σ. 28, ELI: </w:t>
      </w:r>
      <w:hyperlink r:id="rId7" w:history="1">
        <w:r w:rsidRPr="00F466C8">
          <w:rPr>
            <w:rStyle w:val="Hyperlink"/>
          </w:rPr>
          <w:t>http://data.europa.eu/eli/agree_interinstit/2020/1222/oj</w:t>
        </w:r>
      </w:hyperlink>
      <w:r w:rsidRPr="00F466C8">
        <w:rPr>
          <w:color w:val="000000"/>
        </w:rPr>
        <w:t>.</w:t>
      </w:r>
    </w:p>
  </w:footnote>
  <w:footnote w:id="12">
    <w:p w:rsidR="006012AF" w:rsidRPr="000A57DA" w:rsidRDefault="006012AF" w:rsidP="00F466C8">
      <w:pPr>
        <w:ind w:left="567" w:hanging="567"/>
        <w:rPr>
          <w:color w:val="000000"/>
          <w:lang w:val="fi-FI"/>
        </w:rPr>
      </w:pPr>
      <w:r w:rsidRPr="00F466C8">
        <w:rPr>
          <w:rStyle w:val="FootnoteReference"/>
        </w:rPr>
        <w:footnoteRef/>
      </w:r>
      <w:r w:rsidR="00F466C8" w:rsidRPr="000A57DA">
        <w:rPr>
          <w:color w:val="000000"/>
          <w:lang w:val="fi-FI"/>
        </w:rPr>
        <w:t xml:space="preserve"> </w:t>
      </w:r>
      <w:r w:rsidR="00F466C8" w:rsidRPr="000A57DA">
        <w:rPr>
          <w:color w:val="000000"/>
          <w:lang w:val="fi-FI"/>
        </w:rPr>
        <w:tab/>
      </w:r>
      <w:r w:rsidRPr="00F466C8">
        <w:rPr>
          <w:color w:val="000000"/>
        </w:rPr>
        <w:t>ΕΕ</w:t>
      </w:r>
      <w:r w:rsidRPr="000A57DA">
        <w:rPr>
          <w:color w:val="000000"/>
          <w:lang w:val="fi-FI"/>
        </w:rPr>
        <w:t xml:space="preserve"> L, 2025/31, 27.2.2025, ELI: </w:t>
      </w:r>
      <w:hyperlink r:id="rId8" w:history="1">
        <w:r w:rsidRPr="000A57DA">
          <w:rPr>
            <w:rStyle w:val="Hyperlink"/>
            <w:lang w:val="fi-FI"/>
          </w:rPr>
          <w:t>http://data.europa.eu/eli/budget/2025/31/oj</w:t>
        </w:r>
      </w:hyperlink>
      <w:r w:rsidRPr="000A57DA">
        <w:rPr>
          <w:color w:val="000000"/>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232820"/>
    <w:multiLevelType w:val="hybridMultilevel"/>
    <w:tmpl w:val="868C2C10"/>
    <w:lvl w:ilvl="0" w:tplc="4BB82C5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F814EE"/>
    <w:multiLevelType w:val="hybridMultilevel"/>
    <w:tmpl w:val="3586C4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EL"/>
    <w:docVar w:name="dvnumam" w:val="0"/>
    <w:docVar w:name="dvpe" w:val="770.074"/>
    <w:docVar w:name="dvrapporteur" w:val="Εισηγητής: "/>
    <w:docVar w:name="dvtitre" w:val="Ψήφισμα του Ευρωπαϊκού Κοινοβουλίου σχετικά με την κατάσταση προβλέψεων των εσόδων και δαπανών του Ευρωπαϊκού Κοινοβουλίου για το οικονομικό έτος 2026(2024/2111(BUI))"/>
  </w:docVars>
  <w:rsids>
    <w:rsidRoot w:val="00684C05"/>
    <w:rsid w:val="00002272"/>
    <w:rsid w:val="00064002"/>
    <w:rsid w:val="000677B9"/>
    <w:rsid w:val="000831BA"/>
    <w:rsid w:val="000A42CC"/>
    <w:rsid w:val="000A57DA"/>
    <w:rsid w:val="000E7DD9"/>
    <w:rsid w:val="0010095E"/>
    <w:rsid w:val="00125B37"/>
    <w:rsid w:val="00187494"/>
    <w:rsid w:val="001F32AE"/>
    <w:rsid w:val="002767FF"/>
    <w:rsid w:val="002A32F8"/>
    <w:rsid w:val="002B18FE"/>
    <w:rsid w:val="002B5493"/>
    <w:rsid w:val="00343214"/>
    <w:rsid w:val="00361C00"/>
    <w:rsid w:val="00395FA1"/>
    <w:rsid w:val="003E15D4"/>
    <w:rsid w:val="00411CCE"/>
    <w:rsid w:val="0041666E"/>
    <w:rsid w:val="00421060"/>
    <w:rsid w:val="00471C19"/>
    <w:rsid w:val="004867E3"/>
    <w:rsid w:val="00494A28"/>
    <w:rsid w:val="004A6E63"/>
    <w:rsid w:val="004C0004"/>
    <w:rsid w:val="004C5D52"/>
    <w:rsid w:val="0050519A"/>
    <w:rsid w:val="005072A1"/>
    <w:rsid w:val="00514517"/>
    <w:rsid w:val="00545827"/>
    <w:rsid w:val="00560270"/>
    <w:rsid w:val="005C2568"/>
    <w:rsid w:val="005F1B17"/>
    <w:rsid w:val="006012AF"/>
    <w:rsid w:val="006037C0"/>
    <w:rsid w:val="006631B6"/>
    <w:rsid w:val="00680577"/>
    <w:rsid w:val="00684C0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66C"/>
    <w:rsid w:val="00A778C7"/>
    <w:rsid w:val="00A9215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6C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6DEDF"/>
  <w15:chartTrackingRefBased/>
  <w15:docId w15:val="{4E852729-C64D-4DE8-9067-73ED8F4F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12AF"/>
    <w:rPr>
      <w:b/>
      <w:kern w:val="28"/>
      <w:sz w:val="28"/>
      <w:lang w:val="fr-FR" w:eastAsia="fr-FR"/>
    </w:rPr>
  </w:style>
  <w:style w:type="character" w:customStyle="1" w:styleId="Heading2Char">
    <w:name w:val="Heading 2 Char"/>
    <w:basedOn w:val="DefaultParagraphFont"/>
    <w:link w:val="Heading2"/>
    <w:uiPriority w:val="9"/>
    <w:rsid w:val="006012AF"/>
    <w:rPr>
      <w:sz w:val="24"/>
      <w:lang w:val="fr-FR" w:eastAsia="fr-FR"/>
    </w:rPr>
  </w:style>
  <w:style w:type="character" w:customStyle="1" w:styleId="Heading3Char">
    <w:name w:val="Heading 3 Char"/>
    <w:basedOn w:val="DefaultParagraphFont"/>
    <w:link w:val="Heading3"/>
    <w:uiPriority w:val="9"/>
    <w:rsid w:val="006012AF"/>
    <w:rPr>
      <w:rFonts w:ascii="Arial" w:hAnsi="Arial"/>
      <w:sz w:val="24"/>
      <w:lang w:val="fr-FR" w:eastAsia="fr-FR"/>
    </w:rPr>
  </w:style>
  <w:style w:type="character" w:customStyle="1" w:styleId="Heading4Char">
    <w:name w:val="Heading 4 Char"/>
    <w:basedOn w:val="DefaultParagraphFont"/>
    <w:link w:val="Heading4"/>
    <w:uiPriority w:val="9"/>
    <w:rsid w:val="006012AF"/>
    <w:rPr>
      <w:sz w:val="24"/>
      <w:lang w:val="en-US" w:eastAsia="fr-FR"/>
    </w:rPr>
  </w:style>
  <w:style w:type="character" w:customStyle="1" w:styleId="Heading5Char">
    <w:name w:val="Heading 5 Char"/>
    <w:basedOn w:val="DefaultParagraphFont"/>
    <w:link w:val="Heading5"/>
    <w:uiPriority w:val="9"/>
    <w:rsid w:val="006012AF"/>
    <w:rPr>
      <w:sz w:val="24"/>
      <w:lang w:val="en-US" w:eastAsia="fr-FR"/>
    </w:rPr>
  </w:style>
  <w:style w:type="character" w:customStyle="1" w:styleId="Heading6Char">
    <w:name w:val="Heading 6 Char"/>
    <w:basedOn w:val="DefaultParagraphFont"/>
    <w:link w:val="Heading6"/>
    <w:uiPriority w:val="9"/>
    <w:rsid w:val="006012AF"/>
    <w:rPr>
      <w:i/>
      <w:sz w:val="22"/>
      <w:lang w:val="el-GR"/>
    </w:rPr>
  </w:style>
  <w:style w:type="character" w:customStyle="1" w:styleId="Heading7Char">
    <w:name w:val="Heading 7 Char"/>
    <w:basedOn w:val="DefaultParagraphFont"/>
    <w:link w:val="Heading7"/>
    <w:uiPriority w:val="9"/>
    <w:rsid w:val="006012AF"/>
    <w:rPr>
      <w:rFonts w:ascii="Arial" w:hAnsi="Arial"/>
      <w:sz w:val="24"/>
      <w:lang w:val="el-GR"/>
    </w:rPr>
  </w:style>
  <w:style w:type="character" w:customStyle="1" w:styleId="Heading8Char">
    <w:name w:val="Heading 8 Char"/>
    <w:basedOn w:val="DefaultParagraphFont"/>
    <w:link w:val="Heading8"/>
    <w:uiPriority w:val="9"/>
    <w:rsid w:val="006012AF"/>
    <w:rPr>
      <w:rFonts w:ascii="Arial" w:hAnsi="Arial"/>
      <w:i/>
      <w:sz w:val="24"/>
      <w:lang w:val="el-GR"/>
    </w:rPr>
  </w:style>
  <w:style w:type="character" w:customStyle="1" w:styleId="Heading9Char">
    <w:name w:val="Heading 9 Char"/>
    <w:basedOn w:val="DefaultParagraphFont"/>
    <w:link w:val="Heading9"/>
    <w:uiPriority w:val="9"/>
    <w:rsid w:val="006012AF"/>
    <w:rPr>
      <w:rFonts w:ascii="Arial" w:hAnsi="Arial"/>
      <w:b/>
      <w:i/>
      <w:sz w:val="18"/>
      <w:lang w:val="el-GR"/>
    </w:rPr>
  </w:style>
  <w:style w:type="paragraph" w:styleId="TOCHeading">
    <w:name w:val="TOC Heading"/>
    <w:basedOn w:val="Normal"/>
    <w:next w:val="Normal"/>
    <w:uiPriority w:val="39"/>
    <w:unhideWhenUsed/>
    <w:qFormat/>
    <w:rsid w:val="006012AF"/>
    <w:pPr>
      <w:widowControl/>
      <w:spacing w:after="240"/>
    </w:pPr>
    <w:rPr>
      <w:lang w:val="en-GB"/>
    </w:rPr>
  </w:style>
  <w:style w:type="paragraph" w:customStyle="1" w:styleId="EPFooter2">
    <w:name w:val="EPFooter2"/>
    <w:basedOn w:val="Normal"/>
    <w:next w:val="Normal"/>
    <w:rsid w:val="006012A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012AF"/>
    <w:pPr>
      <w:spacing w:after="240"/>
    </w:pPr>
  </w:style>
  <w:style w:type="paragraph" w:customStyle="1" w:styleId="TOCPage">
    <w:name w:val="TOC Page"/>
    <w:basedOn w:val="Normal"/>
    <w:next w:val="TOC1"/>
    <w:rsid w:val="006012AF"/>
    <w:pPr>
      <w:keepNext/>
      <w:spacing w:after="240"/>
      <w:jc w:val="right"/>
    </w:pPr>
    <w:rPr>
      <w:rFonts w:ascii="Arial" w:hAnsi="Arial"/>
      <w:b/>
    </w:rPr>
  </w:style>
  <w:style w:type="paragraph" w:customStyle="1" w:styleId="PageHeading">
    <w:name w:val="PageHeading"/>
    <w:basedOn w:val="Normal"/>
    <w:rsid w:val="006012AF"/>
    <w:pPr>
      <w:keepNext/>
      <w:spacing w:after="480"/>
      <w:jc w:val="center"/>
    </w:pPr>
    <w:rPr>
      <w:rFonts w:ascii="Arial" w:hAnsi="Arial" w:cs="Arial"/>
      <w:b/>
    </w:rPr>
  </w:style>
  <w:style w:type="paragraph" w:customStyle="1" w:styleId="NormalBold">
    <w:name w:val="NormalBold"/>
    <w:basedOn w:val="Normal"/>
    <w:rsid w:val="006012AF"/>
    <w:rPr>
      <w:b/>
    </w:rPr>
  </w:style>
  <w:style w:type="paragraph" w:customStyle="1" w:styleId="NormalHanging12a">
    <w:name w:val="NormalHanging12a"/>
    <w:basedOn w:val="Normal"/>
    <w:link w:val="NormalHanging12aChar"/>
    <w:rsid w:val="006012AF"/>
    <w:pPr>
      <w:spacing w:after="240"/>
      <w:ind w:left="567" w:hanging="567"/>
    </w:pPr>
  </w:style>
  <w:style w:type="paragraph" w:customStyle="1" w:styleId="CoverNormal24a">
    <w:name w:val="CoverNormal24a"/>
    <w:basedOn w:val="Normal"/>
    <w:rsid w:val="006012AF"/>
    <w:pPr>
      <w:spacing w:after="480"/>
      <w:ind w:left="1417"/>
    </w:pPr>
  </w:style>
  <w:style w:type="paragraph" w:customStyle="1" w:styleId="CoverNormal">
    <w:name w:val="CoverNormal"/>
    <w:basedOn w:val="Normal"/>
    <w:rsid w:val="006012AF"/>
    <w:pPr>
      <w:ind w:left="1418"/>
    </w:pPr>
  </w:style>
  <w:style w:type="paragraph" w:customStyle="1" w:styleId="CoverReference">
    <w:name w:val="CoverReference"/>
    <w:basedOn w:val="Normal"/>
    <w:rsid w:val="006012AF"/>
    <w:pPr>
      <w:spacing w:before="1080"/>
      <w:jc w:val="right"/>
    </w:pPr>
    <w:rPr>
      <w:rFonts w:ascii="Arial" w:hAnsi="Arial" w:cs="Arial"/>
      <w:b/>
    </w:rPr>
  </w:style>
  <w:style w:type="paragraph" w:customStyle="1" w:styleId="CoverDocType24a">
    <w:name w:val="CoverDocType24a"/>
    <w:basedOn w:val="Normal"/>
    <w:rsid w:val="006012AF"/>
    <w:pPr>
      <w:spacing w:after="480"/>
      <w:ind w:left="1418"/>
    </w:pPr>
    <w:rPr>
      <w:rFonts w:ascii="Arial" w:hAnsi="Arial"/>
      <w:b/>
      <w:sz w:val="48"/>
    </w:rPr>
  </w:style>
  <w:style w:type="paragraph" w:customStyle="1" w:styleId="CoverDate">
    <w:name w:val="CoverDate"/>
    <w:basedOn w:val="Normal"/>
    <w:rsid w:val="006012AF"/>
    <w:pPr>
      <w:spacing w:before="240" w:after="1200"/>
    </w:pPr>
  </w:style>
  <w:style w:type="paragraph" w:customStyle="1" w:styleId="EPBody">
    <w:name w:val="EPBody"/>
    <w:basedOn w:val="Normal"/>
    <w:rsid w:val="006012AF"/>
    <w:pPr>
      <w:jc w:val="center"/>
    </w:pPr>
    <w:rPr>
      <w:rFonts w:ascii="Arial" w:hAnsi="Arial" w:cs="Arial"/>
      <w:i/>
      <w:sz w:val="22"/>
      <w:szCs w:val="22"/>
    </w:rPr>
  </w:style>
  <w:style w:type="paragraph" w:customStyle="1" w:styleId="EPFooter">
    <w:name w:val="EPFooter"/>
    <w:basedOn w:val="Normal"/>
    <w:rsid w:val="006012AF"/>
    <w:pPr>
      <w:tabs>
        <w:tab w:val="center" w:pos="4535"/>
        <w:tab w:val="right" w:pos="9071"/>
      </w:tabs>
      <w:spacing w:before="240" w:after="240"/>
    </w:pPr>
    <w:rPr>
      <w:color w:val="010000"/>
      <w:sz w:val="22"/>
    </w:rPr>
  </w:style>
  <w:style w:type="paragraph" w:styleId="Header">
    <w:name w:val="header"/>
    <w:basedOn w:val="Normal"/>
    <w:link w:val="HeaderChar"/>
    <w:uiPriority w:val="99"/>
    <w:rsid w:val="006012AF"/>
    <w:pPr>
      <w:tabs>
        <w:tab w:val="center" w:pos="4513"/>
        <w:tab w:val="right" w:pos="9026"/>
      </w:tabs>
    </w:pPr>
  </w:style>
  <w:style w:type="character" w:customStyle="1" w:styleId="HeaderChar">
    <w:name w:val="Header Char"/>
    <w:basedOn w:val="DefaultParagraphFont"/>
    <w:link w:val="Header"/>
    <w:uiPriority w:val="99"/>
    <w:rsid w:val="006012AF"/>
    <w:rPr>
      <w:sz w:val="24"/>
      <w:lang w:val="el-GR"/>
    </w:rPr>
  </w:style>
  <w:style w:type="paragraph" w:customStyle="1" w:styleId="EPComma">
    <w:name w:val="EPComma"/>
    <w:basedOn w:val="Normal"/>
    <w:rsid w:val="006012AF"/>
    <w:pPr>
      <w:spacing w:before="480" w:after="240"/>
    </w:pPr>
  </w:style>
  <w:style w:type="character" w:styleId="Hyperlink">
    <w:name w:val="Hyperlink"/>
    <w:basedOn w:val="DefaultParagraphFont"/>
    <w:uiPriority w:val="99"/>
    <w:rsid w:val="006012AF"/>
    <w:rPr>
      <w:color w:val="0563C1" w:themeColor="hyperlink"/>
      <w:u w:val="single"/>
    </w:rPr>
  </w:style>
  <w:style w:type="paragraph" w:customStyle="1" w:styleId="FootnoteReference1">
    <w:name w:val="Footnote Reference1"/>
    <w:basedOn w:val="Normal"/>
    <w:link w:val="FootnoteReference"/>
    <w:rsid w:val="006012AF"/>
    <w:pPr>
      <w:widowControl/>
      <w:spacing w:after="160" w:line="240" w:lineRule="exact"/>
    </w:pPr>
    <w:rPr>
      <w:sz w:val="20"/>
      <w:vertAlign w:val="superscript"/>
      <w:lang w:val="en-GB"/>
    </w:rPr>
  </w:style>
  <w:style w:type="paragraph" w:styleId="Footer">
    <w:name w:val="footer"/>
    <w:basedOn w:val="Normal"/>
    <w:link w:val="FooterChar"/>
    <w:uiPriority w:val="99"/>
    <w:rsid w:val="006012AF"/>
    <w:pPr>
      <w:tabs>
        <w:tab w:val="center" w:pos="4513"/>
        <w:tab w:val="right" w:pos="9026"/>
      </w:tabs>
    </w:pPr>
  </w:style>
  <w:style w:type="character" w:customStyle="1" w:styleId="FooterChar">
    <w:name w:val="Footer Char"/>
    <w:basedOn w:val="DefaultParagraphFont"/>
    <w:link w:val="Footer"/>
    <w:uiPriority w:val="99"/>
    <w:rsid w:val="006012AF"/>
    <w:rPr>
      <w:sz w:val="24"/>
      <w:lang w:val="el-GR"/>
    </w:rPr>
  </w:style>
  <w:style w:type="paragraph" w:styleId="BalloonText">
    <w:name w:val="Balloon Text"/>
    <w:basedOn w:val="Normal"/>
    <w:link w:val="BalloonTextChar"/>
    <w:uiPriority w:val="99"/>
    <w:unhideWhenUsed/>
    <w:rsid w:val="006012AF"/>
    <w:rPr>
      <w:rFonts w:ascii="Segoe UI" w:hAnsi="Segoe UI" w:cs="Segoe UI"/>
      <w:sz w:val="18"/>
      <w:szCs w:val="18"/>
    </w:rPr>
  </w:style>
  <w:style w:type="character" w:customStyle="1" w:styleId="BalloonTextChar">
    <w:name w:val="Balloon Text Char"/>
    <w:basedOn w:val="DefaultParagraphFont"/>
    <w:link w:val="BalloonText"/>
    <w:uiPriority w:val="99"/>
    <w:rsid w:val="006012AF"/>
    <w:rPr>
      <w:rFonts w:ascii="Segoe UI" w:hAnsi="Segoe UI" w:cs="Segoe UI"/>
      <w:sz w:val="18"/>
      <w:szCs w:val="18"/>
      <w:lang w:val="el-GR"/>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6012AF"/>
    <w:pPr>
      <w:ind w:left="720"/>
      <w:contextualSpacing/>
    </w:pPr>
  </w:style>
  <w:style w:type="character" w:customStyle="1" w:styleId="NormalHanging12aChar">
    <w:name w:val="NormalHanging12a Char"/>
    <w:basedOn w:val="DefaultParagraphFont"/>
    <w:link w:val="NormalHanging12a"/>
    <w:locked/>
    <w:rsid w:val="006012AF"/>
    <w:rPr>
      <w:sz w:val="24"/>
      <w:lang w:val="el-GR"/>
    </w:rPr>
  </w:style>
  <w:style w:type="paragraph" w:customStyle="1" w:styleId="Normal24a">
    <w:name w:val="Normal24a"/>
    <w:basedOn w:val="Normal"/>
    <w:rsid w:val="006012AF"/>
    <w:pPr>
      <w:spacing w:after="480"/>
    </w:pPr>
  </w:style>
  <w:style w:type="paragraph" w:customStyle="1" w:styleId="NormalBoldCenter">
    <w:name w:val="NormalBoldCenter"/>
    <w:basedOn w:val="Normal"/>
    <w:rsid w:val="006012AF"/>
    <w:pPr>
      <w:jc w:val="center"/>
    </w:pPr>
    <w:rPr>
      <w:b/>
    </w:rPr>
  </w:style>
  <w:style w:type="paragraph" w:customStyle="1" w:styleId="Footprint12b">
    <w:name w:val="Footprint12b"/>
    <w:basedOn w:val="Normal"/>
    <w:rsid w:val="006012AF"/>
    <w:pPr>
      <w:spacing w:before="240"/>
    </w:pPr>
    <w:rPr>
      <w:szCs w:val="24"/>
    </w:rPr>
  </w:style>
  <w:style w:type="paragraph" w:customStyle="1" w:styleId="NormalSingle">
    <w:name w:val="NormalSingle"/>
    <w:basedOn w:val="Normal"/>
    <w:qFormat/>
    <w:rsid w:val="006012AF"/>
    <w:rPr>
      <w:szCs w:val="24"/>
    </w:rPr>
  </w:style>
  <w:style w:type="character" w:styleId="CommentReference">
    <w:name w:val="annotation reference"/>
    <w:basedOn w:val="DefaultParagraphFont"/>
    <w:rsid w:val="006012AF"/>
    <w:rPr>
      <w:sz w:val="16"/>
      <w:szCs w:val="16"/>
    </w:rPr>
  </w:style>
  <w:style w:type="paragraph" w:styleId="CommentText">
    <w:name w:val="annotation text"/>
    <w:basedOn w:val="Normal"/>
    <w:link w:val="CommentTextChar"/>
    <w:uiPriority w:val="99"/>
    <w:rsid w:val="006012AF"/>
    <w:rPr>
      <w:sz w:val="20"/>
    </w:rPr>
  </w:style>
  <w:style w:type="character" w:customStyle="1" w:styleId="CommentTextChar">
    <w:name w:val="Comment Text Char"/>
    <w:basedOn w:val="DefaultParagraphFont"/>
    <w:link w:val="CommentText"/>
    <w:uiPriority w:val="99"/>
    <w:rsid w:val="006012AF"/>
    <w:rPr>
      <w:lang w:val="el-GR"/>
    </w:rPr>
  </w:style>
  <w:style w:type="paragraph" w:styleId="CommentSubject">
    <w:name w:val="annotation subject"/>
    <w:basedOn w:val="CommentText"/>
    <w:next w:val="CommentText"/>
    <w:link w:val="CommentSubjectChar"/>
    <w:uiPriority w:val="99"/>
    <w:unhideWhenUsed/>
    <w:rsid w:val="006012AF"/>
    <w:rPr>
      <w:b/>
      <w:bCs/>
    </w:rPr>
  </w:style>
  <w:style w:type="character" w:customStyle="1" w:styleId="CommentSubjectChar">
    <w:name w:val="Comment Subject Char"/>
    <w:basedOn w:val="CommentTextChar"/>
    <w:link w:val="CommentSubject"/>
    <w:uiPriority w:val="99"/>
    <w:rsid w:val="006012AF"/>
    <w:rPr>
      <w:b/>
      <w:bCs/>
      <w:lang w:val="el-GR"/>
    </w:rPr>
  </w:style>
  <w:style w:type="paragraph" w:styleId="Title">
    <w:name w:val="Title"/>
    <w:basedOn w:val="Normal"/>
    <w:next w:val="Normal"/>
    <w:link w:val="TitleChar"/>
    <w:uiPriority w:val="10"/>
    <w:qFormat/>
    <w:rsid w:val="006012A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012AF"/>
    <w:rPr>
      <w:rFonts w:ascii="Arial" w:eastAsiaTheme="majorEastAsia" w:hAnsi="Arial" w:cs="Arial"/>
      <w:b/>
      <w:bCs/>
      <w:kern w:val="28"/>
      <w:sz w:val="32"/>
      <w:szCs w:val="32"/>
      <w:lang w:val="el-GR" w:eastAsia="en-US"/>
    </w:rPr>
  </w:style>
  <w:style w:type="paragraph" w:styleId="Subtitle">
    <w:name w:val="Subtitle"/>
    <w:basedOn w:val="Normal"/>
    <w:next w:val="Normal"/>
    <w:link w:val="SubtitleChar"/>
    <w:uiPriority w:val="11"/>
    <w:qFormat/>
    <w:rsid w:val="006012A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012AF"/>
    <w:rPr>
      <w:rFonts w:ascii="Arial" w:eastAsiaTheme="majorEastAsia" w:hAnsi="Arial" w:cs="Arial"/>
      <w:sz w:val="24"/>
      <w:szCs w:val="24"/>
      <w:lang w:val="el-GR" w:eastAsia="en-US"/>
    </w:rPr>
  </w:style>
  <w:style w:type="character" w:styleId="Strong">
    <w:name w:val="Strong"/>
    <w:basedOn w:val="DefaultParagraphFont"/>
    <w:uiPriority w:val="22"/>
    <w:qFormat/>
    <w:rsid w:val="006012AF"/>
    <w:rPr>
      <w:b/>
      <w:bCs/>
    </w:rPr>
  </w:style>
  <w:style w:type="character" w:styleId="Emphasis">
    <w:name w:val="Emphasis"/>
    <w:basedOn w:val="DefaultParagraphFont"/>
    <w:uiPriority w:val="20"/>
    <w:qFormat/>
    <w:rsid w:val="006012AF"/>
    <w:rPr>
      <w:rFonts w:asciiTheme="minorHAnsi" w:hAnsiTheme="minorHAnsi"/>
      <w:b/>
      <w:i/>
      <w:iCs/>
    </w:rPr>
  </w:style>
  <w:style w:type="paragraph" w:styleId="NoSpacing">
    <w:name w:val="No Spacing"/>
    <w:basedOn w:val="Normal"/>
    <w:uiPriority w:val="1"/>
    <w:qFormat/>
    <w:rsid w:val="006012AF"/>
    <w:pPr>
      <w:widowControl/>
      <w:jc w:val="both"/>
    </w:pPr>
    <w:rPr>
      <w:rFonts w:eastAsiaTheme="minorHAnsi"/>
      <w:szCs w:val="32"/>
      <w:lang w:eastAsia="en-US"/>
    </w:rPr>
  </w:style>
  <w:style w:type="paragraph" w:styleId="Quote">
    <w:name w:val="Quote"/>
    <w:basedOn w:val="Normal"/>
    <w:next w:val="Normal"/>
    <w:link w:val="QuoteChar"/>
    <w:uiPriority w:val="29"/>
    <w:qFormat/>
    <w:rsid w:val="006012A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012AF"/>
    <w:rPr>
      <w:rFonts w:eastAsiaTheme="minorHAnsi"/>
      <w:i/>
      <w:sz w:val="24"/>
      <w:szCs w:val="24"/>
      <w:lang w:val="el-GR" w:eastAsia="en-US"/>
    </w:rPr>
  </w:style>
  <w:style w:type="paragraph" w:styleId="IntenseQuote">
    <w:name w:val="Intense Quote"/>
    <w:basedOn w:val="Normal"/>
    <w:next w:val="Normal"/>
    <w:link w:val="IntenseQuoteChar"/>
    <w:uiPriority w:val="30"/>
    <w:qFormat/>
    <w:rsid w:val="006012A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012AF"/>
    <w:rPr>
      <w:rFonts w:eastAsiaTheme="minorHAnsi"/>
      <w:b/>
      <w:i/>
      <w:sz w:val="24"/>
      <w:szCs w:val="22"/>
      <w:lang w:val="el-GR" w:eastAsia="en-US"/>
    </w:rPr>
  </w:style>
  <w:style w:type="character" w:styleId="SubtleEmphasis">
    <w:name w:val="Subtle Emphasis"/>
    <w:uiPriority w:val="19"/>
    <w:qFormat/>
    <w:rsid w:val="006012AF"/>
    <w:rPr>
      <w:i/>
      <w:color w:val="5A5A5A" w:themeColor="text1" w:themeTint="A5"/>
    </w:rPr>
  </w:style>
  <w:style w:type="character" w:styleId="IntenseEmphasis">
    <w:name w:val="Intense Emphasis"/>
    <w:basedOn w:val="DefaultParagraphFont"/>
    <w:uiPriority w:val="21"/>
    <w:qFormat/>
    <w:rsid w:val="006012AF"/>
    <w:rPr>
      <w:b/>
      <w:i/>
      <w:sz w:val="24"/>
      <w:szCs w:val="24"/>
      <w:u w:val="single"/>
    </w:rPr>
  </w:style>
  <w:style w:type="character" w:styleId="SubtleReference">
    <w:name w:val="Subtle Reference"/>
    <w:basedOn w:val="DefaultParagraphFont"/>
    <w:uiPriority w:val="31"/>
    <w:qFormat/>
    <w:rsid w:val="006012AF"/>
    <w:rPr>
      <w:sz w:val="24"/>
      <w:szCs w:val="24"/>
      <w:u w:val="single"/>
    </w:rPr>
  </w:style>
  <w:style w:type="character" w:styleId="IntenseReference">
    <w:name w:val="Intense Reference"/>
    <w:basedOn w:val="DefaultParagraphFont"/>
    <w:uiPriority w:val="32"/>
    <w:qFormat/>
    <w:rsid w:val="006012AF"/>
    <w:rPr>
      <w:b/>
      <w:sz w:val="24"/>
      <w:u w:val="single"/>
    </w:rPr>
  </w:style>
  <w:style w:type="character" w:styleId="BookTitle">
    <w:name w:val="Book Title"/>
    <w:basedOn w:val="DefaultParagraphFont"/>
    <w:uiPriority w:val="33"/>
    <w:qFormat/>
    <w:rsid w:val="006012AF"/>
    <w:rPr>
      <w:rFonts w:asciiTheme="majorHAnsi" w:eastAsiaTheme="majorEastAsia" w:hAnsiTheme="majorHAnsi"/>
      <w:b/>
      <w:i/>
      <w:sz w:val="24"/>
      <w:szCs w:val="24"/>
    </w:rPr>
  </w:style>
  <w:style w:type="paragraph" w:customStyle="1" w:styleId="TableTitle">
    <w:name w:val="Table Title"/>
    <w:basedOn w:val="Normal"/>
    <w:uiPriority w:val="99"/>
    <w:rsid w:val="006012AF"/>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6012AF"/>
    <w:pPr>
      <w:keepNext/>
      <w:widowControl/>
    </w:pPr>
    <w:rPr>
      <w:rFonts w:eastAsiaTheme="minorEastAsia"/>
      <w:sz w:val="18"/>
      <w:szCs w:val="18"/>
    </w:rPr>
  </w:style>
  <w:style w:type="paragraph" w:customStyle="1" w:styleId="NormalRight">
    <w:name w:val="Normal Right"/>
    <w:basedOn w:val="Normal"/>
    <w:next w:val="Normal"/>
    <w:uiPriority w:val="99"/>
    <w:rsid w:val="006012AF"/>
    <w:pPr>
      <w:widowControl/>
      <w:spacing w:before="120" w:after="120"/>
      <w:jc w:val="right"/>
    </w:pPr>
    <w:rPr>
      <w:rFonts w:eastAsiaTheme="minorEastAsia"/>
      <w:szCs w:val="24"/>
    </w:rPr>
  </w:style>
  <w:style w:type="paragraph" w:customStyle="1" w:styleId="ReusedInfo">
    <w:name w:val="ReusedInfo"/>
    <w:next w:val="Normal"/>
    <w:uiPriority w:val="99"/>
    <w:rsid w:val="006012AF"/>
    <w:pPr>
      <w:shd w:val="clear" w:color="auto" w:fill="C0C0C0"/>
      <w:spacing w:before="60" w:after="60"/>
    </w:pPr>
    <w:rPr>
      <w:rFonts w:eastAsiaTheme="minorEastAsia"/>
      <w:lang w:val="el-GR"/>
    </w:rPr>
  </w:style>
  <w:style w:type="paragraph" w:customStyle="1" w:styleId="Section">
    <w:name w:val="Section"/>
    <w:basedOn w:val="Normal"/>
    <w:next w:val="Normal"/>
    <w:uiPriority w:val="99"/>
    <w:rsid w:val="006012AF"/>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6012AF"/>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6012AF"/>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6012AF"/>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6012AF"/>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6012AF"/>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6012AF"/>
    <w:pPr>
      <w:keepNext/>
      <w:widowControl/>
      <w:spacing w:before="480" w:after="120"/>
    </w:pPr>
    <w:rPr>
      <w:rFonts w:eastAsiaTheme="minorEastAsia"/>
      <w:b/>
      <w:bCs/>
      <w:i/>
      <w:iCs/>
      <w:szCs w:val="24"/>
    </w:rPr>
  </w:style>
  <w:style w:type="paragraph" w:customStyle="1" w:styleId="Item">
    <w:name w:val="Item"/>
    <w:basedOn w:val="Normal"/>
    <w:next w:val="Normal"/>
    <w:uiPriority w:val="99"/>
    <w:rsid w:val="006012AF"/>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6012AF"/>
    <w:pPr>
      <w:keepNext/>
      <w:widowControl/>
      <w:spacing w:before="480" w:after="120"/>
    </w:pPr>
    <w:rPr>
      <w:rFonts w:eastAsiaTheme="minorEastAsia"/>
      <w:sz w:val="20"/>
    </w:rPr>
  </w:style>
  <w:style w:type="paragraph" w:customStyle="1" w:styleId="Annex">
    <w:name w:val="Annex"/>
    <w:basedOn w:val="Normal"/>
    <w:next w:val="Normal"/>
    <w:uiPriority w:val="99"/>
    <w:rsid w:val="006012AF"/>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6012AF"/>
    <w:pPr>
      <w:widowControl/>
      <w:spacing w:before="120" w:after="120"/>
    </w:pPr>
    <w:rPr>
      <w:rFonts w:eastAsiaTheme="minorEastAsia"/>
      <w:i/>
      <w:iCs/>
      <w:sz w:val="20"/>
    </w:rPr>
  </w:style>
  <w:style w:type="paragraph" w:customStyle="1" w:styleId="Objective">
    <w:name w:val="Objective"/>
    <w:basedOn w:val="Normal"/>
    <w:next w:val="Normal"/>
    <w:uiPriority w:val="99"/>
    <w:rsid w:val="006012AF"/>
    <w:pPr>
      <w:keepNext/>
      <w:widowControl/>
      <w:spacing w:before="120" w:after="120"/>
    </w:pPr>
    <w:rPr>
      <w:rFonts w:eastAsiaTheme="minorEastAsia"/>
      <w:i/>
      <w:iCs/>
      <w:sz w:val="20"/>
    </w:rPr>
  </w:style>
  <w:style w:type="paragraph" w:customStyle="1" w:styleId="Figures">
    <w:name w:val="Figures"/>
    <w:basedOn w:val="Normal"/>
    <w:next w:val="Normal"/>
    <w:uiPriority w:val="99"/>
    <w:rsid w:val="006012AF"/>
    <w:pPr>
      <w:keepNext/>
      <w:widowControl/>
      <w:spacing w:before="120" w:after="120"/>
    </w:pPr>
    <w:rPr>
      <w:rFonts w:eastAsiaTheme="minorEastAsia"/>
      <w:i/>
      <w:iCs/>
      <w:sz w:val="20"/>
    </w:rPr>
  </w:style>
  <w:style w:type="paragraph" w:customStyle="1" w:styleId="Remarks">
    <w:name w:val="Remarks"/>
    <w:basedOn w:val="Normal"/>
    <w:next w:val="Normal"/>
    <w:uiPriority w:val="99"/>
    <w:rsid w:val="006012AF"/>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6012AF"/>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6012AF"/>
    <w:pPr>
      <w:keepNext/>
      <w:widowControl/>
      <w:spacing w:before="120" w:after="120"/>
    </w:pPr>
    <w:rPr>
      <w:rFonts w:eastAsiaTheme="minorEastAsia"/>
      <w:i/>
      <w:iCs/>
      <w:sz w:val="20"/>
    </w:rPr>
  </w:style>
  <w:style w:type="paragraph" w:customStyle="1" w:styleId="Reference">
    <w:name w:val="Reference"/>
    <w:basedOn w:val="Normal"/>
    <w:next w:val="Normal"/>
    <w:uiPriority w:val="99"/>
    <w:rsid w:val="006012AF"/>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6012AF"/>
  </w:style>
  <w:style w:type="character" w:customStyle="1" w:styleId="tw4winInternal">
    <w:name w:val="tw4winInternal"/>
    <w:basedOn w:val="DefaultParagraphFont"/>
    <w:uiPriority w:val="99"/>
    <w:rsid w:val="006012AF"/>
    <w:rPr>
      <w:sz w:val="16"/>
      <w:szCs w:val="16"/>
      <w:u w:val="dash"/>
      <w:shd w:val="clear" w:color="auto" w:fill="FFFF00"/>
    </w:rPr>
  </w:style>
  <w:style w:type="character" w:customStyle="1" w:styleId="ReusedInlineInfo">
    <w:name w:val="ReusedInlineInfo"/>
    <w:basedOn w:val="DefaultParagraphFont"/>
    <w:uiPriority w:val="99"/>
    <w:rsid w:val="006012AF"/>
    <w:rPr>
      <w:sz w:val="16"/>
      <w:szCs w:val="16"/>
      <w:u w:val="dash"/>
      <w:shd w:val="clear" w:color="auto" w:fill="FFFF00"/>
    </w:rPr>
  </w:style>
  <w:style w:type="character" w:customStyle="1" w:styleId="Error">
    <w:name w:val="Error"/>
    <w:basedOn w:val="DefaultParagraphFont"/>
    <w:uiPriority w:val="99"/>
    <w:rsid w:val="006012AF"/>
    <w:rPr>
      <w:shd w:val="clear" w:color="auto" w:fill="FF0000"/>
    </w:rPr>
  </w:style>
  <w:style w:type="paragraph" w:styleId="Revision">
    <w:name w:val="Revision"/>
    <w:hidden/>
    <w:uiPriority w:val="99"/>
    <w:semiHidden/>
    <w:rsid w:val="006012AF"/>
    <w:rPr>
      <w:rFonts w:eastAsiaTheme="minorHAnsi"/>
      <w:sz w:val="24"/>
      <w:szCs w:val="24"/>
      <w:lang w:val="el-GR" w:eastAsia="en-US"/>
    </w:rPr>
  </w:style>
  <w:style w:type="numbering" w:customStyle="1" w:styleId="NoList1">
    <w:name w:val="No List1"/>
    <w:next w:val="NoList"/>
    <w:uiPriority w:val="99"/>
    <w:semiHidden/>
    <w:unhideWhenUsed/>
    <w:rsid w:val="006012AF"/>
  </w:style>
  <w:style w:type="numbering" w:customStyle="1" w:styleId="NoList2">
    <w:name w:val="No List2"/>
    <w:next w:val="NoList"/>
    <w:uiPriority w:val="99"/>
    <w:semiHidden/>
    <w:unhideWhenUsed/>
    <w:rsid w:val="006012AF"/>
  </w:style>
  <w:style w:type="paragraph" w:customStyle="1" w:styleId="Default">
    <w:name w:val="Default"/>
    <w:rsid w:val="006012AF"/>
    <w:pPr>
      <w:autoSpaceDE w:val="0"/>
      <w:autoSpaceDN w:val="0"/>
      <w:adjustRightInd w:val="0"/>
    </w:pPr>
    <w:rPr>
      <w:rFonts w:eastAsiaTheme="minorHAnsi"/>
      <w:color w:val="000000"/>
      <w:sz w:val="24"/>
      <w:szCs w:val="24"/>
      <w:lang w:val="el-GR"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6012AF"/>
    <w:rPr>
      <w:sz w:val="24"/>
      <w:lang w:val="el-GR"/>
    </w:rPr>
  </w:style>
  <w:style w:type="paragraph" w:customStyle="1" w:styleId="RollCallVotes">
    <w:name w:val="RollCallVotes"/>
    <w:basedOn w:val="Normal"/>
    <w:rsid w:val="006012AF"/>
    <w:pPr>
      <w:spacing w:before="120" w:after="120"/>
      <w:jc w:val="center"/>
    </w:pPr>
    <w:rPr>
      <w:b/>
      <w:bCs/>
      <w:snapToGrid w:val="0"/>
      <w:sz w:val="16"/>
      <w:lang w:eastAsia="en-US"/>
    </w:rPr>
  </w:style>
  <w:style w:type="paragraph" w:customStyle="1" w:styleId="RollCallTabs">
    <w:name w:val="RollCallTabs"/>
    <w:basedOn w:val="Normal"/>
    <w:qFormat/>
    <w:rsid w:val="006012AF"/>
    <w:pPr>
      <w:tabs>
        <w:tab w:val="center" w:pos="284"/>
        <w:tab w:val="left" w:pos="426"/>
      </w:tabs>
    </w:pPr>
    <w:rPr>
      <w:snapToGrid w:val="0"/>
      <w:lang w:eastAsia="en-US"/>
    </w:rPr>
  </w:style>
  <w:style w:type="paragraph" w:customStyle="1" w:styleId="RollCallSymbols14pt">
    <w:name w:val="RollCallSymbols14pt"/>
    <w:basedOn w:val="Normal"/>
    <w:rsid w:val="006012AF"/>
    <w:pPr>
      <w:spacing w:before="120" w:after="120"/>
      <w:jc w:val="center"/>
    </w:pPr>
    <w:rPr>
      <w:rFonts w:ascii="Arial" w:hAnsi="Arial"/>
      <w:b/>
      <w:bCs/>
      <w:snapToGrid w:val="0"/>
      <w:sz w:val="28"/>
      <w:lang w:eastAsia="en-US"/>
    </w:rPr>
  </w:style>
  <w:style w:type="paragraph" w:customStyle="1" w:styleId="RollCallTable">
    <w:name w:val="RollCallTable"/>
    <w:basedOn w:val="Normal"/>
    <w:rsid w:val="006012AF"/>
    <w:pPr>
      <w:spacing w:before="120" w:after="120"/>
    </w:pPr>
    <w:rPr>
      <w:snapToGrid w:val="0"/>
      <w:sz w:val="16"/>
      <w:lang w:eastAsia="en-US"/>
    </w:rPr>
  </w:style>
  <w:style w:type="character" w:styleId="FollowedHyperlink">
    <w:name w:val="FollowedHyperlink"/>
    <w:basedOn w:val="DefaultParagraphFont"/>
    <w:rsid w:val="00A921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5/31/oj" TargetMode="External"/><Relationship Id="rId3" Type="http://schemas.openxmlformats.org/officeDocument/2006/relationships/hyperlink" Target="http://data.europa.eu/eli/reg/2024/765/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DF1F3-8522-453D-95DA-A28EA5AC2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4459</Words>
  <Characters>26349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2025-05-21T06:43:00Z</dcterms:created>
  <dcterms:modified xsi:type="dcterms:W3CDTF">2025-05-21T06:43:00Z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P10_TA(2025)0060_</vt:lpwstr>
  </property>
  <property fmtid="{D5CDD505-2E9C-101B-9397-08002B2CF9AE}" pid="4" name="&lt;Type&gt;">
    <vt:lpwstr>RR</vt:lpwstr>
  </property>
</Properties>
</file>