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6B65" w:rsidTr="0010095E">
        <w:trPr>
          <w:trHeight w:hRule="exact" w:val="1418"/>
        </w:trPr>
        <w:tc>
          <w:tcPr>
            <w:tcW w:w="6804" w:type="dxa"/>
            <w:shd w:val="clear" w:color="auto" w:fill="auto"/>
            <w:vAlign w:val="center"/>
          </w:tcPr>
          <w:p w:rsidR="00751A4A" w:rsidRPr="00106B65" w:rsidRDefault="006C0C54" w:rsidP="0010095E">
            <w:pPr>
              <w:pStyle w:val="EPName"/>
            </w:pPr>
            <w:r w:rsidRPr="00106B65">
              <w:t>Europski parlament</w:t>
            </w:r>
          </w:p>
          <w:p w:rsidR="00751A4A" w:rsidRPr="00106B65" w:rsidRDefault="005F1B17" w:rsidP="005F1B17">
            <w:pPr>
              <w:pStyle w:val="EPTerm"/>
              <w:rPr>
                <w:rStyle w:val="HideTWBExt"/>
                <w:noProof w:val="0"/>
                <w:vanish w:val="0"/>
                <w:color w:val="auto"/>
              </w:rPr>
            </w:pPr>
            <w:r w:rsidRPr="00106B65">
              <w:t>2024</w:t>
            </w:r>
            <w:r w:rsidR="00817416" w:rsidRPr="00106B65">
              <w:t>-202</w:t>
            </w:r>
            <w:r w:rsidRPr="00106B65">
              <w:t>9</w:t>
            </w:r>
          </w:p>
        </w:tc>
        <w:tc>
          <w:tcPr>
            <w:tcW w:w="2268" w:type="dxa"/>
            <w:shd w:val="clear" w:color="auto" w:fill="auto"/>
          </w:tcPr>
          <w:p w:rsidR="00751A4A" w:rsidRPr="00106B65" w:rsidRDefault="00187494" w:rsidP="0010095E">
            <w:pPr>
              <w:pStyle w:val="EPLogo"/>
            </w:pPr>
            <w:r w:rsidRPr="00106B65">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6B65" w:rsidRDefault="00D058B8" w:rsidP="004C5D52">
      <w:pPr>
        <w:pStyle w:val="LineTop"/>
      </w:pPr>
    </w:p>
    <w:p w:rsidR="00680577" w:rsidRPr="00106B65" w:rsidRDefault="006C0C54" w:rsidP="00680577">
      <w:pPr>
        <w:pStyle w:val="EPBodyTA1"/>
      </w:pPr>
      <w:r w:rsidRPr="00106B65">
        <w:t>USVOJENI TEKSTOVI</w:t>
      </w:r>
    </w:p>
    <w:p w:rsidR="00D058B8" w:rsidRPr="00106B65" w:rsidRDefault="00D058B8" w:rsidP="00D058B8">
      <w:pPr>
        <w:pStyle w:val="LineBottom"/>
      </w:pPr>
    </w:p>
    <w:p w:rsidR="006C0C54" w:rsidRPr="00106B65" w:rsidRDefault="006C0C54" w:rsidP="006C0C54">
      <w:pPr>
        <w:pStyle w:val="ATHeading1"/>
      </w:pPr>
      <w:bookmarkStart w:id="0" w:name="TANumber"/>
      <w:r w:rsidRPr="00106B65">
        <w:t>P10_TA(2025)00</w:t>
      </w:r>
      <w:r w:rsidR="007541A9">
        <w:t>6</w:t>
      </w:r>
      <w:r w:rsidRPr="00106B65">
        <w:t>0</w:t>
      </w:r>
      <w:bookmarkEnd w:id="0"/>
    </w:p>
    <w:p w:rsidR="006C0C54" w:rsidRPr="00106B65" w:rsidRDefault="006C0C54" w:rsidP="006C0C54">
      <w:pPr>
        <w:pStyle w:val="ATHeading2"/>
      </w:pPr>
      <w:bookmarkStart w:id="1" w:name="title"/>
      <w:r w:rsidRPr="00106B65">
        <w:t>Procjena prihoda i rashoda za financijsku godinu 2026. - dio I. - Europski parlament</w:t>
      </w:r>
      <w:bookmarkEnd w:id="1"/>
    </w:p>
    <w:p w:rsidR="006C0C54" w:rsidRPr="00106B65" w:rsidRDefault="006C0C54" w:rsidP="006C0C54">
      <w:pPr>
        <w:rPr>
          <w:i/>
          <w:vanish/>
        </w:rPr>
      </w:pPr>
      <w:r w:rsidRPr="00106B65">
        <w:rPr>
          <w:i/>
        </w:rPr>
        <w:fldChar w:fldCharType="begin"/>
      </w:r>
      <w:r w:rsidRPr="00106B65">
        <w:rPr>
          <w:i/>
        </w:rPr>
        <w:instrText xml:space="preserve"> TC"(</w:instrText>
      </w:r>
      <w:bookmarkStart w:id="2" w:name="DocNumber"/>
      <w:r w:rsidRPr="00106B65">
        <w:rPr>
          <w:i/>
        </w:rPr>
        <w:instrText>A10-0048/2025</w:instrText>
      </w:r>
      <w:bookmarkEnd w:id="2"/>
      <w:r w:rsidRPr="00106B65">
        <w:rPr>
          <w:i/>
        </w:rPr>
        <w:instrText xml:space="preserve"> - Izvjestitelj: </w:instrText>
      </w:r>
      <w:proofErr w:type="spellStart"/>
      <w:r w:rsidRPr="00106B65">
        <w:rPr>
          <w:i/>
        </w:rPr>
        <w:instrText>Matjaž</w:instrText>
      </w:r>
      <w:proofErr w:type="spellEnd"/>
      <w:r w:rsidRPr="00106B65">
        <w:rPr>
          <w:i/>
        </w:rPr>
        <w:instrText xml:space="preserve"> </w:instrText>
      </w:r>
      <w:proofErr w:type="spellStart"/>
      <w:r w:rsidRPr="00106B65">
        <w:rPr>
          <w:i/>
        </w:rPr>
        <w:instrText>Nemec</w:instrText>
      </w:r>
      <w:proofErr w:type="spellEnd"/>
      <w:r w:rsidRPr="00106B65">
        <w:rPr>
          <w:i/>
        </w:rPr>
        <w:instrText xml:space="preserve">)"\l3 \n&gt; \* MERGEFORMAT </w:instrText>
      </w:r>
      <w:r w:rsidRPr="00106B65">
        <w:rPr>
          <w:i/>
        </w:rPr>
        <w:fldChar w:fldCharType="end"/>
      </w:r>
    </w:p>
    <w:p w:rsidR="006C0C54" w:rsidRPr="00106B65" w:rsidRDefault="006C0C54" w:rsidP="006C0C54">
      <w:pPr>
        <w:rPr>
          <w:vanish/>
        </w:rPr>
      </w:pPr>
      <w:bookmarkStart w:id="3" w:name="Commission"/>
      <w:r w:rsidRPr="00106B65">
        <w:rPr>
          <w:vanish/>
        </w:rPr>
        <w:t>Odbor za proračune</w:t>
      </w:r>
      <w:bookmarkEnd w:id="3"/>
    </w:p>
    <w:p w:rsidR="006C0C54" w:rsidRPr="00106B65" w:rsidRDefault="006C0C54" w:rsidP="006C0C54">
      <w:pPr>
        <w:rPr>
          <w:vanish/>
        </w:rPr>
      </w:pPr>
      <w:bookmarkStart w:id="4" w:name="PE"/>
      <w:r w:rsidRPr="00106B65">
        <w:rPr>
          <w:vanish/>
        </w:rPr>
        <w:t>PE770.074</w:t>
      </w:r>
      <w:bookmarkEnd w:id="4"/>
    </w:p>
    <w:p w:rsidR="006C0C54" w:rsidRPr="00106B65" w:rsidRDefault="006C0C54" w:rsidP="006C0C54">
      <w:pPr>
        <w:pStyle w:val="ATHeading3"/>
      </w:pPr>
      <w:bookmarkStart w:id="5" w:name="Sujet"/>
      <w:r w:rsidRPr="00106B65">
        <w:t>Rezolu</w:t>
      </w:r>
      <w:r w:rsidR="00106B65">
        <w:t>cija Europskog parlamenta od 3</w:t>
      </w:r>
      <w:r w:rsidRPr="00106B65">
        <w:t xml:space="preserve">. </w:t>
      </w:r>
      <w:r w:rsidR="00106B65">
        <w:t xml:space="preserve">travnja </w:t>
      </w:r>
      <w:r w:rsidRPr="00106B65">
        <w:t>2025. o procjeni prihoda i rashoda Europskog parlamenta za financijsku godinu 2026.</w:t>
      </w:r>
      <w:bookmarkEnd w:id="5"/>
      <w:r w:rsidRPr="00106B65">
        <w:t xml:space="preserve"> </w:t>
      </w:r>
      <w:bookmarkStart w:id="6" w:name="References"/>
      <w:r w:rsidRPr="00106B65">
        <w:t>(2024/2111(BUI))</w:t>
      </w:r>
      <w:bookmarkEnd w:id="6"/>
    </w:p>
    <w:p w:rsidR="000A4D9F" w:rsidRPr="00106B65" w:rsidRDefault="000A4D9F" w:rsidP="000A4D9F">
      <w:pPr>
        <w:pStyle w:val="EPComma"/>
      </w:pPr>
      <w:bookmarkStart w:id="7" w:name="TextBodyBegin"/>
      <w:bookmarkEnd w:id="7"/>
      <w:r w:rsidRPr="00106B65">
        <w:rPr>
          <w:i/>
        </w:rPr>
        <w:t>Europski parlament</w:t>
      </w:r>
      <w:r w:rsidRPr="00106B65">
        <w:t>,</w:t>
      </w:r>
    </w:p>
    <w:p w:rsidR="000A4D9F" w:rsidRPr="00106B65" w:rsidRDefault="000A4D9F" w:rsidP="00106B65">
      <w:pPr>
        <w:spacing w:after="240"/>
        <w:ind w:left="567" w:hanging="567"/>
      </w:pPr>
      <w:r w:rsidRPr="00106B65">
        <w:t>–</w:t>
      </w:r>
      <w:r w:rsidRPr="00106B65">
        <w:tab/>
        <w:t>uzimajući u obzir članak 314. Ugovora o funkcioniranju Europske unije,</w:t>
      </w:r>
    </w:p>
    <w:p w:rsidR="000A4D9F" w:rsidRPr="00106B65" w:rsidRDefault="000A4D9F" w:rsidP="00106B65">
      <w:pPr>
        <w:spacing w:after="240"/>
        <w:ind w:left="567" w:hanging="567"/>
      </w:pPr>
      <w:r w:rsidRPr="00106B65">
        <w:t>–</w:t>
      </w:r>
      <w:r w:rsidRPr="00106B65">
        <w:tab/>
        <w:t>uzimajući obzir Uredbu Vijeća (EU, Euratom) 2020/2093 od 17. prosinca 2020. kojom se utvrđuje višegodišnji financijski okvir za razdoblje od 2021. do 2027.</w:t>
      </w:r>
      <w:r w:rsidRPr="00106B65">
        <w:rPr>
          <w:vertAlign w:val="superscript"/>
        </w:rPr>
        <w:footnoteReference w:id="1"/>
      </w:r>
      <w:r w:rsidRPr="00106B65">
        <w:t xml:space="preserve"> i zajedničke izjave koje su Parlament, Vijeće i Komisija donijeli u tom kontekstu</w:t>
      </w:r>
      <w:r w:rsidRPr="00106B65">
        <w:rPr>
          <w:vertAlign w:val="superscript"/>
        </w:rPr>
        <w:footnoteReference w:id="2"/>
      </w:r>
      <w:r w:rsidRPr="00106B65">
        <w:t xml:space="preserve"> te povezane jednostrane izjave</w:t>
      </w:r>
      <w:r w:rsidRPr="00106B65">
        <w:rPr>
          <w:vertAlign w:val="superscript"/>
        </w:rPr>
        <w:footnoteReference w:id="3"/>
      </w:r>
      <w:r w:rsidRPr="00106B65">
        <w:t>,</w:t>
      </w:r>
    </w:p>
    <w:p w:rsidR="000A4D9F" w:rsidRPr="00106B65" w:rsidRDefault="000A4D9F" w:rsidP="00106B65">
      <w:pPr>
        <w:spacing w:after="240"/>
        <w:ind w:left="567" w:hanging="567"/>
      </w:pPr>
      <w:r w:rsidRPr="00106B65">
        <w:t>–</w:t>
      </w:r>
      <w:r w:rsidRPr="00106B65">
        <w:tab/>
        <w:t>uzimajući u obzir Uredbu Vijeća (EU, Euratom) 2022/2496 od 15. prosinca 2022. o izmjeni Uredbe (EU, Euratom) 2020/2093 kojom se utvrđuje višegodišnji financijski okvir za razdoblje 2021. – 2027.</w:t>
      </w:r>
      <w:r w:rsidRPr="00106B65">
        <w:rPr>
          <w:vertAlign w:val="superscript"/>
        </w:rPr>
        <w:footnoteReference w:id="4"/>
      </w:r>
      <w:r w:rsidRPr="00106B65">
        <w:t>,</w:t>
      </w:r>
    </w:p>
    <w:p w:rsidR="000A4D9F" w:rsidRPr="00106B65" w:rsidRDefault="000A4D9F" w:rsidP="00106B65">
      <w:pPr>
        <w:spacing w:after="240"/>
        <w:ind w:left="567" w:hanging="567"/>
      </w:pPr>
      <w:r w:rsidRPr="00106B65">
        <w:t>–</w:t>
      </w:r>
      <w:r w:rsidRPr="00106B65">
        <w:tab/>
        <w:t>uzimajući u obzir Uredbu Vijeća (EU, Euratom) 2024/765 o izmjeni Uredbe (EU, Euratom) 2020/2093 kojom se utvrđuje višegodišnji financijski okvir za razdoblje 2021. – 2027.</w:t>
      </w:r>
      <w:r w:rsidRPr="00106B65">
        <w:rPr>
          <w:rStyle w:val="FootnoteReference"/>
        </w:rPr>
        <w:footnoteReference w:id="5"/>
      </w:r>
      <w:r w:rsidRPr="00106B65">
        <w:t xml:space="preserve"> (Revizija VFO-a),</w:t>
      </w:r>
    </w:p>
    <w:p w:rsidR="000A4D9F" w:rsidRPr="00106B65" w:rsidRDefault="000A4D9F" w:rsidP="00106B65">
      <w:pPr>
        <w:spacing w:after="240"/>
        <w:ind w:left="567" w:hanging="567"/>
      </w:pPr>
      <w:r w:rsidRPr="00106B65">
        <w:t>–</w:t>
      </w:r>
      <w:r w:rsidRPr="00106B65">
        <w:tab/>
        <w:t>uzimajući u obzir svoju Rezoluciju od 16. prosinca 2020. o Nacrtu uredbe Vijeća o utvrđivanju višegodišnjeg financijskog okvira za razdoblje 2021. – 2027.</w:t>
      </w:r>
      <w:r w:rsidRPr="00106B65">
        <w:rPr>
          <w:vertAlign w:val="superscript"/>
        </w:rPr>
        <w:footnoteReference w:id="6"/>
      </w:r>
      <w:r w:rsidRPr="00106B65">
        <w:t>,</w:t>
      </w:r>
    </w:p>
    <w:p w:rsidR="000A4D9F" w:rsidRPr="00106B65" w:rsidRDefault="000A4D9F" w:rsidP="00106B65">
      <w:pPr>
        <w:spacing w:after="240"/>
        <w:ind w:left="567" w:hanging="567"/>
      </w:pPr>
      <w:r w:rsidRPr="00106B65">
        <w:t>–</w:t>
      </w:r>
      <w:r w:rsidRPr="00106B65">
        <w:tab/>
        <w:t xml:space="preserve">uzimajući u obzir svoju Rezoluciju od 15. prosinca 2022. o jačanju višegodišnjeg </w:t>
      </w:r>
      <w:r w:rsidRPr="00106B65">
        <w:lastRenderedPageBreak/>
        <w:t>financijskog okvira 2021. 2027.: otporan proračun EU-a prilagođen novim izazovima</w:t>
      </w:r>
      <w:r w:rsidRPr="00106B65">
        <w:rPr>
          <w:vertAlign w:val="superscript"/>
        </w:rPr>
        <w:footnoteReference w:id="7"/>
      </w:r>
      <w:r w:rsidRPr="00106B65">
        <w:t>,</w:t>
      </w:r>
    </w:p>
    <w:p w:rsidR="000A4D9F" w:rsidRPr="00106B65" w:rsidRDefault="000A4D9F" w:rsidP="00106B65">
      <w:pPr>
        <w:spacing w:after="240"/>
        <w:ind w:left="567" w:hanging="567"/>
      </w:pPr>
      <w:r w:rsidRPr="00106B65">
        <w:t>–</w:t>
      </w:r>
      <w:r w:rsidRPr="00106B65">
        <w:tab/>
        <w:t>uzimajući u obzir svoju Rezoluciju od 3. listopada 2023. o prijedlogu revizije višegodišnjeg financijskog okvira za razdoblje 2021. – 2027.</w:t>
      </w:r>
      <w:r w:rsidRPr="00106B65">
        <w:rPr>
          <w:vertAlign w:val="superscript"/>
        </w:rPr>
        <w:footnoteReference w:id="8"/>
      </w:r>
      <w:r w:rsidRPr="00106B65">
        <w:t xml:space="preserve"> u sredini programskog razdoblja,</w:t>
      </w:r>
    </w:p>
    <w:p w:rsidR="000A4D9F" w:rsidRPr="00106B65" w:rsidRDefault="000A4D9F" w:rsidP="00106B65">
      <w:pPr>
        <w:spacing w:after="240"/>
        <w:ind w:left="567" w:hanging="567"/>
      </w:pPr>
      <w:r w:rsidRPr="00106B65">
        <w:t>–</w:t>
      </w:r>
      <w:r w:rsidRPr="00106B65">
        <w:tab/>
        <w:t>uzimajući u obzir svoju Rezoluciju od 27. veljače 2024. o Nacrtu uredbe Vijeća o izmjeni Uredbe (EU, Euratom) 2020/2093 kojom se uspostavlja višegodišnji financijski okvir za razdoblje 2021. – 2027.</w:t>
      </w:r>
      <w:r w:rsidRPr="00106B65">
        <w:rPr>
          <w:vertAlign w:val="superscript"/>
        </w:rPr>
        <w:footnoteReference w:id="9"/>
      </w:r>
      <w:r w:rsidRPr="00106B65">
        <w:t>,</w:t>
      </w:r>
    </w:p>
    <w:p w:rsidR="000A4D9F" w:rsidRPr="00106B65" w:rsidRDefault="000A4D9F" w:rsidP="00106B65">
      <w:pPr>
        <w:widowControl/>
        <w:spacing w:after="240"/>
        <w:ind w:left="567" w:hanging="567"/>
      </w:pPr>
      <w:r w:rsidRPr="00106B65">
        <w:t>–</w:t>
      </w:r>
      <w:r w:rsidRPr="00106B65">
        <w:tab/>
        <w:t>uzimajući u obzir Uredbu (EU, Euratom) 2024/2509 Europskog parlamenta i Vijeća od 23. rujna 2024. o financijskim pravilima koja se primjenjuju na opći proračun Unije (preinaka)</w:t>
      </w:r>
      <w:r w:rsidRPr="00106B65">
        <w:rPr>
          <w:vertAlign w:val="superscript"/>
        </w:rPr>
        <w:footnoteReference w:id="10"/>
      </w:r>
      <w:r w:rsidRPr="00106B65">
        <w:t xml:space="preserve"> („Financijska uredba”),</w:t>
      </w:r>
    </w:p>
    <w:p w:rsidR="000A4D9F" w:rsidRPr="00106B65" w:rsidRDefault="000A4D9F" w:rsidP="00106B65">
      <w:pPr>
        <w:spacing w:after="240"/>
        <w:ind w:left="567" w:hanging="567"/>
      </w:pPr>
      <w:r w:rsidRPr="00106B65">
        <w:t>–</w:t>
      </w:r>
      <w:r w:rsidRPr="00106B65">
        <w:tab/>
        <w:t xml:space="preserve">uzimajući u obzir </w:t>
      </w:r>
      <w:proofErr w:type="spellStart"/>
      <w:r w:rsidRPr="00106B65">
        <w:t>Međuinstitucijski</w:t>
      </w:r>
      <w:proofErr w:type="spellEnd"/>
      <w:r w:rsidRPr="00106B65">
        <w:t xml:space="preserve"> sporazum od 16. prosinca 2020. između Europskog parlamenta, Vijeća Europske unije i Europske komisije o proračunskoj disciplini, suradnji u proračunskim pitanjima i dobrom financijskom upravljanju te novim vlastitim sredstvima, uključujući plan za uvođenje novih vlastitih sredstava</w:t>
      </w:r>
      <w:r w:rsidRPr="00106B65">
        <w:rPr>
          <w:vertAlign w:val="superscript"/>
        </w:rPr>
        <w:footnoteReference w:id="11"/>
      </w:r>
      <w:r w:rsidRPr="00106B65">
        <w:t>,</w:t>
      </w:r>
    </w:p>
    <w:p w:rsidR="000A4D9F" w:rsidRPr="00106B65" w:rsidRDefault="000A4D9F" w:rsidP="00106B65">
      <w:pPr>
        <w:spacing w:after="240"/>
        <w:ind w:left="567" w:hanging="567"/>
      </w:pPr>
      <w:r w:rsidRPr="00106B65">
        <w:t>–</w:t>
      </w:r>
      <w:r w:rsidRPr="00106B65">
        <w:tab/>
        <w:t>uzimajući u obzir opći proračun Europske unije za financijsku godinu 2025.</w:t>
      </w:r>
      <w:r w:rsidRPr="00106B65">
        <w:rPr>
          <w:vertAlign w:val="superscript"/>
        </w:rPr>
        <w:footnoteReference w:id="12"/>
      </w:r>
      <w:r w:rsidRPr="00106B65">
        <w:t xml:space="preserve"> i zajedničke izjave Parlamenta, Vijeća i Komisije koje su mu priložene,</w:t>
      </w:r>
    </w:p>
    <w:p w:rsidR="000A4D9F" w:rsidRPr="00106B65" w:rsidRDefault="000A4D9F" w:rsidP="00106B65">
      <w:pPr>
        <w:spacing w:after="240"/>
        <w:ind w:left="567" w:hanging="567"/>
      </w:pPr>
      <w:r w:rsidRPr="00106B65">
        <w:t>–</w:t>
      </w:r>
      <w:r w:rsidRPr="00106B65">
        <w:tab/>
        <w:t>uzimajući u obzir izvješće glavnog tajnika Predsjedništvu o sastavljanju prednacrta projekcije proračuna Parlamenta za financijsku godinu 2026.,</w:t>
      </w:r>
    </w:p>
    <w:p w:rsidR="000A4D9F" w:rsidRPr="00106B65" w:rsidRDefault="00106B65" w:rsidP="00106B65">
      <w:pPr>
        <w:spacing w:after="240"/>
        <w:ind w:left="567" w:hanging="567"/>
      </w:pPr>
      <w:r>
        <w:t>–</w:t>
      </w:r>
      <w:r>
        <w:tab/>
      </w:r>
      <w:r w:rsidR="000A4D9F" w:rsidRPr="00106B65">
        <w:t>uzimajući u obzir prednacrt projekcije proračuna koji je Predsjedništvo sastavilo dana 10. ožujka 2025. u skladu s člankom 25. stavkom 7. i člankom 104. stavkom 1. Poslovnika Parlamenta,</w:t>
      </w:r>
    </w:p>
    <w:p w:rsidR="000A4D9F" w:rsidRPr="00106B65" w:rsidRDefault="00106B65" w:rsidP="00106B65">
      <w:pPr>
        <w:spacing w:after="240"/>
        <w:ind w:left="567" w:hanging="567"/>
      </w:pPr>
      <w:r>
        <w:t>–</w:t>
      </w:r>
      <w:r>
        <w:tab/>
      </w:r>
      <w:r w:rsidR="000A4D9F" w:rsidRPr="00106B65">
        <w:t>uzimajući u obzir nacrt projekcije proračuna koji je Odbor za proračune sastavio u skladu s člankom 104. stavkom 2. Poslovnika Parlamenta,</w:t>
      </w:r>
    </w:p>
    <w:p w:rsidR="000A4D9F" w:rsidRPr="00106B65" w:rsidRDefault="000A4D9F" w:rsidP="00106B65">
      <w:pPr>
        <w:pStyle w:val="NormalHanging12a"/>
      </w:pPr>
      <w:r w:rsidRPr="00106B65">
        <w:t>–</w:t>
      </w:r>
      <w:r w:rsidRPr="00106B65">
        <w:tab/>
        <w:t>uzimajući u obzir članak 104. Poslovnika,</w:t>
      </w:r>
    </w:p>
    <w:p w:rsidR="000A4D9F" w:rsidRPr="00106B65" w:rsidRDefault="000A4D9F" w:rsidP="00106B65">
      <w:pPr>
        <w:pStyle w:val="NormalHanging12a"/>
      </w:pPr>
      <w:r w:rsidRPr="00106B65">
        <w:t>–</w:t>
      </w:r>
      <w:r w:rsidRPr="00106B65">
        <w:tab/>
        <w:t>uzimajući u obzir izvješće Odbora za proračune (A10</w:t>
      </w:r>
      <w:r w:rsidRPr="00106B65">
        <w:noBreakHyphen/>
        <w:t>0048/2025),</w:t>
      </w:r>
    </w:p>
    <w:p w:rsidR="000A4D9F" w:rsidRPr="00106B65" w:rsidRDefault="00106B65" w:rsidP="00106B65">
      <w:pPr>
        <w:widowControl/>
        <w:spacing w:after="240"/>
        <w:ind w:left="567" w:hanging="567"/>
      </w:pPr>
      <w:r>
        <w:t>A.</w:t>
      </w:r>
      <w:r>
        <w:tab/>
      </w:r>
      <w:r w:rsidR="000A4D9F" w:rsidRPr="00106B65">
        <w:t xml:space="preserve">budući da proračun koji je 10. veljače 2025. predložio glavni tajnik za prednacrt projekcije proračuna Parlamenta za 2026. iznosi 2 641 609 620 EUR, što je povećanje od 4,30 % ili 108 914 512 EUR u usporedbi s proračunom za 2025.; </w:t>
      </w:r>
    </w:p>
    <w:p w:rsidR="000A4D9F" w:rsidRPr="00106B65" w:rsidRDefault="00106B65" w:rsidP="00106B65">
      <w:pPr>
        <w:widowControl/>
        <w:spacing w:after="240"/>
        <w:ind w:left="567" w:hanging="567"/>
      </w:pPr>
      <w:r>
        <w:t>B.</w:t>
      </w:r>
      <w:r>
        <w:tab/>
      </w:r>
      <w:r w:rsidR="000A4D9F" w:rsidRPr="00106B65">
        <w:t xml:space="preserve">budući da je prema podacima </w:t>
      </w:r>
      <w:proofErr w:type="spellStart"/>
      <w:r w:rsidR="000A4D9F" w:rsidRPr="00106B65">
        <w:t>Eurostata</w:t>
      </w:r>
      <w:proofErr w:type="spellEnd"/>
      <w:r w:rsidR="000A4D9F" w:rsidRPr="00106B65">
        <w:t xml:space="preserve"> godišnja inflacija u Uniji u siječnju 2025. iznosila 2,8 %, što je povećanje u odnosu na 2,7 % u prosincu 2024.; budući da se </w:t>
      </w:r>
      <w:r w:rsidR="000A4D9F" w:rsidRPr="00106B65">
        <w:lastRenderedPageBreak/>
        <w:t>razina rashoda u naslovu 7. višegodišnjeg financijskog okvira (VFO) za razdoblje 2021. – 2027. temelji na godišnjem povećanju od 2 %;</w:t>
      </w:r>
    </w:p>
    <w:p w:rsidR="000A4D9F" w:rsidRPr="00106B65" w:rsidRDefault="00106B65" w:rsidP="00106B65">
      <w:pPr>
        <w:widowControl/>
        <w:spacing w:after="240"/>
        <w:ind w:left="567" w:hanging="567"/>
      </w:pPr>
      <w:r>
        <w:t>C.</w:t>
      </w:r>
      <w:r>
        <w:tab/>
      </w:r>
      <w:r w:rsidR="000A4D9F" w:rsidRPr="00106B65">
        <w:t xml:space="preserve">budući da vjerodostojnost Parlamenta ovisi o njegovoj sposobnosti da ostvari rezultate u svom temeljnom proračunskom, zakonodavnom i nadzornom radu u skladu s najvišim standardima te da istovremeno posluži kao primjer ostalim institucijama Unije u tome da razborito i učinkovito planiraju i provode svoju potrošnju te da se u tome odražava prevladavajuća gospodarska stvarnost; </w:t>
      </w:r>
    </w:p>
    <w:p w:rsidR="000A4D9F" w:rsidRPr="00106B65" w:rsidRDefault="000A4D9F" w:rsidP="00106B65">
      <w:pPr>
        <w:widowControl/>
        <w:spacing w:after="240"/>
        <w:ind w:left="567" w:hanging="567"/>
        <w:rPr>
          <w:b/>
          <w:i/>
        </w:rPr>
      </w:pPr>
      <w:r w:rsidRPr="00106B65">
        <w:rPr>
          <w:b/>
          <w:i/>
        </w:rPr>
        <w:t>Opći okvir</w:t>
      </w:r>
    </w:p>
    <w:p w:rsidR="000A4D9F" w:rsidRPr="00106B65" w:rsidRDefault="000A4D9F" w:rsidP="00106B65">
      <w:pPr>
        <w:widowControl/>
        <w:spacing w:after="240"/>
        <w:ind w:left="567" w:hanging="567"/>
      </w:pPr>
      <w:r w:rsidRPr="00106B65">
        <w:t>1.</w:t>
      </w:r>
      <w:r w:rsidRPr="00106B65">
        <w:tab/>
        <w:t>zabrinut je zbog stanja naslova 7. u aktualnom VFO-u; podsjeća da su ograničenja rezultat rezova koje je Vijeće primijenilo na ionako vrlo nizak početni prijedlog Komisije pri postizanju dogovora o aktualnom VFO-u za razdoblje 2021. – 2027.; žali zbog protivljenja Vijeća prijedlogu Komisije o povećanju gornje granice naslova 7. pri reviziji VFO-a od 2024.; ističe da tijekom revizije VFO-a nije riješeno pitanje gornje granice naslova 7.; ističe da predviđena negativna razlika do gornje granice za 2026. pretpostavlja upotrebu posebnih instrumenata iz naslova 7. u tu svrhu;</w:t>
      </w:r>
    </w:p>
    <w:p w:rsidR="000A4D9F" w:rsidRPr="00106B65" w:rsidRDefault="000A4D9F" w:rsidP="00106B65">
      <w:pPr>
        <w:widowControl/>
        <w:spacing w:after="240"/>
        <w:ind w:left="567" w:hanging="567"/>
      </w:pPr>
      <w:r w:rsidRPr="00106B65">
        <w:t>2.</w:t>
      </w:r>
      <w:r w:rsidRPr="00106B65">
        <w:tab/>
        <w:t>podržava dogovor postignut 18. ožujka 2025. u postupku mirenja između Predsjedništva i Odbora za proračune o povećanju od 4,09 % u odnosu na proračun za 2025., što odgovara ukupnoj razini procjena od 2 636 241 620 EUR za 2026., te o odgovarajućem smanjenju odobrenih sredstava predloženih u sljedećim proračunskim linijama za ukupno 12 378 000 EUR:</w:t>
      </w:r>
    </w:p>
    <w:p w:rsidR="000A4D9F" w:rsidRPr="00106B65" w:rsidRDefault="000A4D9F" w:rsidP="00106B65">
      <w:pPr>
        <w:widowControl/>
        <w:spacing w:after="240"/>
        <w:ind w:left="567"/>
      </w:pPr>
      <w:r w:rsidRPr="00106B65">
        <w:t>1 0 0 6 – Naknada za opće troškove, 1 4 2 – Vanjske prevoditeljske usluge, 2 0 0 0 – Najam, 2 0 0 7 – Izgradnja zgrada i opremanje prostora, 2 0 2 4 – Potrošnja energije, 2 1 0 – Upravljanje poslovnim aplikacijama, 3 2 0 – Stjecanje stručnog znanja, 3 2 4 3 – centri za posjetitelje Europskog parlamenta, 3 2 4 8 – Rashodi za audiovizualne informacije, 4 4 – Sastanci i ostale aktivnosti sadašnjih i bivših zastupnika;</w:t>
      </w:r>
    </w:p>
    <w:p w:rsidR="000A4D9F" w:rsidRPr="00106B65" w:rsidRDefault="000A4D9F" w:rsidP="00106B65">
      <w:pPr>
        <w:widowControl/>
        <w:spacing w:after="240"/>
        <w:ind w:left="567"/>
      </w:pPr>
      <w:r w:rsidRPr="00106B65">
        <w:t>nadalje, odlučeno je da se razina rashoda prednacrta projekcije proračuna koji je Predsjedništvo odobrilo 10. ožujka 2025. poveća za 7 010 000 EUR te da se u skladu s time povećaju predložena odobrena sredstva za sljedeće proračunske linije:</w:t>
      </w:r>
    </w:p>
    <w:p w:rsidR="000A4D9F" w:rsidRPr="00106B65" w:rsidRDefault="000A4D9F" w:rsidP="00106B65">
      <w:pPr>
        <w:widowControl/>
        <w:spacing w:after="240"/>
        <w:ind w:left="567"/>
      </w:pPr>
      <w:r w:rsidRPr="00106B65">
        <w:t>1 2 0 0 – Primici od rada i naknade, 1 6 3 0 – Socijalna skrb: socijalna davanja, 4 0 0 ‒ Tekući troškovi za poslovanje, političke i informacijske djelatnosti klubova zastupnika i nezavisnih zastupnika, 4 0 3 – Financiranje europskih političkih zaklada;</w:t>
      </w:r>
    </w:p>
    <w:p w:rsidR="000A4D9F" w:rsidRPr="00106B65" w:rsidRDefault="000A4D9F" w:rsidP="00106B65">
      <w:pPr>
        <w:widowControl/>
        <w:spacing w:after="240"/>
        <w:ind w:left="567"/>
      </w:pPr>
      <w:r w:rsidRPr="00106B65">
        <w:t>naposljetku, dogovoreno je da će se izmijeniti proračunske napomene za stavku 1 6 3 0 – Socijalna skrb: socijalna davanja kako bi se uključilo upućivanje na Odbor akreditiranih parlamentarnih asistenata;</w:t>
      </w:r>
    </w:p>
    <w:p w:rsidR="000A4D9F" w:rsidRPr="00106B65" w:rsidRDefault="000A4D9F" w:rsidP="00106B65">
      <w:pPr>
        <w:widowControl/>
        <w:spacing w:after="240"/>
        <w:ind w:left="567" w:hanging="567"/>
      </w:pPr>
      <w:r w:rsidRPr="00106B65">
        <w:t>3.</w:t>
      </w:r>
      <w:r w:rsidRPr="00106B65">
        <w:tab/>
        <w:t xml:space="preserve">podsjeća da je gotovo dvije trećine proračuna utvrđeno zakonskim obvezama; napominje da je od povećanja od 103,5 milijuna EUR, u odnosu na proračun za 2025., povećanje od 85,3 milijuna EUR posljedica zakonskih financijskih obveza, uglavnom za ažuriranje plaća dužnosnika i privremenog osoblja (52,7 milijuna EUR), ugovornih djelatnika (9,2 milijuna EUR) i akreditiranih parlamentarnih asistenata (15,1 milijun EUR); podsjeća da će, u skladu s trenutačnim prognozama Komisije, </w:t>
      </w:r>
      <w:proofErr w:type="spellStart"/>
      <w:r w:rsidRPr="00106B65">
        <w:t>indeksacija</w:t>
      </w:r>
      <w:proofErr w:type="spellEnd"/>
      <w:r w:rsidRPr="00106B65">
        <w:t xml:space="preserve"> plaća u skladu s Pravilnikom o osoblju i Statutom zastupnika u Europskom parlamentu biti </w:t>
      </w:r>
      <w:r w:rsidRPr="00106B65">
        <w:lastRenderedPageBreak/>
        <w:t>1,2 % u travnju 2025., 4,6 % u srpnju 2025., 0,6 % u travnju 2026. i 3,4 % u srpnju 2026.;</w:t>
      </w:r>
    </w:p>
    <w:p w:rsidR="000A4D9F" w:rsidRPr="00106B65" w:rsidRDefault="000A4D9F" w:rsidP="00106B65">
      <w:pPr>
        <w:widowControl/>
        <w:spacing w:after="240"/>
        <w:ind w:left="567" w:hanging="567"/>
      </w:pPr>
      <w:r w:rsidRPr="00106B65">
        <w:t>4.</w:t>
      </w:r>
      <w:r w:rsidRPr="00106B65">
        <w:tab/>
        <w:t>napominje da Parlament ne traži nikakva dodatna radna mjesta za 2026., treću godinu zaredom;</w:t>
      </w:r>
    </w:p>
    <w:p w:rsidR="000A4D9F" w:rsidRPr="00106B65" w:rsidRDefault="000A4D9F" w:rsidP="00106B65">
      <w:pPr>
        <w:widowControl/>
        <w:spacing w:after="240"/>
        <w:ind w:left="567" w:hanging="567"/>
      </w:pPr>
      <w:r w:rsidRPr="00106B65">
        <w:t>5.</w:t>
      </w:r>
      <w:r w:rsidRPr="00106B65">
        <w:tab/>
        <w:t>napominje da povećanje za nezakonske rashode od 2025. do 2026. iznosi 1,96 %;</w:t>
      </w:r>
    </w:p>
    <w:p w:rsidR="000A4D9F" w:rsidRPr="00106B65" w:rsidRDefault="000A4D9F" w:rsidP="00106B65">
      <w:pPr>
        <w:widowControl/>
        <w:spacing w:after="240"/>
        <w:ind w:left="567" w:hanging="567"/>
      </w:pPr>
      <w:r w:rsidRPr="00106B65">
        <w:t>6.</w:t>
      </w:r>
      <w:r w:rsidRPr="00106B65">
        <w:tab/>
        <w:t>pozdravlja inicijativu glavnog tajnika da se provede opsežan analitički pregled usmjeren na utvrđivanje mogućnosti za administrativno pojednostavnjenje, uklanjanje neučinkovitosti i osiguravanje konkretnih smanjenja troškova, čime bi se povećala učinkovitost i osigurala pametna upotreba resursa; traži od glavnog tajnika da Odboru za proračune redovito dostavlja ažurirane informacije o poduzetim mjerama i akcijskom planu za pojednostavnjenje te njihovu učinku u pogledu proračuna i osoblja; ističe da administrativni postupci i upravljanje ljudskim resursima predstavljaju veliko opterećenje za zastupnike, posebno pri zapošljavanju lokalnih asistenata, te poziva na pojednostavljenje u tom pogledu;</w:t>
      </w:r>
    </w:p>
    <w:p w:rsidR="000A4D9F" w:rsidRPr="00106B65" w:rsidRDefault="000A4D9F" w:rsidP="00106B65">
      <w:pPr>
        <w:pStyle w:val="NormalHanging12a"/>
      </w:pPr>
      <w:r w:rsidRPr="00106B65">
        <w:t>7.</w:t>
      </w:r>
      <w:r w:rsidRPr="00106B65">
        <w:tab/>
        <w:t>napominje da bi se proračun Parlamenta trebao uspostaviti u skladu s načelima proračunske discipline i dobrog financijskog upravljanja; ističe da je ključno osigurati da financijska razboritost i sigurnost ostanu ključni prioriteti te istodobno zajamčiti da te mjere ne ometaju učinkovitost, djelotvornost i operativne kapacitete institucije i njezina ključnog osoblja u uspješnom obavljanju njihovih dužnosti; naglašava da, s obzirom na geopolitički kontekst i ulaganja koja će Europska unija morati provesti za svoju stratešku autonomiju, Europski parlament mora pružiti primjer u upravljanju svojim proračunom;</w:t>
      </w:r>
    </w:p>
    <w:p w:rsidR="000A4D9F" w:rsidRPr="00106B65" w:rsidRDefault="000A4D9F" w:rsidP="00106B65">
      <w:pPr>
        <w:pStyle w:val="NormalHanging12a"/>
      </w:pPr>
      <w:r w:rsidRPr="00106B65">
        <w:t>8.</w:t>
      </w:r>
      <w:r w:rsidRPr="00106B65">
        <w:tab/>
        <w:t>ističe ulogu Parlamenta u izgradnji europske političke svijesti i promicanju vrijednosti i politika Unije kao što su digitalna i zelena tranzicija; naglašava da su transparentnost, odgovornost, rodna ravnopravnost i integritet ključna načela u institucijama Unije, a osobito u Parlamentu kao domu europske demokracije;</w:t>
      </w:r>
    </w:p>
    <w:p w:rsidR="000A4D9F" w:rsidRPr="00106B65" w:rsidRDefault="000A4D9F" w:rsidP="00106B65">
      <w:pPr>
        <w:spacing w:after="240"/>
        <w:rPr>
          <w:b/>
          <w:i/>
        </w:rPr>
      </w:pPr>
      <w:r w:rsidRPr="00106B65">
        <w:rPr>
          <w:b/>
          <w:i/>
        </w:rPr>
        <w:t>Osnaživanje temeljnih funkcija Parlamenta</w:t>
      </w:r>
    </w:p>
    <w:p w:rsidR="000A4D9F" w:rsidRPr="00106B65" w:rsidRDefault="000A4D9F" w:rsidP="00106B65">
      <w:pPr>
        <w:pStyle w:val="NormalHanging12a"/>
      </w:pPr>
      <w:r w:rsidRPr="00106B65">
        <w:t>9.</w:t>
      </w:r>
      <w:r w:rsidRPr="00106B65">
        <w:tab/>
        <w:t xml:space="preserve">prima na znanje četiri nove tematske glavne uprave (GU-ovi) osnovane u rujnu 2024., odgovorne za zakonodavne, proračunske i nadzorne aktivnosti, koje su nastale iz nekadašnje Glavne uprave za unutarnju politiku, kako bi se poboljšalo funkcioniranje Parlamenta kao </w:t>
      </w:r>
      <w:proofErr w:type="spellStart"/>
      <w:r w:rsidRPr="00106B65">
        <w:t>suzakonodavca</w:t>
      </w:r>
      <w:proofErr w:type="spellEnd"/>
      <w:r w:rsidRPr="00106B65">
        <w:t>, jedne grane proračunskog tijela i tijela nadležnog za davanje razrješnice; traži od glavnog tajnika da Odboru za proračune redovito dostavlja najnovije informacije o razvoju u pogledu rada i osoblja u tim glavnim upravama;</w:t>
      </w:r>
    </w:p>
    <w:p w:rsidR="000A4D9F" w:rsidRPr="00106B65" w:rsidRDefault="000A4D9F" w:rsidP="00106B65">
      <w:pPr>
        <w:pStyle w:val="NormalHanging12a"/>
      </w:pPr>
      <w:r w:rsidRPr="00106B65">
        <w:t>10.</w:t>
      </w:r>
      <w:r w:rsidRPr="00106B65">
        <w:tab/>
        <w:t>prepoznaje potrebu za više političkog odlučivanja na temelju dokaza i činjenica; prima na znanje proračun od 16,75 milijuna EUR za jačanje administrativnih kapaciteta Parlamenta za potporu zastupnicima u njihovu parlamentarnom radu i jačanje njegova kapaciteta za snalaženje u složenosti i nesigurnosti;</w:t>
      </w:r>
    </w:p>
    <w:p w:rsidR="000A4D9F" w:rsidRPr="00106B65" w:rsidRDefault="000A4D9F" w:rsidP="00106B65">
      <w:pPr>
        <w:widowControl/>
        <w:spacing w:after="240"/>
        <w:ind w:left="567" w:hanging="567"/>
      </w:pPr>
      <w:r w:rsidRPr="00106B65">
        <w:t>11.</w:t>
      </w:r>
      <w:r w:rsidRPr="00106B65">
        <w:tab/>
        <w:t>naglašava ključnu ulogu klubova zastupnika u pružanju stručnog znanja i političke potpore zastupnicima u njihovu zakonodavnom i parlamentarnom radu; ističe da je potrebno zajamčiti važan cilj jačanja kapaciteta Parlamenta za potporu radu zastupnika;</w:t>
      </w:r>
    </w:p>
    <w:p w:rsidR="000A4D9F" w:rsidRPr="00106B65" w:rsidRDefault="000A4D9F" w:rsidP="00106B65">
      <w:pPr>
        <w:spacing w:after="240"/>
        <w:rPr>
          <w:b/>
          <w:i/>
        </w:rPr>
      </w:pPr>
      <w:r w:rsidRPr="00106B65">
        <w:rPr>
          <w:b/>
          <w:i/>
        </w:rPr>
        <w:t xml:space="preserve">Digitalna tranzicija </w:t>
      </w:r>
    </w:p>
    <w:p w:rsidR="000A4D9F" w:rsidRPr="00106B65" w:rsidRDefault="000A4D9F" w:rsidP="00106B65">
      <w:pPr>
        <w:widowControl/>
        <w:spacing w:after="240"/>
        <w:ind w:left="567" w:hanging="567"/>
      </w:pPr>
      <w:r w:rsidRPr="00106B65">
        <w:lastRenderedPageBreak/>
        <w:t>12.</w:t>
      </w:r>
      <w:r w:rsidRPr="00106B65">
        <w:tab/>
        <w:t xml:space="preserve">ističe da je </w:t>
      </w:r>
      <w:proofErr w:type="spellStart"/>
      <w:r w:rsidRPr="00106B65">
        <w:t>kibersigurnost</w:t>
      </w:r>
      <w:proofErr w:type="spellEnd"/>
      <w:r w:rsidRPr="00106B65">
        <w:t xml:space="preserve"> Parlamenta ključni prioritet; napominje da u procjenama za 2026. ukupni proračun za IT čini 7,40 % ukupnog proračuna; naglašava važnost pouzdane infrastrukture za </w:t>
      </w:r>
      <w:proofErr w:type="spellStart"/>
      <w:r w:rsidRPr="00106B65">
        <w:t>kibersigurnost</w:t>
      </w:r>
      <w:proofErr w:type="spellEnd"/>
      <w:r w:rsidRPr="00106B65">
        <w:t xml:space="preserve"> u geopolitički turbulentnim vremenima i pozdravlja povećanje odobrenih sredstava namijenjenih za </w:t>
      </w:r>
      <w:proofErr w:type="spellStart"/>
      <w:r w:rsidRPr="00106B65">
        <w:t>kibersigurnost</w:t>
      </w:r>
      <w:proofErr w:type="spellEnd"/>
      <w:r w:rsidRPr="00106B65">
        <w:t xml:space="preserve">; podupire planirano postupno povećanje odobrenih sredstava za </w:t>
      </w:r>
      <w:proofErr w:type="spellStart"/>
      <w:r w:rsidRPr="00106B65">
        <w:t>kibersigurnost</w:t>
      </w:r>
      <w:proofErr w:type="spellEnd"/>
      <w:r w:rsidRPr="00106B65">
        <w:t xml:space="preserve"> na 10 % proračuna Parlamenta za IKT do 2027.;</w:t>
      </w:r>
    </w:p>
    <w:p w:rsidR="000A4D9F" w:rsidRPr="00106B65" w:rsidRDefault="000A4D9F" w:rsidP="00106B65">
      <w:pPr>
        <w:widowControl/>
        <w:spacing w:after="240"/>
        <w:ind w:left="567" w:hanging="567"/>
      </w:pPr>
      <w:r w:rsidRPr="00106B65">
        <w:t>13.</w:t>
      </w:r>
      <w:r w:rsidRPr="00106B65">
        <w:tab/>
        <w:t xml:space="preserve">pozdravlja činjenicu da je Predsjedništvo 10. veljače 2025. usvojilo okvir za upravljanje, opće upravljanje i kontrolu </w:t>
      </w:r>
      <w:proofErr w:type="spellStart"/>
      <w:r w:rsidRPr="00106B65">
        <w:t>kibersigurnosnih</w:t>
      </w:r>
      <w:proofErr w:type="spellEnd"/>
      <w:r w:rsidRPr="00106B65">
        <w:t xml:space="preserve"> rizika; podsjeća da su ulaganja u </w:t>
      </w:r>
      <w:proofErr w:type="spellStart"/>
      <w:r w:rsidRPr="00106B65">
        <w:t>kibersigurnost</w:t>
      </w:r>
      <w:proofErr w:type="spellEnd"/>
      <w:r w:rsidRPr="00106B65">
        <w:t xml:space="preserve"> ključna za zaštitu demokratskog glasa Parlamenta i Unije; </w:t>
      </w:r>
    </w:p>
    <w:p w:rsidR="000A4D9F" w:rsidRPr="00106B65" w:rsidRDefault="000A4D9F" w:rsidP="00106B65">
      <w:pPr>
        <w:widowControl/>
        <w:spacing w:after="240"/>
        <w:ind w:left="567" w:hanging="567"/>
      </w:pPr>
      <w:r w:rsidRPr="00106B65">
        <w:t>14.</w:t>
      </w:r>
      <w:r w:rsidRPr="00106B65">
        <w:tab/>
        <w:t>pozdravlja ulaganja u umjetnu inteligenciju u iznosu od 1 milijun EUR; poziva na povećanje upotrebe umjetne inteligencije kako bi se povećala učinkovitost, imajući na umu povezane rizike, uključujući u pogledu etike i zaštite podataka; ističe potencijal umjetne inteligencije za pojednostavnjenje administrativnih postupaka; naglašava da se uvođenjem umjetne inteligencije inovacije moraju uravnotežiti s potrebnim zaštitnim mjerama; napominje da će se razvoj umjetne inteligencije pomno pratiti u skladu s načelima koja je utvrdilo Predsjedništvo, a koja, među ostalim, uključuju temeljitu procjenu rizika s upotrebom novih tehnologija; poziva Tajništvo da osigura rješenja, kao što su aplikacije i alati, koja će biti dostupna zastupnicima u Europskom parlamentu i osoblju što je prije moguće;</w:t>
      </w:r>
    </w:p>
    <w:p w:rsidR="000A4D9F" w:rsidRPr="00106B65" w:rsidRDefault="000A4D9F" w:rsidP="00106B65">
      <w:pPr>
        <w:spacing w:after="240"/>
        <w:rPr>
          <w:b/>
          <w:i/>
        </w:rPr>
      </w:pPr>
      <w:r w:rsidRPr="00106B65">
        <w:rPr>
          <w:b/>
          <w:i/>
        </w:rPr>
        <w:t>Zelena tranzicija</w:t>
      </w:r>
    </w:p>
    <w:p w:rsidR="000A4D9F" w:rsidRPr="00106B65" w:rsidRDefault="000A4D9F" w:rsidP="00106B65">
      <w:pPr>
        <w:spacing w:after="240"/>
        <w:ind w:left="567" w:hanging="567"/>
      </w:pPr>
      <w:r w:rsidRPr="00106B65">
        <w:t>15.</w:t>
      </w:r>
      <w:r w:rsidRPr="00106B65">
        <w:tab/>
        <w:t>pozdravlja ciljeve sustava upravljanja okolišem (EMAS) Parlamenta za razdoblje 2025. – 2029.; podsjeća da su ulaganja u energetsku učinkovitost dobra metoda za postizanje vrijednosti za uloženi novac; prima na znanje proračun od 8,45 milijuna EUR za ulaganja u energetsku učinkovitost i okoliš u procjenama za 2026. kako bi se dodatno poboljšala ekološka učinkovitost njegovih zgrada; napominje da to odgovara povećanju od 74 % u odnosu na proračun za 2025.; međutim, potvrđuje da su te mjere za zaštitu okoliša dio proračunske linije 2007 „Izgradnja zgrada i opremanje prostora”, čiji se ukupni iznos 2026. smanjio za 3,7 milijuna EUR u odnosu na 2025.;</w:t>
      </w:r>
    </w:p>
    <w:p w:rsidR="000A4D9F" w:rsidRPr="00106B65" w:rsidRDefault="000A4D9F" w:rsidP="00106B65">
      <w:pPr>
        <w:spacing w:after="240"/>
        <w:ind w:left="567" w:hanging="567"/>
      </w:pPr>
      <w:r w:rsidRPr="00106B65">
        <w:t>16.</w:t>
      </w:r>
      <w:r w:rsidRPr="00106B65">
        <w:tab/>
        <w:t>podsjeća da gotovo dvije trećine ugljičnog otiska Parlamenta potječe od putničkog prijevoza; poziva na razumno smanjenje putovanja na sastanke koji se mogu održati na daljinu ili u hibridnom obliku i na promicanje prelaska na alternativna rješenja s niskim emisijama ugljika za sva preostala putovanja, dok god to ne utječe na kvalitetu zakonodavnog i političkog rada;</w:t>
      </w:r>
    </w:p>
    <w:p w:rsidR="000A4D9F" w:rsidRPr="00106B65" w:rsidRDefault="000A4D9F" w:rsidP="00106B65">
      <w:pPr>
        <w:spacing w:after="240"/>
        <w:ind w:left="567" w:hanging="567"/>
      </w:pPr>
      <w:r w:rsidRPr="00106B65">
        <w:t>17.</w:t>
      </w:r>
      <w:r w:rsidRPr="00106B65">
        <w:tab/>
        <w:t>prima na znanje procijenjeno povećanje cijena ugljičnih kredita za koje bi uz trenutačne razine emisija prema procjenama bilo potrebno 900 000 EUR za 2026.; poziva upravu da, u skladu s dobrim financijskim upravljanjem, da prednost smanjenju emisija Parlamenta u odnosu na kupnju ugljičnih kredita; pozdravlja uvođenje poboljšane ponude vlakova za službena putovanja u Strasbourg od srpnja 2025. kao pozitivan korak prema smanjenju emisija CO</w:t>
      </w:r>
      <w:r w:rsidRPr="007541A9">
        <w:rPr>
          <w:vertAlign w:val="subscript"/>
        </w:rPr>
        <w:t>2</w:t>
      </w:r>
      <w:r w:rsidRPr="00106B65">
        <w:t>;</w:t>
      </w:r>
    </w:p>
    <w:p w:rsidR="000A4D9F" w:rsidRPr="00106B65" w:rsidRDefault="000A4D9F" w:rsidP="00106B65">
      <w:pPr>
        <w:spacing w:after="240"/>
        <w:ind w:left="567" w:hanging="567"/>
      </w:pPr>
      <w:r w:rsidRPr="00106B65">
        <w:t>18.</w:t>
      </w:r>
      <w:r w:rsidRPr="00106B65">
        <w:tab/>
        <w:t xml:space="preserve">napominje da je Parlament ugradio te i dalje ugrađuje </w:t>
      </w:r>
      <w:proofErr w:type="spellStart"/>
      <w:r w:rsidRPr="00106B65">
        <w:t>fotonaponske</w:t>
      </w:r>
      <w:proofErr w:type="spellEnd"/>
      <w:r w:rsidRPr="00106B65">
        <w:t xml:space="preserve"> solarne ploče kako bi dodatno povećao udio energije iz obnovljivih izvora proizvedene na svojim lokacijama i postigao cilj od 25 %; prima na znanje odgovore glavnog tajnika na procjenu prihoda i rashoda Parlamenta za financijsku godinu 2024., ističući da je 2022. provedena studija o upotrebi </w:t>
      </w:r>
      <w:proofErr w:type="spellStart"/>
      <w:r w:rsidRPr="00106B65">
        <w:t>fotonaponskih</w:t>
      </w:r>
      <w:proofErr w:type="spellEnd"/>
      <w:r w:rsidRPr="00106B65">
        <w:t xml:space="preserve"> ploča za zgrade u </w:t>
      </w:r>
      <w:proofErr w:type="spellStart"/>
      <w:r w:rsidRPr="00106B65">
        <w:t>Strasbourgu</w:t>
      </w:r>
      <w:proofErr w:type="spellEnd"/>
      <w:r w:rsidRPr="00106B65">
        <w:t xml:space="preserve"> koja je </w:t>
      </w:r>
      <w:r w:rsidRPr="00106B65">
        <w:lastRenderedPageBreak/>
        <w:t>dovršena 2023. te da je 2024. trebalo provesti dodatne studije o održivim rješenjima, posebno za zgradu WEISS;</w:t>
      </w:r>
    </w:p>
    <w:p w:rsidR="000A4D9F" w:rsidRPr="00106B65" w:rsidRDefault="000A4D9F" w:rsidP="00106B65">
      <w:pPr>
        <w:spacing w:after="240"/>
        <w:rPr>
          <w:b/>
          <w:i/>
        </w:rPr>
      </w:pPr>
      <w:r w:rsidRPr="00106B65">
        <w:rPr>
          <w:b/>
          <w:i/>
        </w:rPr>
        <w:t>Višejezičnost, komunikacija i dezinformacije</w:t>
      </w:r>
    </w:p>
    <w:p w:rsidR="000A4D9F" w:rsidRPr="00106B65" w:rsidRDefault="000A4D9F" w:rsidP="00106B65">
      <w:pPr>
        <w:spacing w:after="240"/>
        <w:ind w:left="567" w:hanging="567"/>
      </w:pPr>
      <w:r w:rsidRPr="00106B65">
        <w:t>19.</w:t>
      </w:r>
      <w:r w:rsidRPr="00106B65">
        <w:tab/>
        <w:t>ističe da je višejezičnost ključno načelo na kojem se temelji rad Parlamenta; prima na znanje da je za proljeće 2025. planirana opsežna revizija Kodeksa o višejezičnosti; traži da Parlament, prema potrebi, iskoristi velike tehnološke promjene u uslugama povezanima s višejezičnošću, uključujući razvoj i upotrebu umjetne inteligencije; traži od glavnog tajnika da pravodobno obavijesti Odbor za proračune o svim učincima na proračun nakon te revizije;</w:t>
      </w:r>
    </w:p>
    <w:p w:rsidR="000A4D9F" w:rsidRPr="00106B65" w:rsidRDefault="000A4D9F" w:rsidP="00106B65">
      <w:pPr>
        <w:spacing w:after="240"/>
        <w:ind w:left="567" w:hanging="567"/>
      </w:pPr>
      <w:r w:rsidRPr="00106B65">
        <w:t>20.</w:t>
      </w:r>
      <w:r w:rsidRPr="00106B65">
        <w:tab/>
        <w:t xml:space="preserve">ističe ulogu ureda za vezu Europskog parlamenta u borbi protiv vanjskog upletanja i dezinformacija; prima na znanje rad ureda za vezu Europskog parlamenta koji </w:t>
      </w:r>
      <w:proofErr w:type="spellStart"/>
      <w:r w:rsidRPr="00106B65">
        <w:t>proaktivno</w:t>
      </w:r>
      <w:proofErr w:type="spellEnd"/>
      <w:r w:rsidRPr="00106B65">
        <w:t xml:space="preserve"> promiču rad Parlamenta na svojim lokalnim jezicima putem više kanala; ističe ulogu ureda za vezu Europskog parlamenta u Ujedinjenoj Kraljevini kao glavne kontaktne točke za državljane EU-a koji borave u toj zemlji, koja im pruža informacije o Europskom parlamentu i potiče ih da glasaju na europskim izborima; traži od Predsjedništva da proširi proizvodnju i širenje komunikacijskih materijala na pristupačan i uključiv način;</w:t>
      </w:r>
    </w:p>
    <w:p w:rsidR="000A4D9F" w:rsidRPr="00106B65" w:rsidRDefault="000A4D9F" w:rsidP="00106B65">
      <w:pPr>
        <w:spacing w:after="240"/>
        <w:ind w:left="567" w:hanging="567"/>
      </w:pPr>
      <w:r w:rsidRPr="00106B65">
        <w:t>21.</w:t>
      </w:r>
      <w:r w:rsidRPr="00106B65">
        <w:tab/>
        <w:t>ističe nisku stopu sudjelovanja mladih na nedavnim europskim izborima u nekim regijama Unije i ulogu Parlamenta u jačanju obrazovanja o građanstvu EU-a;</w:t>
      </w:r>
    </w:p>
    <w:p w:rsidR="000A4D9F" w:rsidRPr="00106B65" w:rsidRDefault="000A4D9F" w:rsidP="00106B65">
      <w:pPr>
        <w:spacing w:after="240"/>
        <w:ind w:left="567" w:hanging="567"/>
      </w:pPr>
      <w:r w:rsidRPr="00106B65">
        <w:t>22.</w:t>
      </w:r>
      <w:r w:rsidRPr="00106B65">
        <w:tab/>
        <w:t xml:space="preserve">podsjeća na važnost programa Škola ambasadora Europskog parlamenta za promicanje aktivnog angažmana među mladim Europljanima i programa osposobljavanja za mlade novinare nazvanog u čast Davida </w:t>
      </w:r>
      <w:proofErr w:type="spellStart"/>
      <w:r w:rsidRPr="00106B65">
        <w:t>Sassolija</w:t>
      </w:r>
      <w:proofErr w:type="spellEnd"/>
      <w:r w:rsidRPr="00106B65">
        <w:t xml:space="preserve"> kako bi se poboljšalo razumijevanje Unije i njezina funkcioniranja među novinarima, kao najbolji lijek protiv dezinformacija, s obzirom na nedavne trendove koji pokazuju zabrinjavajući pad slobode i neovisnosti medija diljem Unije;</w:t>
      </w:r>
    </w:p>
    <w:p w:rsidR="000A4D9F" w:rsidRPr="00106B65" w:rsidRDefault="000A4D9F" w:rsidP="00106B65">
      <w:pPr>
        <w:spacing w:after="240"/>
        <w:ind w:left="567" w:hanging="567"/>
      </w:pPr>
      <w:r w:rsidRPr="00106B65">
        <w:t>23.</w:t>
      </w:r>
      <w:r w:rsidRPr="00106B65">
        <w:tab/>
        <w:t>prepoznaje važnost skupina posjetitelja kao važnog alata za povezivanje građana s radom zastupnika; u tom pogledu pozdravlja povećanje gornjih granica i čimbenika troškova za izračun financijskog doprinosa sponzoriranim posjetiteljima od 1. siječnja 2025.; traži od Predsjedništva da procijeni učinak revidiranih pravila koja se odnose na skupine posjetitelja u odnosu na putne troškove uzimajući u obzir tržišne fluktuacije i da izbjegne neizravnu geografsku diskriminaciju posjetitelja; napominje da zastupnici u prošlosti nisu koristili oko 15 % kvote za posjetitelje; poziva glavnog tajnika da Predsjedništvu predloži da neiskorištenu kvotu stave na raspolaganje zainteresiranim zastupnicima; napominje da proračun za skupine posjetitelja čini 22 % ukupnog proračuna Glavne uprave za komunikaciju;</w:t>
      </w:r>
    </w:p>
    <w:p w:rsidR="000A4D9F" w:rsidRPr="00106B65" w:rsidRDefault="000A4D9F" w:rsidP="00106B65">
      <w:pPr>
        <w:spacing w:after="240"/>
        <w:ind w:left="567" w:hanging="567"/>
      </w:pPr>
      <w:r w:rsidRPr="00106B65">
        <w:t>24.</w:t>
      </w:r>
      <w:r w:rsidRPr="00106B65">
        <w:tab/>
        <w:t>primjećuje sa zabrinutošću da prema internim pravilima o grupama posjetitelja zastupnika u Europskom parlamentu akreditirani parlamentarni asistenti u nekim okolnostima moraju snositi 30 % početnih troškova; naglašava nepraktičnost tih pravila i financijskog opterećenja za akreditirane parlamentarne asistente; prima na znanje odgovore glavnog tajnika na procjene prihoda i rashoda Parlamenta za financijsku godinu 2024. u pogledu obrazloženja pristupa u dva koraka; razumije obrazloženje, ali naglašava sve veće poteškoće koje to predstavlja za akreditirane parlamentarne asistente, posebno uz stalni pomak prema strožim pravilima;</w:t>
      </w:r>
    </w:p>
    <w:p w:rsidR="000A4D9F" w:rsidRPr="00106B65" w:rsidRDefault="000A4D9F" w:rsidP="00106B65">
      <w:pPr>
        <w:spacing w:after="240"/>
        <w:ind w:left="567" w:hanging="567"/>
      </w:pPr>
      <w:r w:rsidRPr="00106B65">
        <w:lastRenderedPageBreak/>
        <w:t>25.</w:t>
      </w:r>
      <w:r w:rsidRPr="00106B65">
        <w:tab/>
        <w:t>naglašava sve veće izazove u području komunikacije i višestruke načine na koje bi se politička komunikacija trebala provoditi, među ostalim sudjelovanjem na raznim platformama društvenih medija i u drugim medijima; naglašava potrebu da klubovi zastupnika iznose i prenose svoju poruku u svim državama članicama kao ključno načelo europske demokracije koja dobro funkcionira;</w:t>
      </w:r>
    </w:p>
    <w:p w:rsidR="000A4D9F" w:rsidRPr="00106B65" w:rsidRDefault="000A4D9F" w:rsidP="00106B65">
      <w:pPr>
        <w:spacing w:after="240"/>
        <w:rPr>
          <w:b/>
          <w:i/>
        </w:rPr>
      </w:pPr>
      <w:r w:rsidRPr="00106B65">
        <w:rPr>
          <w:b/>
          <w:i/>
        </w:rPr>
        <w:t>Infrastruktura</w:t>
      </w:r>
    </w:p>
    <w:p w:rsidR="000A4D9F" w:rsidRPr="00106B65" w:rsidRDefault="000A4D9F" w:rsidP="00106B65">
      <w:pPr>
        <w:spacing w:after="240"/>
        <w:ind w:left="567" w:hanging="567"/>
      </w:pPr>
      <w:r w:rsidRPr="00106B65">
        <w:t>26.</w:t>
      </w:r>
      <w:r w:rsidRPr="00106B65">
        <w:tab/>
        <w:t>prima na znanje novi pristup koji se odnosi na zgrade u okviru kojeg je Parlament nakon razdoblja kupnje ušao u razdoblje konsolidacije zgrada, uzimajući pritom u obzir održivost, pristupačnost i mobilnost zastupnika i osoblja;</w:t>
      </w:r>
    </w:p>
    <w:p w:rsidR="000A4D9F" w:rsidRPr="00106B65" w:rsidRDefault="000A4D9F" w:rsidP="00106B65">
      <w:pPr>
        <w:spacing w:after="240"/>
        <w:ind w:left="567" w:hanging="567"/>
      </w:pPr>
      <w:r w:rsidRPr="00106B65">
        <w:t>27.</w:t>
      </w:r>
      <w:r w:rsidRPr="00106B65">
        <w:tab/>
        <w:t>prima na znanje da je u procjene za 2026. za studije i pripremne radove izvođača povezane s obnovom zgrade SPAAK uključeno 4 milijuna EUR, dok se ukupni troškovi procjenjuju na 36 milijuna EUR; stoga napominje da 32 milijuna EUR troškova povezanih s obnovom zgrade SPAAK nije uključeno u procjene za 2026.; napominje da glavni tajnik namjerava pokriti te troškove prijenosom neiskorištenih sredstava ili korištenjem zajma; traži od glavnog tajnika da, u skladu s člankom 272. stavkom 6. Financijske uredbe, Odboru za proračune što prije dostavi detaljne informacije o mogućem zajmu za pokrivanje tih troškova, kao i potpuni plan radova, uključujući plan troškova; ustraje u tome da bi troškovi koji nisu izravno povezani s radovima na obnovi također trebali biti jasno navedeni i uključeni u proračun; napominje da su u prosincu 2024. izravni troškovi projekta SPAAK iznosili 14,12 milijuna EUR;</w:t>
      </w:r>
    </w:p>
    <w:p w:rsidR="000A4D9F" w:rsidRPr="00106B65" w:rsidRDefault="000A4D9F" w:rsidP="00106B65">
      <w:pPr>
        <w:spacing w:after="240"/>
        <w:ind w:left="567" w:hanging="567"/>
      </w:pPr>
      <w:r w:rsidRPr="00106B65">
        <w:t>28.</w:t>
      </w:r>
      <w:r w:rsidRPr="00106B65">
        <w:tab/>
        <w:t xml:space="preserve">pozdravlja pilot-projekt Glavne uprave INLO čiji je cilj uklanjanje </w:t>
      </w:r>
      <w:proofErr w:type="spellStart"/>
      <w:r w:rsidRPr="00106B65">
        <w:t>legionele</w:t>
      </w:r>
      <w:proofErr w:type="spellEnd"/>
      <w:r w:rsidRPr="00106B65">
        <w:t xml:space="preserve"> iz sanitarnog sustava Europskog parlamenta i ističe da je jedini učinkovit način za borbu protiv daljnjeg širenja </w:t>
      </w:r>
      <w:proofErr w:type="spellStart"/>
      <w:r w:rsidRPr="00106B65">
        <w:t>legionele</w:t>
      </w:r>
      <w:proofErr w:type="spellEnd"/>
      <w:r w:rsidRPr="00106B65">
        <w:t xml:space="preserve"> da se temperatura vode u cjevovodima na ograničeno vrijeme dovede na 55 Celzijevih stupnjeva;</w:t>
      </w:r>
    </w:p>
    <w:p w:rsidR="000A4D9F" w:rsidRPr="00106B65" w:rsidRDefault="000A4D9F" w:rsidP="00106B65">
      <w:pPr>
        <w:spacing w:after="240"/>
        <w:ind w:left="567" w:hanging="567"/>
      </w:pPr>
      <w:bookmarkStart w:id="9" w:name="_heading=h.30j0zll"/>
      <w:bookmarkEnd w:id="9"/>
      <w:r w:rsidRPr="00106B65">
        <w:t>29.</w:t>
      </w:r>
      <w:r w:rsidRPr="00106B65">
        <w:tab/>
        <w:t xml:space="preserve">napominje da se 2026. planira uložiti 11,45 milijuna EUR u centre Europa </w:t>
      </w:r>
      <w:proofErr w:type="spellStart"/>
      <w:r w:rsidRPr="00106B65">
        <w:t>Experience</w:t>
      </w:r>
      <w:proofErr w:type="spellEnd"/>
      <w:r w:rsidRPr="00106B65">
        <w:t xml:space="preserve">; prima na znanje odluku Predsjedništva da revidira koncept „Europa </w:t>
      </w:r>
      <w:proofErr w:type="spellStart"/>
      <w:r w:rsidRPr="00106B65">
        <w:t>Experience</w:t>
      </w:r>
      <w:proofErr w:type="spellEnd"/>
      <w:r w:rsidRPr="00106B65">
        <w:t xml:space="preserve">” u studenome 2024. i očekuje da će revidirani koncept biti troškovno učinkovitiji i privlačniji posjetiteljima; žali zbog toga što u Bukureštu, Rigi, Madridu, Lisabonu, Nikoziji, Valletti i Vilniusu i dalje nema centara „Europa </w:t>
      </w:r>
      <w:proofErr w:type="spellStart"/>
      <w:r w:rsidRPr="00106B65">
        <w:t>Experience</w:t>
      </w:r>
      <w:proofErr w:type="spellEnd"/>
      <w:r w:rsidRPr="00106B65">
        <w:t xml:space="preserve">”; poziva na uspostavu centara „Europa </w:t>
      </w:r>
      <w:proofErr w:type="spellStart"/>
      <w:r w:rsidRPr="00106B65">
        <w:t>Experience</w:t>
      </w:r>
      <w:proofErr w:type="spellEnd"/>
      <w:r w:rsidRPr="00106B65">
        <w:t xml:space="preserve">” u svim državama članicama čim se uspostavi revidirani koncept; podsjeća da bi centri „Europa </w:t>
      </w:r>
      <w:proofErr w:type="spellStart"/>
      <w:r w:rsidRPr="00106B65">
        <w:t>Experience</w:t>
      </w:r>
      <w:proofErr w:type="spellEnd"/>
      <w:r w:rsidRPr="00106B65">
        <w:t xml:space="preserve">” trebali svim građanima omogućiti bolje razumijevanje funkcioniranja Unije i obrazovati ih u području naših zajedničkih vrijednosti; stoga ponavlja da su centri „Europa </w:t>
      </w:r>
      <w:proofErr w:type="spellStart"/>
      <w:r w:rsidRPr="00106B65">
        <w:t>Experience</w:t>
      </w:r>
      <w:proofErr w:type="spellEnd"/>
      <w:r w:rsidRPr="00106B65">
        <w:t>” sastavni dio stalne suradnje Parlamenta s građanima Unije;</w:t>
      </w:r>
    </w:p>
    <w:p w:rsidR="000A4D9F" w:rsidRPr="00106B65" w:rsidRDefault="000A4D9F" w:rsidP="00106B65">
      <w:pPr>
        <w:spacing w:after="240"/>
        <w:ind w:left="567" w:hanging="567"/>
      </w:pPr>
      <w:r w:rsidRPr="00106B65">
        <w:t>30.</w:t>
      </w:r>
      <w:r w:rsidRPr="00106B65">
        <w:tab/>
        <w:t xml:space="preserve">prima na znanje da nisu potrebna dodatna financijska sredstva za otvaranje ureda Parlamenta u </w:t>
      </w:r>
      <w:proofErr w:type="spellStart"/>
      <w:r w:rsidRPr="00106B65">
        <w:t>Moldovi</w:t>
      </w:r>
      <w:proofErr w:type="spellEnd"/>
      <w:r w:rsidRPr="00106B65">
        <w:t xml:space="preserve"> i na zapadnom Balkanu, jer će se oni uspostaviti u prostorima ESVD-a; naglašava važnost prisutnosti Parlamenta u tim zemljama kao znaka europske solidarnosti i predanosti Parlamenta procesu pristupanja;</w:t>
      </w:r>
    </w:p>
    <w:p w:rsidR="000A4D9F" w:rsidRPr="00106B65" w:rsidRDefault="000A4D9F" w:rsidP="00106B65">
      <w:pPr>
        <w:spacing w:after="240"/>
        <w:ind w:left="567" w:hanging="567"/>
      </w:pPr>
      <w:r w:rsidRPr="00106B65">
        <w:t>31.</w:t>
      </w:r>
      <w:r w:rsidRPr="00106B65">
        <w:tab/>
        <w:t xml:space="preserve">prima na znanje prijevremeni raskid ugovora s prethodnim pružateljem usluga vrtićem </w:t>
      </w:r>
      <w:proofErr w:type="spellStart"/>
      <w:r w:rsidRPr="00106B65">
        <w:t>Crèche</w:t>
      </w:r>
      <w:proofErr w:type="spellEnd"/>
      <w:r w:rsidRPr="00106B65">
        <w:t xml:space="preserve"> </w:t>
      </w:r>
      <w:proofErr w:type="spellStart"/>
      <w:r w:rsidRPr="00106B65">
        <w:t>Wayenberg</w:t>
      </w:r>
      <w:proofErr w:type="spellEnd"/>
      <w:r w:rsidRPr="00106B65">
        <w:t xml:space="preserve"> nakon niza ozbiljnih optužbi protiv ugovaratelja; pozdravlja sporazum s novim pružateljem usluga kojim se predviđaju bolji radni uvjeti osoblja vrtića i bolja kvaliteta usluge za djecu; no potvrđuje da to dovodi do povećanja proračuna potrebnog u tu svrhu, ali naglašava da bi pristojni radni uvjeti za vanjsko osoblje trebali, u relevantnim slučajevima, biti prioritet u javnoj nabavi Parlamenta;</w:t>
      </w:r>
    </w:p>
    <w:p w:rsidR="000A4D9F" w:rsidRPr="00106B65" w:rsidRDefault="000A4D9F" w:rsidP="00106B65">
      <w:pPr>
        <w:spacing w:after="240"/>
        <w:ind w:left="567" w:hanging="567"/>
      </w:pPr>
      <w:r w:rsidRPr="00106B65">
        <w:lastRenderedPageBreak/>
        <w:t>32.</w:t>
      </w:r>
      <w:r w:rsidRPr="00106B65">
        <w:tab/>
        <w:t xml:space="preserve">ponovno ističe potrebu za visokokvalitetnim sobama za zdravstvenu njegu u prostorima Europskog parlamenta i poziva nadležne službe da unaprijede postojeće objekte u pogledu opreme, prostora i pristupačnosti kako bi bili prilagođeni djeci; poziva na procjenu učinka potrebe za obiteljskom dvoranom u prostorijama sjedišta Parlamenta u Bruxellesu za djecu zastupnika bez stalnog boravišta u Bruxellesu, u skladu s uvjetima u </w:t>
      </w:r>
      <w:proofErr w:type="spellStart"/>
      <w:r w:rsidRPr="00106B65">
        <w:t>Strasbourgu</w:t>
      </w:r>
      <w:proofErr w:type="spellEnd"/>
      <w:r w:rsidRPr="00106B65">
        <w:t>;</w:t>
      </w:r>
    </w:p>
    <w:p w:rsidR="000A4D9F" w:rsidRPr="00106B65" w:rsidRDefault="000A4D9F" w:rsidP="00106B65">
      <w:pPr>
        <w:spacing w:after="240"/>
        <w:rPr>
          <w:b/>
          <w:i/>
        </w:rPr>
      </w:pPr>
      <w:r w:rsidRPr="00106B65">
        <w:rPr>
          <w:b/>
          <w:i/>
        </w:rPr>
        <w:t>Drugo</w:t>
      </w:r>
    </w:p>
    <w:p w:rsidR="000A4D9F" w:rsidRPr="00106B65" w:rsidRDefault="000A4D9F" w:rsidP="00106B65">
      <w:pPr>
        <w:spacing w:after="240"/>
        <w:ind w:left="567" w:hanging="567"/>
      </w:pPr>
      <w:r w:rsidRPr="00106B65">
        <w:t>33.</w:t>
      </w:r>
      <w:r w:rsidRPr="00106B65">
        <w:tab/>
        <w:t xml:space="preserve">ponavlja svoj zahtjev, usvojen na plenarnoj sjednici u nekoliko navrata, da relevantna tijela razmisle o rješenju koje bi omogućilo zastupnicima da iskoriste svoje pravo na glasovanje na daljinu tijekom </w:t>
      </w:r>
      <w:proofErr w:type="spellStart"/>
      <w:r w:rsidRPr="00106B65">
        <w:t>rodiljnog</w:t>
      </w:r>
      <w:proofErr w:type="spellEnd"/>
      <w:r w:rsidRPr="00106B65">
        <w:t xml:space="preserve"> ili očinskog dopusta ili dugotrajne bolesti, uzimajući u obzir iskustva stečena tijekom </w:t>
      </w:r>
      <w:proofErr w:type="spellStart"/>
      <w:r w:rsidRPr="00106B65">
        <w:t>pandemije</w:t>
      </w:r>
      <w:proofErr w:type="spellEnd"/>
      <w:r w:rsidRPr="00106B65">
        <w:t xml:space="preserve"> o tehničkim aspektima tog načina glasovanja;</w:t>
      </w:r>
    </w:p>
    <w:p w:rsidR="000A4D9F" w:rsidRPr="00106B65" w:rsidRDefault="000A4D9F" w:rsidP="00106B65">
      <w:pPr>
        <w:spacing w:after="240"/>
        <w:ind w:left="567" w:hanging="567"/>
      </w:pPr>
      <w:r w:rsidRPr="00106B65">
        <w:t>34.</w:t>
      </w:r>
      <w:r w:rsidRPr="00106B65">
        <w:tab/>
        <w:t>ponovno potvrđuje svoj poziv glavnom tajniku da naglasi temeljno načelo prema kojem bi se svako zapošljavanje trebalo temeljiti na kompetencijama, istodobno osiguravajući geografsku ravnotežu među svim državama članicama na svim razinama osoblja; poziva Parlament da izgradi vlastite kapacitete za informiranje javnosti kako bi se na natječaje privukli kvalitetni kandidati potrebni Parlamentu s obzirom na profil, dob, rod i nacionalnost, a posebno kandidati iz nedovoljno zastupljenih zemalja; naglašava da je postizanje pravedne geografske zastupljenosti ključno za poticanje istinski europske javne službe; napominje da je Parlament s tim ciljem dosljedno poduzimao mjere za potporu, uključujući organizaciju posebnih natječaja za zasebne nacionalnosti, uz zadržavanje strogog pristupa odabiru koji se temelji na zaslugama;</w:t>
      </w:r>
    </w:p>
    <w:p w:rsidR="000A4D9F" w:rsidRPr="00106B65" w:rsidRDefault="000A4D9F" w:rsidP="00106B65">
      <w:pPr>
        <w:spacing w:after="240"/>
        <w:ind w:left="567" w:hanging="567"/>
      </w:pPr>
      <w:r w:rsidRPr="00106B65">
        <w:t>35.</w:t>
      </w:r>
      <w:r w:rsidRPr="00106B65">
        <w:tab/>
        <w:t>smatra da bi Parlament trebao služiti kao primjer u pogledu prava osoba s invaliditetom, i kao poslodavac i kao javna institucija; pozdravlja politiku Parlamenta čiji je cilj osigurati da se osobe s invaliditetom potpuno neovisno koriste zgradama Parlamenta te podržava daljnje mjere i prilagodbe koje će u tom pogledu biti potrebne; napominje da je proračunom predviđeno 3,7 milijuna EUR u tu svrhu;</w:t>
      </w:r>
    </w:p>
    <w:p w:rsidR="000A4D9F" w:rsidRPr="00106B65" w:rsidRDefault="000A4D9F" w:rsidP="00106B65">
      <w:pPr>
        <w:spacing w:after="240"/>
        <w:ind w:left="567" w:hanging="567"/>
      </w:pPr>
      <w:r w:rsidRPr="00106B65">
        <w:t>36.</w:t>
      </w:r>
      <w:r w:rsidRPr="00106B65">
        <w:tab/>
        <w:t xml:space="preserve">naglašava činjenicu da bi jedinstveno sjedište Parlamenta moglo smanjiti financijske i ekološke troškove; podsjeća da, u skladu s Ugovorom o Europskoj uniji, sjedište Parlamenta mora biti u </w:t>
      </w:r>
      <w:proofErr w:type="spellStart"/>
      <w:r w:rsidRPr="00106B65">
        <w:t>Strasbourgu</w:t>
      </w:r>
      <w:proofErr w:type="spellEnd"/>
      <w:r w:rsidRPr="00106B65">
        <w:t>; napominje da bi trajne promjene zahtijevale izmjenu Ugovora za koju je potrebna jednoglasna odluka;</w:t>
      </w:r>
    </w:p>
    <w:p w:rsidR="000A4D9F" w:rsidRPr="00106B65" w:rsidRDefault="000A4D9F" w:rsidP="00106B65">
      <w:pPr>
        <w:spacing w:after="240"/>
        <w:ind w:left="567" w:hanging="567"/>
      </w:pPr>
      <w:r w:rsidRPr="00106B65">
        <w:t>37.</w:t>
      </w:r>
      <w:r w:rsidRPr="00106B65">
        <w:tab/>
        <w:t xml:space="preserve">napominje da troškovi službenih putovanja zastupnika i osoblja iznose 116 milijuna EUR u proračunu Parlamenta; poziva na promišljanje tijela Parlamenta o praksama službenih putovanja i na reviziju pravila i praksi za službena putovanja s općim ciljem nastavka poboljšanja naravi službenih putovanja i daljnjeg smanjenja financijskih troškova i troškova povezanih s okolišem; potiče zastupnike da se koriste </w:t>
      </w:r>
      <w:proofErr w:type="spellStart"/>
      <w:r w:rsidRPr="00106B65">
        <w:t>niskougljičnim</w:t>
      </w:r>
      <w:proofErr w:type="spellEnd"/>
      <w:r w:rsidRPr="00106B65">
        <w:t xml:space="preserve"> prijevoznim alternativama te se zalaže za odgovornu i odmjerenu upotrebu letova s najpogodnijom cijenom i za to da se prednost da putovanjima vlakom, ako je to moguće;</w:t>
      </w:r>
    </w:p>
    <w:p w:rsidR="000A4D9F" w:rsidRPr="00106B65" w:rsidRDefault="000A4D9F" w:rsidP="00106B65">
      <w:pPr>
        <w:spacing w:after="240"/>
        <w:ind w:left="567" w:hanging="567"/>
      </w:pPr>
      <w:r w:rsidRPr="00106B65">
        <w:t>38.</w:t>
      </w:r>
      <w:r w:rsidRPr="00106B65">
        <w:tab/>
        <w:t xml:space="preserve">prima na znanje da se člankom 46. stavkom 2. Provedbenih mjera Statuta zastupnika u Europskom parlamentu predviđa mogućnost financiranja dodatnih troškova povezanih s proračunima za parlamentarnu pomoć odobrenim sredstvima iz naknade za opće troškove; poziva upravu Parlamenta da poduzme potrebne mjere kako bi se zastupnicima koji to žele omogućilo da naknadom za opće troškove pokriju troškove </w:t>
      </w:r>
      <w:r w:rsidRPr="00106B65">
        <w:lastRenderedPageBreak/>
        <w:t>službenih putovanja akreditiranih parlamentarnih asistenata; ističe da bi se takvom mjerom riješilo pitanje sve većih troškova u uredima zastupnika, pri čemu bi ona bila proračunski neutralna;</w:t>
      </w:r>
    </w:p>
    <w:p w:rsidR="000A4D9F" w:rsidRDefault="000A4D9F" w:rsidP="00106B65">
      <w:pPr>
        <w:spacing w:after="240"/>
        <w:ind w:left="567" w:hanging="567"/>
      </w:pPr>
      <w:r w:rsidRPr="00106B65">
        <w:t>39.</w:t>
      </w:r>
      <w:r w:rsidRPr="00106B65">
        <w:tab/>
        <w:t>poziva Predsjedništvo da ne indeksira naknadu za opće troškove i da ne odobrava naknadu za opće troškove bivšim zastupnicima, čime bi se omogućile znatne uštede u zakonskim troškovima;</w:t>
      </w:r>
    </w:p>
    <w:p w:rsidR="00E340BB" w:rsidRPr="00E340BB" w:rsidRDefault="00E340BB" w:rsidP="00106B65">
      <w:pPr>
        <w:spacing w:after="240"/>
        <w:ind w:left="567" w:hanging="567"/>
      </w:pPr>
      <w:r w:rsidRPr="00E340BB">
        <w:t>40.</w:t>
      </w:r>
      <w:r w:rsidRPr="0035686B">
        <w:tab/>
        <w:t>poziva Predsjedništvo da revidira pravila i uvede razdoblje mirovanja za bivše zastupnike tijekom kojega oni ne bi mogli sudjelovati u aktivnostima lobiranja ili zastupanja pred Parlamentom u trajanju jednakom razdoblju tijekom kojeg zastupnici primaju prijelaznu naknadu;</w:t>
      </w:r>
    </w:p>
    <w:p w:rsidR="000A4D9F" w:rsidRPr="00106B65" w:rsidRDefault="000A4D9F" w:rsidP="00106B65">
      <w:pPr>
        <w:spacing w:after="240"/>
        <w:ind w:left="567" w:hanging="567"/>
      </w:pPr>
      <w:r w:rsidRPr="00106B65">
        <w:t>4</w:t>
      </w:r>
      <w:r w:rsidR="00E340BB">
        <w:t>1</w:t>
      </w:r>
      <w:r w:rsidRPr="00106B65">
        <w:t>.</w:t>
      </w:r>
      <w:r w:rsidRPr="00106B65">
        <w:tab/>
      </w:r>
      <w:r w:rsidR="00E340BB" w:rsidRPr="0035686B">
        <w:rPr>
          <w:sz w:val="23"/>
        </w:rPr>
        <w:t>podsjeća da je Parlament od 2018. na plenarnoj sjednici dosljedno glasovao kako bi razmotrio ukidanje opće zabrane sudjelovanja akreditiranih parlamentarnih asistenata u službenim izaslanstvima i službenim putovanjima; žali zbog toga što</w:t>
      </w:r>
      <w:r w:rsidRPr="00106B65">
        <w:t xml:space="preserve"> odluke Konferencije predsjednika iz ožujka 2025. o provedbenim odredbama kojima se uređuju službena putovanja izvan triju mjesta rada Europskog parlamenta; </w:t>
      </w:r>
      <w:r w:rsidR="00E340BB" w:rsidRPr="0035686B">
        <w:rPr>
          <w:sz w:val="23"/>
        </w:rPr>
        <w:t>nisu bile u skladu sa zahtjevom plenarne sjednice</w:t>
      </w:r>
      <w:r w:rsidR="00E340BB" w:rsidRPr="00E340BB">
        <w:rPr>
          <w:sz w:val="23"/>
        </w:rPr>
        <w:t>;</w:t>
      </w:r>
      <w:r w:rsidR="00E340BB" w:rsidRPr="0035686B">
        <w:rPr>
          <w:sz w:val="23"/>
        </w:rPr>
        <w:t xml:space="preserve"> ostaje pri svojem stajalištu da bi akreditiranim parlamentarnim asistentima pod određenim uvjetima trebalo dopustiti da prate zastupnike u službenim izaslanstvima i na službenim putovanjima; poziva svoja relevantna tijela da izmijene relevantne članke svojih internih pravila kako bi se omogućilo sudjelovanje akreditiranih parlamentarnih asistenata u službenim izaslanstvima i na službenim putovanjima izvan triju mjesta rada Parlamenta bez daljnje odgode</w:t>
      </w:r>
      <w:r w:rsidRPr="00106B65">
        <w:t>;</w:t>
      </w:r>
    </w:p>
    <w:p w:rsidR="000A4D9F" w:rsidRPr="00106B65" w:rsidRDefault="000A4D9F" w:rsidP="00106B65">
      <w:pPr>
        <w:spacing w:after="240"/>
        <w:ind w:left="567" w:hanging="567"/>
      </w:pPr>
      <w:r w:rsidRPr="00106B65">
        <w:t>4</w:t>
      </w:r>
      <w:r w:rsidR="00E340BB">
        <w:t>2</w:t>
      </w:r>
      <w:r w:rsidRPr="00106B65">
        <w:t>.</w:t>
      </w:r>
      <w:r w:rsidRPr="00106B65">
        <w:tab/>
        <w:t>pozdravlja rad Odbora akreditiranih parlamentarnih asistenata, koji čini oko 2000 parlamentarnih asistenata, čiji je rad ključan za neometano funkcioniranje svakodnevnih aktivnosti zastupnika u Europskom parlamentu; prima na znanje da je predviđeno da će se izdvojiti 10 000 EUR kako bi odbor akreditiranih parlamentarnih asistenata ispunio svoju ulogu i osigurao dostatna sredstva za učinkovitu potporu akreditiranim parlamentarnim asistentima i njihovo primjereno zastupanje;</w:t>
      </w:r>
    </w:p>
    <w:p w:rsidR="000A4D9F" w:rsidRPr="00106B65" w:rsidRDefault="000A4D9F" w:rsidP="00106B65">
      <w:pPr>
        <w:spacing w:after="240"/>
        <w:ind w:left="567" w:hanging="567"/>
      </w:pPr>
      <w:r w:rsidRPr="00106B65">
        <w:t>4</w:t>
      </w:r>
      <w:r w:rsidR="00E340BB">
        <w:t>3</w:t>
      </w:r>
      <w:r w:rsidRPr="00106B65">
        <w:t>.</w:t>
      </w:r>
      <w:r w:rsidRPr="00106B65">
        <w:tab/>
        <w:t>pozdravlja iznimno povećanje od 10 % za 2026. u stipendijama za svakog stažista, za koje je za 2026. u proračunu predviđen iznos od 1 milijun EUR, kako bi im se pomoglo da se nose sa sve većim troškovima stanovanja u Bruxellesu i Luxembourgu;</w:t>
      </w:r>
    </w:p>
    <w:p w:rsidR="000A4D9F" w:rsidRDefault="000A4D9F" w:rsidP="00106B65">
      <w:pPr>
        <w:spacing w:after="240"/>
        <w:ind w:left="567" w:hanging="567"/>
      </w:pPr>
      <w:r w:rsidRPr="00106B65">
        <w:t>4</w:t>
      </w:r>
      <w:r w:rsidR="00E340BB">
        <w:t>4</w:t>
      </w:r>
      <w:r w:rsidRPr="00106B65">
        <w:t>.</w:t>
      </w:r>
      <w:r w:rsidRPr="00106B65">
        <w:tab/>
        <w:t>očekuje da će nadležna tijela prioritetno obraditi zahtjeve o kojima se glasuje na plenarnoj sjednici;</w:t>
      </w:r>
    </w:p>
    <w:p w:rsidR="00370CD2" w:rsidRDefault="00370CD2" w:rsidP="00370CD2">
      <w:pPr>
        <w:widowControl/>
        <w:spacing w:after="240"/>
        <w:jc w:val="center"/>
        <w:rPr>
          <w:color w:val="000000"/>
        </w:rPr>
      </w:pPr>
      <w:r>
        <w:rPr>
          <w:color w:val="000000"/>
        </w:rPr>
        <w:t>°</w:t>
      </w:r>
    </w:p>
    <w:p w:rsidR="00370CD2" w:rsidRPr="00106B65" w:rsidRDefault="00370CD2" w:rsidP="007541A9">
      <w:pPr>
        <w:widowControl/>
        <w:spacing w:after="240"/>
        <w:jc w:val="center"/>
      </w:pPr>
      <w:r>
        <w:rPr>
          <w:color w:val="000000"/>
        </w:rPr>
        <w:t>°     °</w:t>
      </w:r>
    </w:p>
    <w:p w:rsidR="000A4D9F" w:rsidRPr="00106B65" w:rsidRDefault="00106B65" w:rsidP="00106B65">
      <w:pPr>
        <w:spacing w:after="240"/>
        <w:ind w:left="567" w:hanging="567"/>
      </w:pPr>
      <w:r>
        <w:t>4</w:t>
      </w:r>
      <w:r w:rsidR="00E340BB">
        <w:t>5</w:t>
      </w:r>
      <w:r>
        <w:t>.</w:t>
      </w:r>
      <w:r>
        <w:tab/>
      </w:r>
      <w:r w:rsidR="000A4D9F" w:rsidRPr="00106B65">
        <w:t>prihvaća projekciju proračuna za financijsku godinu 2026.;</w:t>
      </w:r>
    </w:p>
    <w:p w:rsidR="00E365E1" w:rsidRPr="00106B65" w:rsidRDefault="00106B65" w:rsidP="00106B65">
      <w:pPr>
        <w:spacing w:after="240"/>
        <w:ind w:left="567" w:hanging="567"/>
      </w:pPr>
      <w:r w:rsidRPr="00106B65">
        <w:t>4</w:t>
      </w:r>
      <w:r w:rsidR="00E340BB">
        <w:t>6</w:t>
      </w:r>
      <w:r w:rsidRPr="00106B65">
        <w:t>.</w:t>
      </w:r>
      <w:r w:rsidRPr="00106B65">
        <w:tab/>
      </w:r>
      <w:r w:rsidR="000A4D9F" w:rsidRPr="00106B65">
        <w:t>nalaže svojoj predsjednici da ovu Rezoluciju i projekciju proračuna proslijedi Vijeću i Komisiji.</w:t>
      </w:r>
    </w:p>
    <w:sectPr w:rsidR="00E365E1" w:rsidRPr="00106B65" w:rsidSect="00EF75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C54" w:rsidRPr="00EF75BF" w:rsidRDefault="006C0C54">
      <w:r w:rsidRPr="00EF75BF">
        <w:separator/>
      </w:r>
    </w:p>
  </w:endnote>
  <w:endnote w:type="continuationSeparator" w:id="0">
    <w:p w:rsidR="006C0C54" w:rsidRPr="00EF75BF" w:rsidRDefault="006C0C54">
      <w:r w:rsidRPr="00EF75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5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5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5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C54" w:rsidRPr="00EF75BF" w:rsidRDefault="006C0C54">
      <w:r w:rsidRPr="00EF75BF">
        <w:separator/>
      </w:r>
    </w:p>
  </w:footnote>
  <w:footnote w:type="continuationSeparator" w:id="0">
    <w:p w:rsidR="006C0C54" w:rsidRPr="00EF75BF" w:rsidRDefault="006C0C54">
      <w:r w:rsidRPr="00EF75BF">
        <w:continuationSeparator/>
      </w:r>
    </w:p>
  </w:footnote>
  <w:footnote w:id="1">
    <w:p w:rsidR="000A4D9F" w:rsidRPr="00EF75BF" w:rsidRDefault="000A4D9F" w:rsidP="00EF75BF">
      <w:pPr>
        <w:ind w:left="567" w:hanging="567"/>
        <w:rPr>
          <w:color w:val="000000"/>
        </w:rPr>
      </w:pPr>
      <w:r w:rsidRPr="00EF75BF">
        <w:rPr>
          <w:rStyle w:val="FootnoteReference"/>
        </w:rPr>
        <w:footnoteRef/>
      </w:r>
      <w:r w:rsidR="00EF75BF" w:rsidRPr="00EF75BF">
        <w:rPr>
          <w:color w:val="000000"/>
        </w:rPr>
        <w:t xml:space="preserve"> </w:t>
      </w:r>
      <w:r w:rsidR="00EF75BF" w:rsidRPr="00EF75BF">
        <w:rPr>
          <w:color w:val="000000"/>
        </w:rPr>
        <w:tab/>
      </w:r>
      <w:r w:rsidRPr="00EF75BF">
        <w:rPr>
          <w:color w:val="000000"/>
        </w:rPr>
        <w:t xml:space="preserve">SL L 433 I, 22.12.2020., str. 11., ELI: </w:t>
      </w:r>
      <w:hyperlink r:id="rId1" w:history="1">
        <w:r w:rsidRPr="00EF75BF">
          <w:rPr>
            <w:rStyle w:val="Hyperlink"/>
          </w:rPr>
          <w:t>http://data.europa.eu/eli/reg/2020/2093/oj</w:t>
        </w:r>
      </w:hyperlink>
      <w:r w:rsidRPr="00EF75BF">
        <w:rPr>
          <w:color w:val="000000"/>
        </w:rPr>
        <w:t>.</w:t>
      </w:r>
    </w:p>
  </w:footnote>
  <w:footnote w:id="2">
    <w:p w:rsidR="000A4D9F" w:rsidRPr="00EF75BF" w:rsidRDefault="000A4D9F" w:rsidP="00EF75BF">
      <w:pPr>
        <w:ind w:left="567" w:hanging="567"/>
        <w:rPr>
          <w:color w:val="000000"/>
        </w:rPr>
      </w:pPr>
      <w:r w:rsidRPr="00EF75BF">
        <w:rPr>
          <w:rStyle w:val="FootnoteReference"/>
        </w:rPr>
        <w:footnoteRef/>
      </w:r>
      <w:r w:rsidR="00EF75BF" w:rsidRPr="00EF75BF">
        <w:rPr>
          <w:color w:val="000000"/>
        </w:rPr>
        <w:t xml:space="preserve"> </w:t>
      </w:r>
      <w:r w:rsidR="00EF75BF" w:rsidRPr="00EF75BF">
        <w:rPr>
          <w:color w:val="000000"/>
        </w:rPr>
        <w:tab/>
      </w:r>
      <w:r w:rsidRPr="00EF75BF">
        <w:rPr>
          <w:color w:val="000000"/>
        </w:rPr>
        <w:t>SL C 444 I, 22.12.2020., str. 4.</w:t>
      </w:r>
    </w:p>
  </w:footnote>
  <w:footnote w:id="3">
    <w:p w:rsidR="000A4D9F" w:rsidRPr="00EF75BF" w:rsidRDefault="000A4D9F" w:rsidP="00EF75BF">
      <w:pPr>
        <w:ind w:left="567" w:hanging="567"/>
        <w:rPr>
          <w:color w:val="000000"/>
        </w:rPr>
      </w:pPr>
      <w:r w:rsidRPr="00EF75BF">
        <w:rPr>
          <w:rStyle w:val="FootnoteReference"/>
        </w:rPr>
        <w:footnoteRef/>
      </w:r>
      <w:r w:rsidR="00EF75BF" w:rsidRPr="00EF75BF">
        <w:rPr>
          <w:color w:val="000000"/>
        </w:rPr>
        <w:t xml:space="preserve"> </w:t>
      </w:r>
      <w:r w:rsidR="00EF75BF" w:rsidRPr="00EF75BF">
        <w:rPr>
          <w:color w:val="000000"/>
        </w:rPr>
        <w:tab/>
      </w:r>
      <w:r w:rsidRPr="00EF75BF">
        <w:rPr>
          <w:color w:val="000000"/>
        </w:rPr>
        <w:t>SL C 445, 29.10.2021., str. 252.</w:t>
      </w:r>
    </w:p>
  </w:footnote>
  <w:footnote w:id="4">
    <w:p w:rsidR="000A4D9F" w:rsidRPr="00EF75BF" w:rsidRDefault="000A4D9F" w:rsidP="00EF75BF">
      <w:pPr>
        <w:ind w:left="567" w:hanging="567"/>
      </w:pPr>
      <w:r w:rsidRPr="00EF75BF">
        <w:rPr>
          <w:rStyle w:val="FootnoteReference"/>
          <w:rFonts w:eastAsiaTheme="majorEastAsia"/>
        </w:rPr>
        <w:footnoteRef/>
      </w:r>
      <w:r w:rsidR="00EF75BF" w:rsidRPr="00EF75BF">
        <w:t xml:space="preserve"> </w:t>
      </w:r>
      <w:r w:rsidR="00EF75BF" w:rsidRPr="00EF75BF">
        <w:tab/>
      </w:r>
      <w:r w:rsidRPr="00EF75BF">
        <w:t xml:space="preserve">SL L 325, 20.12.2022., str. 11., ELI: </w:t>
      </w:r>
      <w:hyperlink r:id="rId2" w:history="1">
        <w:r w:rsidRPr="00EF75BF">
          <w:rPr>
            <w:rStyle w:val="Hyperlink"/>
          </w:rPr>
          <w:t>http://data.europa.eu/eli/reg/2022/2496/oj</w:t>
        </w:r>
      </w:hyperlink>
      <w:r w:rsidRPr="00EF75BF">
        <w:t>.</w:t>
      </w:r>
    </w:p>
  </w:footnote>
  <w:footnote w:id="5">
    <w:p w:rsidR="000A4D9F" w:rsidRPr="00EF75BF" w:rsidRDefault="000A4D9F" w:rsidP="00EF75BF">
      <w:pPr>
        <w:ind w:left="567" w:hanging="567"/>
      </w:pPr>
      <w:r w:rsidRPr="00EF75BF">
        <w:rPr>
          <w:rStyle w:val="FootnoteReference"/>
        </w:rPr>
        <w:footnoteRef/>
      </w:r>
      <w:r w:rsidR="00EF75BF" w:rsidRPr="00EF75BF">
        <w:t xml:space="preserve"> </w:t>
      </w:r>
      <w:r w:rsidR="00EF75BF" w:rsidRPr="00EF75BF">
        <w:tab/>
      </w:r>
      <w:r w:rsidRPr="00EF75BF">
        <w:t xml:space="preserve">SL L, 2024/765, 29.2.2024., ELI: </w:t>
      </w:r>
      <w:hyperlink r:id="rId3" w:history="1">
        <w:r w:rsidRPr="00EF75BF">
          <w:rPr>
            <w:rStyle w:val="Hyperlink"/>
          </w:rPr>
          <w:t>http://data.europa.eu/eli/reg/2024/765/oj</w:t>
        </w:r>
      </w:hyperlink>
      <w:r w:rsidRPr="00EF75BF">
        <w:t>.</w:t>
      </w:r>
    </w:p>
  </w:footnote>
  <w:footnote w:id="6">
    <w:p w:rsidR="000A4D9F" w:rsidRPr="00EF75BF" w:rsidRDefault="000A4D9F" w:rsidP="00EF75BF">
      <w:pPr>
        <w:ind w:left="567" w:hanging="567"/>
        <w:rPr>
          <w:color w:val="000000"/>
        </w:rPr>
      </w:pPr>
      <w:r w:rsidRPr="00EF75BF">
        <w:rPr>
          <w:rStyle w:val="FootnoteReference"/>
        </w:rPr>
        <w:footnoteRef/>
      </w:r>
      <w:r w:rsidR="00EF75BF" w:rsidRPr="00EF75BF">
        <w:rPr>
          <w:color w:val="000000"/>
        </w:rPr>
        <w:t xml:space="preserve"> </w:t>
      </w:r>
      <w:r w:rsidR="00EF75BF" w:rsidRPr="00EF75BF">
        <w:rPr>
          <w:color w:val="000000"/>
        </w:rPr>
        <w:tab/>
      </w:r>
      <w:r w:rsidRPr="00EF75BF">
        <w:rPr>
          <w:color w:val="000000"/>
        </w:rPr>
        <w:t>SL C 445, 29.10.2021., str. 240.</w:t>
      </w:r>
    </w:p>
  </w:footnote>
  <w:footnote w:id="7">
    <w:p w:rsidR="000A4D9F" w:rsidRPr="00EF75BF" w:rsidRDefault="000A4D9F" w:rsidP="00EF75BF">
      <w:pPr>
        <w:ind w:left="567" w:hanging="567"/>
        <w:rPr>
          <w:color w:val="000000"/>
        </w:rPr>
      </w:pPr>
      <w:r w:rsidRPr="00EF75BF">
        <w:rPr>
          <w:rStyle w:val="FootnoteReference"/>
        </w:rPr>
        <w:footnoteRef/>
      </w:r>
      <w:r w:rsidR="00EF75BF" w:rsidRPr="00EF75BF">
        <w:rPr>
          <w:color w:val="000000"/>
        </w:rPr>
        <w:t xml:space="preserve"> </w:t>
      </w:r>
      <w:r w:rsidR="00EF75BF" w:rsidRPr="00EF75BF">
        <w:rPr>
          <w:color w:val="000000"/>
        </w:rPr>
        <w:tab/>
      </w:r>
      <w:r w:rsidRPr="00EF75BF">
        <w:rPr>
          <w:color w:val="000000"/>
        </w:rPr>
        <w:t>SL C 177, 17.5.2023., str. 115.</w:t>
      </w:r>
    </w:p>
  </w:footnote>
  <w:footnote w:id="8">
    <w:p w:rsidR="000A4D9F" w:rsidRPr="00EF75BF" w:rsidRDefault="000A4D9F" w:rsidP="00EF75BF">
      <w:pPr>
        <w:ind w:left="567" w:hanging="567"/>
        <w:rPr>
          <w:color w:val="000000"/>
        </w:rPr>
      </w:pPr>
      <w:r w:rsidRPr="00EF75BF">
        <w:rPr>
          <w:rStyle w:val="FootnoteReference"/>
        </w:rPr>
        <w:footnoteRef/>
      </w:r>
      <w:r w:rsidR="00EF75BF" w:rsidRPr="00EF75BF">
        <w:rPr>
          <w:color w:val="000000"/>
        </w:rPr>
        <w:t xml:space="preserve"> </w:t>
      </w:r>
      <w:r w:rsidR="00EF75BF" w:rsidRPr="00EF75BF">
        <w:rPr>
          <w:color w:val="000000"/>
        </w:rPr>
        <w:tab/>
      </w:r>
      <w:r w:rsidRPr="00EF75BF">
        <w:rPr>
          <w:color w:val="000000"/>
        </w:rPr>
        <w:t xml:space="preserve">SL C, C/2024/1195, 23.2.2024., ELI: </w:t>
      </w:r>
      <w:hyperlink r:id="rId4" w:history="1">
        <w:r w:rsidRPr="00EF75BF">
          <w:rPr>
            <w:rStyle w:val="Hyperlink"/>
          </w:rPr>
          <w:t>http://data.europa.eu/eli/C/2024/1195/oj</w:t>
        </w:r>
      </w:hyperlink>
      <w:r w:rsidRPr="00EF75BF">
        <w:rPr>
          <w:color w:val="000000"/>
        </w:rPr>
        <w:t>.</w:t>
      </w:r>
    </w:p>
  </w:footnote>
  <w:footnote w:id="9">
    <w:p w:rsidR="000A4D9F" w:rsidRPr="00EF75BF" w:rsidRDefault="000A4D9F" w:rsidP="00EF75BF">
      <w:pPr>
        <w:ind w:left="567" w:hanging="567"/>
        <w:rPr>
          <w:color w:val="000000"/>
        </w:rPr>
      </w:pPr>
      <w:r w:rsidRPr="00EF75BF">
        <w:rPr>
          <w:rStyle w:val="FootnoteReference"/>
        </w:rPr>
        <w:footnoteRef/>
      </w:r>
      <w:r w:rsidR="00EF75BF" w:rsidRPr="00EF75BF">
        <w:rPr>
          <w:color w:val="000000"/>
        </w:rPr>
        <w:t xml:space="preserve"> </w:t>
      </w:r>
      <w:r w:rsidR="00EF75BF" w:rsidRPr="00EF75BF">
        <w:rPr>
          <w:color w:val="000000"/>
        </w:rPr>
        <w:tab/>
      </w:r>
      <w:r w:rsidRPr="00EF75BF">
        <w:rPr>
          <w:color w:val="000000"/>
        </w:rPr>
        <w:t xml:space="preserve">SL C, C/2024/6751, 26.11.2024., ELI: </w:t>
      </w:r>
      <w:hyperlink r:id="rId5" w:history="1">
        <w:r w:rsidRPr="00EF75BF">
          <w:rPr>
            <w:rStyle w:val="Hyperlink"/>
          </w:rPr>
          <w:t>http://data.europa.eu/eli/C/2024/6751/oj</w:t>
        </w:r>
      </w:hyperlink>
      <w:r w:rsidRPr="00EF75BF">
        <w:rPr>
          <w:color w:val="000000"/>
        </w:rPr>
        <w:t>.</w:t>
      </w:r>
    </w:p>
  </w:footnote>
  <w:footnote w:id="10">
    <w:p w:rsidR="000A4D9F" w:rsidRPr="00EF75BF" w:rsidRDefault="000A4D9F" w:rsidP="00EF75BF">
      <w:pPr>
        <w:ind w:left="567" w:hanging="567"/>
        <w:rPr>
          <w:color w:val="000000"/>
        </w:rPr>
      </w:pPr>
      <w:r w:rsidRPr="00EF75BF">
        <w:rPr>
          <w:rStyle w:val="FootnoteReference"/>
        </w:rPr>
        <w:footnoteRef/>
      </w:r>
      <w:r w:rsidR="00EF75BF" w:rsidRPr="00EF75BF">
        <w:rPr>
          <w:color w:val="000000"/>
        </w:rPr>
        <w:t xml:space="preserve"> </w:t>
      </w:r>
      <w:r w:rsidR="00EF75BF" w:rsidRPr="00EF75BF">
        <w:rPr>
          <w:color w:val="000000"/>
        </w:rPr>
        <w:tab/>
      </w:r>
      <w:r w:rsidRPr="00EF75BF">
        <w:rPr>
          <w:color w:val="000000"/>
        </w:rPr>
        <w:t>SL L</w:t>
      </w:r>
      <w:r w:rsidR="00C33998">
        <w:rPr>
          <w:color w:val="000000"/>
        </w:rPr>
        <w:t>,</w:t>
      </w:r>
      <w:r w:rsidRPr="00EF75BF">
        <w:rPr>
          <w:color w:val="000000"/>
        </w:rPr>
        <w:t xml:space="preserve"> 2024/2509, 26.9.2024., ELI: </w:t>
      </w:r>
      <w:r w:rsidRPr="00EF75BF">
        <w:rPr>
          <w:color w:val="337AB7"/>
          <w:u w:val="single"/>
        </w:rPr>
        <w:t>http://data.europa.eu/eli/reg/2024/2509/oj.</w:t>
      </w:r>
    </w:p>
  </w:footnote>
  <w:footnote w:id="11">
    <w:p w:rsidR="000A4D9F" w:rsidRPr="00EF75BF" w:rsidRDefault="000A4D9F" w:rsidP="00EF75BF">
      <w:pPr>
        <w:ind w:left="567" w:hanging="567"/>
        <w:rPr>
          <w:color w:val="000000"/>
        </w:rPr>
      </w:pPr>
      <w:r w:rsidRPr="00EF75BF">
        <w:rPr>
          <w:rStyle w:val="FootnoteReference"/>
        </w:rPr>
        <w:footnoteRef/>
      </w:r>
      <w:r w:rsidR="00EF75BF" w:rsidRPr="00EF75BF">
        <w:rPr>
          <w:color w:val="000000"/>
        </w:rPr>
        <w:t xml:space="preserve"> </w:t>
      </w:r>
      <w:r w:rsidR="00EF75BF" w:rsidRPr="00EF75BF">
        <w:rPr>
          <w:color w:val="000000"/>
        </w:rPr>
        <w:tab/>
      </w:r>
      <w:r w:rsidRPr="00EF75BF">
        <w:rPr>
          <w:color w:val="000000"/>
        </w:rPr>
        <w:t xml:space="preserve">SL L 433 I, 22.12.2020., str. 28., ELI: </w:t>
      </w:r>
      <w:hyperlink r:id="rId6" w:history="1">
        <w:r w:rsidRPr="00EF75BF">
          <w:rPr>
            <w:rStyle w:val="Hyperlink"/>
          </w:rPr>
          <w:t>http://data.europa.eu/eli/agree_interinstit/2020/1222/oj</w:t>
        </w:r>
      </w:hyperlink>
      <w:r w:rsidRPr="00EF75BF">
        <w:rPr>
          <w:color w:val="000000"/>
        </w:rPr>
        <w:t>.</w:t>
      </w:r>
    </w:p>
  </w:footnote>
  <w:footnote w:id="12">
    <w:p w:rsidR="000A4D9F" w:rsidRPr="00EF75BF" w:rsidRDefault="000A4D9F" w:rsidP="00EF75BF">
      <w:pPr>
        <w:ind w:left="567" w:hanging="567"/>
        <w:rPr>
          <w:color w:val="000000"/>
        </w:rPr>
      </w:pPr>
      <w:r w:rsidRPr="00EF75BF">
        <w:rPr>
          <w:rStyle w:val="FootnoteReference"/>
        </w:rPr>
        <w:footnoteRef/>
      </w:r>
      <w:r w:rsidR="00EF75BF" w:rsidRPr="00EF75BF">
        <w:rPr>
          <w:color w:val="000000"/>
        </w:rPr>
        <w:t xml:space="preserve"> </w:t>
      </w:r>
      <w:r w:rsidR="00EF75BF" w:rsidRPr="00EF75BF">
        <w:rPr>
          <w:color w:val="000000"/>
        </w:rPr>
        <w:tab/>
      </w:r>
      <w:r w:rsidRPr="00EF75BF">
        <w:rPr>
          <w:color w:val="000000"/>
        </w:rPr>
        <w:t>SL L</w:t>
      </w:r>
      <w:r w:rsidR="00C33998">
        <w:rPr>
          <w:color w:val="000000"/>
        </w:rPr>
        <w:t>, 2025/31, 27.2.2025., ELI</w:t>
      </w:r>
      <w:bookmarkStart w:id="8" w:name="_GoBack"/>
      <w:bookmarkEnd w:id="8"/>
      <w:r w:rsidRPr="00EF75BF">
        <w:rPr>
          <w:color w:val="000000"/>
        </w:rPr>
        <w:t xml:space="preserve">: </w:t>
      </w:r>
      <w:hyperlink r:id="rId7" w:history="1">
        <w:r w:rsidRPr="00EF75BF">
          <w:rPr>
            <w:rStyle w:val="Hyperlink"/>
          </w:rPr>
          <w:t>http://data.europa.eu/eli/budget/2025/31/oj</w:t>
        </w:r>
      </w:hyperlink>
      <w:r w:rsidRPr="00EF75BF">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5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5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5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HR"/>
    <w:docVar w:name="dvnumam" w:val="0"/>
    <w:docVar w:name="dvpe" w:val="770.074"/>
    <w:docVar w:name="dvrapporteur" w:val="Izvjestitelj: "/>
    <w:docVar w:name="dvtitre" w:val="Rezolucija Europskog parlamenta od .... 2025. o procjeni prihoda i rashoda Europskog parlamenta za financijsku godinu 2026.(2024/2111(BUI))"/>
  </w:docVars>
  <w:rsids>
    <w:rsidRoot w:val="006C0C54"/>
    <w:rsid w:val="00002272"/>
    <w:rsid w:val="00052D24"/>
    <w:rsid w:val="00064002"/>
    <w:rsid w:val="000677B9"/>
    <w:rsid w:val="000831BA"/>
    <w:rsid w:val="000A42CC"/>
    <w:rsid w:val="000A4D9F"/>
    <w:rsid w:val="000E7DD9"/>
    <w:rsid w:val="0010095E"/>
    <w:rsid w:val="00106B65"/>
    <w:rsid w:val="00125B37"/>
    <w:rsid w:val="00187494"/>
    <w:rsid w:val="001F32AE"/>
    <w:rsid w:val="002767FF"/>
    <w:rsid w:val="002B18FE"/>
    <w:rsid w:val="002B5493"/>
    <w:rsid w:val="00343214"/>
    <w:rsid w:val="0035686B"/>
    <w:rsid w:val="00361C00"/>
    <w:rsid w:val="00370CD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0C54"/>
    <w:rsid w:val="006F74FA"/>
    <w:rsid w:val="00731ADD"/>
    <w:rsid w:val="00734777"/>
    <w:rsid w:val="00747932"/>
    <w:rsid w:val="00751A4A"/>
    <w:rsid w:val="007541A9"/>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998"/>
    <w:rsid w:val="00C61C0C"/>
    <w:rsid w:val="00C941CB"/>
    <w:rsid w:val="00CC2357"/>
    <w:rsid w:val="00CF071A"/>
    <w:rsid w:val="00D058B8"/>
    <w:rsid w:val="00D56C11"/>
    <w:rsid w:val="00D834A0"/>
    <w:rsid w:val="00D872DF"/>
    <w:rsid w:val="00D91E21"/>
    <w:rsid w:val="00DA7FCD"/>
    <w:rsid w:val="00E340BB"/>
    <w:rsid w:val="00E365E1"/>
    <w:rsid w:val="00E820A4"/>
    <w:rsid w:val="00EB006A"/>
    <w:rsid w:val="00EB4772"/>
    <w:rsid w:val="00ED169E"/>
    <w:rsid w:val="00ED4235"/>
    <w:rsid w:val="00EF75B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AC72E"/>
  <w15:chartTrackingRefBased/>
  <w15:docId w15:val="{311A13E2-6C83-410A-BB23-BE51CA012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A4D9F"/>
    <w:pPr>
      <w:spacing w:after="240"/>
      <w:ind w:left="567" w:hanging="567"/>
    </w:pPr>
  </w:style>
  <w:style w:type="paragraph" w:customStyle="1" w:styleId="EPComma">
    <w:name w:val="EPComma"/>
    <w:basedOn w:val="Normal"/>
    <w:rsid w:val="000A4D9F"/>
    <w:pPr>
      <w:spacing w:before="480" w:after="240"/>
    </w:pPr>
  </w:style>
  <w:style w:type="character" w:styleId="Hyperlink">
    <w:name w:val="Hyperlink"/>
    <w:basedOn w:val="DefaultParagraphFont"/>
    <w:uiPriority w:val="99"/>
    <w:rsid w:val="000A4D9F"/>
    <w:rPr>
      <w:color w:val="0563C1" w:themeColor="hyperlink"/>
      <w:u w:val="single"/>
    </w:rPr>
  </w:style>
  <w:style w:type="paragraph" w:customStyle="1" w:styleId="FootnoteReference1">
    <w:name w:val="Footnote Reference1"/>
    <w:basedOn w:val="Normal"/>
    <w:link w:val="FootnoteReference"/>
    <w:rsid w:val="000A4D9F"/>
    <w:pPr>
      <w:widowControl/>
      <w:spacing w:after="160" w:line="240" w:lineRule="exact"/>
    </w:pPr>
    <w:rPr>
      <w:sz w:val="20"/>
      <w:vertAlign w:val="superscript"/>
      <w:lang w:val="en-GB"/>
    </w:rPr>
  </w:style>
  <w:style w:type="character" w:customStyle="1" w:styleId="NormalHanging12aChar">
    <w:name w:val="NormalHanging12a Char"/>
    <w:basedOn w:val="DefaultParagraphFont"/>
    <w:link w:val="NormalHanging12a"/>
    <w:locked/>
    <w:rsid w:val="000A4D9F"/>
    <w:rPr>
      <w:sz w:val="24"/>
      <w:lang w:val="hr-HR"/>
    </w:rPr>
  </w:style>
  <w:style w:type="paragraph" w:styleId="BalloonText">
    <w:name w:val="Balloon Text"/>
    <w:basedOn w:val="Normal"/>
    <w:link w:val="BalloonTextChar"/>
    <w:rsid w:val="00370CD2"/>
    <w:rPr>
      <w:rFonts w:ascii="Segoe UI" w:hAnsi="Segoe UI" w:cs="Segoe UI"/>
      <w:sz w:val="18"/>
      <w:szCs w:val="18"/>
    </w:rPr>
  </w:style>
  <w:style w:type="character" w:customStyle="1" w:styleId="BalloonTextChar">
    <w:name w:val="Balloon Text Char"/>
    <w:basedOn w:val="DefaultParagraphFont"/>
    <w:link w:val="BalloonText"/>
    <w:rsid w:val="00370CD2"/>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5C1B3-34F1-402A-9C2E-9C3E3CEDC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3649</Words>
  <Characters>22110</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2025-05-27T13:32:00Z</dcterms:created>
  <dcterms:modified xsi:type="dcterms:W3CDTF">2025-05-27T13:32:00Z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P10_TA(2025)0060_</vt:lpwstr>
  </property>
  <property fmtid="{D5CDD505-2E9C-101B-9397-08002B2CF9AE}" pid="4" name="&lt;Type&gt;">
    <vt:lpwstr>RR</vt:lpwstr>
  </property>
</Properties>
</file>