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60D8" w14:paraId="49C304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341F3D" w14:textId="77777777" w:rsidR="00751A4A" w:rsidRPr="00F760D8" w:rsidRDefault="00165730" w:rsidP="0010095E">
            <w:pPr>
              <w:pStyle w:val="EPName"/>
            </w:pPr>
            <w:bookmarkStart w:id="0" w:name="_GoBack"/>
            <w:bookmarkEnd w:id="0"/>
            <w:r w:rsidRPr="00F760D8">
              <w:t>Európai Parlament</w:t>
            </w:r>
          </w:p>
          <w:p w14:paraId="199F69D6" w14:textId="77777777" w:rsidR="00751A4A" w:rsidRPr="00F760D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60D8">
              <w:t>2024</w:t>
            </w:r>
            <w:r w:rsidR="00817416" w:rsidRPr="00F760D8">
              <w:t>-202</w:t>
            </w:r>
            <w:r w:rsidRPr="00F760D8">
              <w:t>9</w:t>
            </w:r>
          </w:p>
        </w:tc>
        <w:tc>
          <w:tcPr>
            <w:tcW w:w="2268" w:type="dxa"/>
            <w:shd w:val="clear" w:color="auto" w:fill="auto"/>
          </w:tcPr>
          <w:p w14:paraId="13AC0831" w14:textId="77777777" w:rsidR="00751A4A" w:rsidRPr="00F760D8" w:rsidRDefault="00187494" w:rsidP="0010095E">
            <w:pPr>
              <w:pStyle w:val="EPLogo"/>
            </w:pPr>
            <w:r w:rsidRPr="00F760D8">
              <w:rPr>
                <w:noProof/>
                <w:lang w:val="en-GB"/>
              </w:rPr>
              <w:drawing>
                <wp:inline distT="0" distB="0" distL="0" distR="0" wp14:anchorId="2778B0A3" wp14:editId="5C1D31C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883F1B" w14:textId="77777777" w:rsidR="00D058B8" w:rsidRPr="00F760D8" w:rsidRDefault="00D058B8" w:rsidP="004C5D52">
      <w:pPr>
        <w:pStyle w:val="LineTop"/>
      </w:pPr>
    </w:p>
    <w:p w14:paraId="5AE9DFCD" w14:textId="77777777" w:rsidR="00630413" w:rsidRPr="00F760D8" w:rsidRDefault="00165730" w:rsidP="00680577">
      <w:pPr>
        <w:pStyle w:val="EPBodyTA1"/>
      </w:pPr>
      <w:r w:rsidRPr="00F760D8">
        <w:t>ELFOGADOTT SZÖVEGEK</w:t>
      </w:r>
    </w:p>
    <w:p w14:paraId="593B9203" w14:textId="56B359EB" w:rsidR="00165730" w:rsidRPr="00F760D8" w:rsidRDefault="00165730" w:rsidP="00165730">
      <w:pPr>
        <w:pStyle w:val="ATHeading1"/>
      </w:pPr>
      <w:bookmarkStart w:id="1" w:name="TANumber"/>
      <w:r w:rsidRPr="00F760D8">
        <w:t>P10_TA(2025)00</w:t>
      </w:r>
      <w:r w:rsidR="0047537D" w:rsidRPr="00F760D8">
        <w:t>6</w:t>
      </w:r>
      <w:r w:rsidRPr="00F760D8">
        <w:t>0</w:t>
      </w:r>
      <w:bookmarkEnd w:id="1"/>
    </w:p>
    <w:p w14:paraId="5D5D756C" w14:textId="77777777" w:rsidR="00165730" w:rsidRPr="00F760D8" w:rsidRDefault="00165730" w:rsidP="00165730">
      <w:pPr>
        <w:pStyle w:val="ATHeading2"/>
      </w:pPr>
      <w:bookmarkStart w:id="2" w:name="title"/>
      <w:r w:rsidRPr="00F760D8">
        <w:t>A 2026. évi pénzügyi évre tervezett bevételek és kiadások – I. szakasz – Európai Parlament</w:t>
      </w:r>
      <w:bookmarkEnd w:id="2"/>
    </w:p>
    <w:p w14:paraId="656EA57F" w14:textId="77777777" w:rsidR="00165730" w:rsidRPr="00F760D8" w:rsidRDefault="00165730" w:rsidP="00165730">
      <w:pPr>
        <w:rPr>
          <w:i/>
          <w:vanish/>
        </w:rPr>
      </w:pPr>
      <w:r w:rsidRPr="00F760D8">
        <w:rPr>
          <w:i/>
        </w:rPr>
        <w:fldChar w:fldCharType="begin"/>
      </w:r>
      <w:r w:rsidRPr="00F760D8">
        <w:rPr>
          <w:i/>
        </w:rPr>
        <w:instrText xml:space="preserve"> TC"(</w:instrText>
      </w:r>
      <w:bookmarkStart w:id="3" w:name="DocNumber"/>
      <w:r w:rsidRPr="00F760D8">
        <w:rPr>
          <w:i/>
        </w:rPr>
        <w:instrText>A10-0048/2025</w:instrText>
      </w:r>
      <w:bookmarkEnd w:id="3"/>
      <w:r w:rsidRPr="00F760D8">
        <w:rPr>
          <w:i/>
        </w:rPr>
        <w:instrText xml:space="preserve"> - Előadó: Matjaž Nemec)"\l3 \n&gt; \* MERGEFORMAT </w:instrText>
      </w:r>
      <w:r w:rsidRPr="00F760D8">
        <w:rPr>
          <w:i/>
        </w:rPr>
        <w:fldChar w:fldCharType="end"/>
      </w:r>
    </w:p>
    <w:p w14:paraId="60CFDD3D" w14:textId="77777777" w:rsidR="00165730" w:rsidRPr="00F760D8" w:rsidRDefault="00165730" w:rsidP="00165730">
      <w:pPr>
        <w:rPr>
          <w:vanish/>
        </w:rPr>
      </w:pPr>
      <w:bookmarkStart w:id="4" w:name="Commission"/>
      <w:r w:rsidRPr="00F760D8">
        <w:rPr>
          <w:vanish/>
        </w:rPr>
        <w:t>Költségvetési Bizottság</w:t>
      </w:r>
      <w:bookmarkEnd w:id="4"/>
    </w:p>
    <w:p w14:paraId="216760C7" w14:textId="77777777" w:rsidR="00165730" w:rsidRPr="00F760D8" w:rsidRDefault="00165730" w:rsidP="00165730">
      <w:pPr>
        <w:rPr>
          <w:vanish/>
        </w:rPr>
      </w:pPr>
      <w:bookmarkStart w:id="5" w:name="PE"/>
      <w:r w:rsidRPr="00F760D8">
        <w:rPr>
          <w:vanish/>
        </w:rPr>
        <w:t>PE770.074</w:t>
      </w:r>
      <w:bookmarkEnd w:id="5"/>
    </w:p>
    <w:p w14:paraId="15F87030" w14:textId="27AB413D" w:rsidR="00630413" w:rsidRPr="00F760D8" w:rsidRDefault="00165730" w:rsidP="00165730">
      <w:pPr>
        <w:pStyle w:val="ATHeading3"/>
      </w:pPr>
      <w:bookmarkStart w:id="6" w:name="Sujet"/>
      <w:r w:rsidRPr="00F760D8">
        <w:t xml:space="preserve">Az Európai Parlament 2025. </w:t>
      </w:r>
      <w:r w:rsidR="00630413" w:rsidRPr="00F760D8">
        <w:t>április 3</w:t>
      </w:r>
      <w:r w:rsidRPr="00F760D8">
        <w:t>-i állásfoglalása az Európai Parlament 2026. évi pénzügyi évre tervezett bevételeiről és kiadásairól</w:t>
      </w:r>
      <w:bookmarkEnd w:id="6"/>
      <w:r w:rsidRPr="00F760D8">
        <w:t xml:space="preserve"> </w:t>
      </w:r>
      <w:bookmarkStart w:id="7" w:name="References"/>
      <w:r w:rsidRPr="00F760D8">
        <w:t>(2024/2111(BUI))</w:t>
      </w:r>
      <w:bookmarkEnd w:id="7"/>
    </w:p>
    <w:p w14:paraId="76F49642" w14:textId="77777777" w:rsidR="000C7282" w:rsidRPr="00F760D8" w:rsidRDefault="000C7282" w:rsidP="000C7282">
      <w:pPr>
        <w:keepNext/>
        <w:spacing w:before="480" w:after="240"/>
        <w:rPr>
          <w:color w:val="000000"/>
        </w:rPr>
      </w:pPr>
      <w:bookmarkStart w:id="8" w:name="TextBodyBegin"/>
      <w:bookmarkEnd w:id="8"/>
      <w:r w:rsidRPr="00F760D8">
        <w:rPr>
          <w:i/>
          <w:color w:val="000000"/>
        </w:rPr>
        <w:t>Az Európai Parlament,</w:t>
      </w:r>
    </w:p>
    <w:p w14:paraId="2035645B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–</w:t>
      </w:r>
      <w:r w:rsidRPr="00F760D8">
        <w:rPr>
          <w:color w:val="000000"/>
        </w:rPr>
        <w:tab/>
        <w:t>tekintettel az Európai Unió működéséről szóló szerződés 314. cikkére,</w:t>
      </w:r>
    </w:p>
    <w:p w14:paraId="3B57ACA2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–</w:t>
      </w:r>
      <w:r w:rsidRPr="00F760D8">
        <w:rPr>
          <w:color w:val="000000"/>
        </w:rPr>
        <w:tab/>
        <w:t>tekintettel a 2021–2027-es időszakra vonatkozó többéves pénzügyi keretről szóló, 2020. december 17-i (EU, Euratom) 2020/2093 tanácsi rendeletre</w:t>
      </w:r>
      <w:r w:rsidRPr="00F760D8">
        <w:rPr>
          <w:color w:val="000000"/>
          <w:vertAlign w:val="superscript"/>
        </w:rPr>
        <w:footnoteReference w:id="1"/>
      </w:r>
      <w:r w:rsidRPr="00F760D8">
        <w:rPr>
          <w:color w:val="000000"/>
        </w:rPr>
        <w:t>, valamint a Parlament, a Tanács és a Bizottság által ezzel összefüggésben elfogadott együttes nyilatkozatra</w:t>
      </w:r>
      <w:r w:rsidRPr="00F760D8">
        <w:rPr>
          <w:color w:val="000000"/>
          <w:vertAlign w:val="superscript"/>
        </w:rPr>
        <w:footnoteReference w:id="2"/>
      </w:r>
      <w:r w:rsidRPr="00F760D8">
        <w:rPr>
          <w:color w:val="000000"/>
        </w:rPr>
        <w:t xml:space="preserve"> és a kapcsolódó egyoldalú nyilatkozatokra</w:t>
      </w:r>
      <w:r w:rsidRPr="00F760D8">
        <w:rPr>
          <w:color w:val="000000"/>
          <w:vertAlign w:val="superscript"/>
        </w:rPr>
        <w:footnoteReference w:id="3"/>
      </w:r>
      <w:r w:rsidRPr="00F760D8">
        <w:rPr>
          <w:color w:val="000000"/>
        </w:rPr>
        <w:t>,</w:t>
      </w:r>
    </w:p>
    <w:p w14:paraId="2D8697D2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 w:themeColor="text1"/>
        </w:rPr>
      </w:pPr>
      <w:r w:rsidRPr="00F760D8">
        <w:rPr>
          <w:color w:val="000000"/>
        </w:rPr>
        <w:t>–</w:t>
      </w:r>
      <w:r w:rsidRPr="00F760D8">
        <w:rPr>
          <w:color w:val="000000"/>
        </w:rPr>
        <w:tab/>
        <w:t>tekintettel a 2021–2027-es időszakra vonatkozó többéves pénzügyi keretről szóló (EU, Euratom) 2020/2093 rendelet módosításáról szóló, 2022. december 15-i (EU, Euratom) 2022/2496 tanácsi rendeletre</w:t>
      </w:r>
      <w:r w:rsidRPr="00F760D8">
        <w:rPr>
          <w:color w:val="000000"/>
          <w:vertAlign w:val="superscript"/>
        </w:rPr>
        <w:footnoteReference w:id="4"/>
      </w:r>
      <w:r w:rsidRPr="00F760D8">
        <w:rPr>
          <w:color w:val="000000"/>
        </w:rPr>
        <w:t>,</w:t>
      </w:r>
    </w:p>
    <w:p w14:paraId="1F7B2C62" w14:textId="77777777" w:rsidR="000C7282" w:rsidRPr="00F760D8" w:rsidRDefault="000C7282" w:rsidP="00630413">
      <w:pPr>
        <w:widowControl/>
        <w:spacing w:after="240"/>
        <w:ind w:left="567" w:hanging="567"/>
      </w:pPr>
      <w:r w:rsidRPr="00F760D8">
        <w:t>–</w:t>
      </w:r>
      <w:r w:rsidRPr="00F760D8">
        <w:tab/>
      </w:r>
      <w:r w:rsidRPr="00F760D8">
        <w:rPr>
          <w:color w:val="000000"/>
        </w:rPr>
        <w:t>tekintettel a 2021–2027-es időszakra vonatkozó többéves pénzügyi keretről szóló (EU, Euratom) 2020/2093 rendelet módosításáról szóló (EU, Euratom) 2024/765 tanácsi rendeletre</w:t>
      </w:r>
      <w:r w:rsidRPr="00F760D8">
        <w:rPr>
          <w:rStyle w:val="FootnoteReference"/>
          <w:color w:val="000000"/>
        </w:rPr>
        <w:footnoteReference w:id="5"/>
      </w:r>
      <w:r w:rsidRPr="00F760D8">
        <w:rPr>
          <w:color w:val="000000"/>
        </w:rPr>
        <w:t xml:space="preserve"> („a többéves pénzügyi keret felülvizsgálata”),</w:t>
      </w:r>
    </w:p>
    <w:p w14:paraId="53625DF4" w14:textId="77777777" w:rsidR="000C7282" w:rsidRPr="00F760D8" w:rsidRDefault="000C7282" w:rsidP="00630413">
      <w:pPr>
        <w:widowControl/>
        <w:spacing w:after="240"/>
        <w:ind w:left="567" w:hanging="567"/>
      </w:pPr>
      <w:r w:rsidRPr="00F760D8">
        <w:t>–</w:t>
      </w:r>
      <w:r w:rsidRPr="00F760D8">
        <w:tab/>
        <w:t>tekintettel a 2021–2027 közötti időszakra vonatkozó többéves pénzügyi keretről szóló tanácsi rendelet tervezetéről szóló, 2020. december 16-i állásfoglalására</w:t>
      </w:r>
      <w:r w:rsidRPr="00F760D8">
        <w:rPr>
          <w:vertAlign w:val="superscript"/>
        </w:rPr>
        <w:footnoteReference w:id="6"/>
      </w:r>
      <w:r w:rsidRPr="00F760D8">
        <w:t>,</w:t>
      </w:r>
    </w:p>
    <w:p w14:paraId="7FBB35E0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lastRenderedPageBreak/>
        <w:t>–</w:t>
      </w:r>
      <w:r w:rsidRPr="00F760D8">
        <w:rPr>
          <w:color w:val="000000"/>
        </w:rPr>
        <w:tab/>
        <w:t>tekintettel „A 2021–2027-re szóló többéves pénzügyi keret bővítéséről: az új kihívásoknak megfelelő, reziliens uniós költségvetés” című, 2022. december 15-i állásfoglalására</w:t>
      </w:r>
      <w:r w:rsidRPr="00F760D8">
        <w:rPr>
          <w:color w:val="000000"/>
          <w:vertAlign w:val="superscript"/>
        </w:rPr>
        <w:footnoteReference w:id="7"/>
      </w:r>
      <w:r w:rsidRPr="00F760D8">
        <w:rPr>
          <w:color w:val="000000"/>
        </w:rPr>
        <w:t>,</w:t>
      </w:r>
    </w:p>
    <w:p w14:paraId="4C0EC337" w14:textId="77777777" w:rsidR="000C7282" w:rsidRPr="00F760D8" w:rsidRDefault="000C7282" w:rsidP="00630413">
      <w:pPr>
        <w:widowControl/>
        <w:spacing w:after="240"/>
        <w:ind w:left="567" w:hanging="567"/>
      </w:pPr>
      <w:r w:rsidRPr="00F760D8">
        <w:t>–</w:t>
      </w:r>
      <w:r w:rsidRPr="00F760D8">
        <w:tab/>
        <w:t>tekintettel a 2021–2027-es időszakra vonatkozó többéves pénzügyi keret félidős felülvizsgálatára irányuló javaslatról szóló, 2023. október 3-i állásfoglalására</w:t>
      </w:r>
      <w:r w:rsidRPr="00F760D8">
        <w:rPr>
          <w:vertAlign w:val="superscript"/>
        </w:rPr>
        <w:footnoteReference w:id="8"/>
      </w:r>
      <w:r w:rsidRPr="00F760D8">
        <w:t>,</w:t>
      </w:r>
    </w:p>
    <w:p w14:paraId="6D640419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–</w:t>
      </w:r>
      <w:r w:rsidRPr="00F760D8">
        <w:rPr>
          <w:color w:val="000000"/>
        </w:rPr>
        <w:tab/>
        <w:t>tekintettel a 2021–2027-es időszakra vonatkozó többéves pénzügyi keretről szóló (EU, Euratom) 2020/2093 rendelet módosítására irányuló tanácsi rendelet tervezetéről szóló, 2024. február 27-i állásfoglalására</w:t>
      </w:r>
      <w:r w:rsidRPr="00F760D8">
        <w:rPr>
          <w:color w:val="000000"/>
          <w:vertAlign w:val="superscript"/>
        </w:rPr>
        <w:footnoteReference w:id="9"/>
      </w:r>
      <w:r w:rsidRPr="00F760D8">
        <w:rPr>
          <w:color w:val="000000"/>
        </w:rPr>
        <w:t>,</w:t>
      </w:r>
    </w:p>
    <w:p w14:paraId="30FE1B3C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–</w:t>
      </w:r>
      <w:r w:rsidRPr="00F760D8">
        <w:rPr>
          <w:color w:val="000000"/>
        </w:rPr>
        <w:tab/>
        <w:t>tekintettel az Unió általános költségvetésére alkalmazandó pénzügyi szabályokról szóló, 2024. szeptember 23-i (EU, Euratom) 2024/2509 európai parlamenti és tanácsi rendeletre</w:t>
      </w:r>
      <w:r w:rsidRPr="00F760D8">
        <w:rPr>
          <w:color w:val="000000"/>
          <w:vertAlign w:val="superscript"/>
        </w:rPr>
        <w:footnoteReference w:id="10"/>
      </w:r>
      <w:r w:rsidRPr="00F760D8">
        <w:rPr>
          <w:color w:val="000000"/>
        </w:rPr>
        <w:t xml:space="preserve"> (átdolgozás) (a „költségvetési rendelet”),</w:t>
      </w:r>
    </w:p>
    <w:p w14:paraId="1F6792DB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–</w:t>
      </w:r>
      <w:r w:rsidRPr="00F760D8">
        <w:rPr>
          <w:color w:val="000000"/>
        </w:rPr>
        <w:tab/>
        <w:t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saját források bevezetésére vonatkozó ütemtervről szóló, 2020. december 16-i intézményközi megállapodásra</w:t>
      </w:r>
      <w:r w:rsidRPr="00F760D8">
        <w:rPr>
          <w:color w:val="000000"/>
          <w:vertAlign w:val="superscript"/>
        </w:rPr>
        <w:footnoteReference w:id="11"/>
      </w:r>
      <w:r w:rsidRPr="00F760D8">
        <w:rPr>
          <w:color w:val="000000"/>
        </w:rPr>
        <w:t>.</w:t>
      </w:r>
    </w:p>
    <w:p w14:paraId="6379AF07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–</w:t>
      </w:r>
      <w:r w:rsidRPr="00F760D8">
        <w:rPr>
          <w:color w:val="000000"/>
        </w:rPr>
        <w:tab/>
        <w:t>tekintettel az Európai Unió 2025. évi pénzügyi évre vonatkozó általános költségvetésére</w:t>
      </w:r>
      <w:r w:rsidRPr="00F760D8">
        <w:rPr>
          <w:color w:val="000000"/>
          <w:vertAlign w:val="superscript"/>
        </w:rPr>
        <w:footnoteReference w:id="12"/>
      </w:r>
      <w:r w:rsidRPr="00F760D8">
        <w:rPr>
          <w:color w:val="000000"/>
        </w:rPr>
        <w:t xml:space="preserve"> és az ehhez csatolt, a Parlament, a Tanács és a Bizottság által elfogadott együttes nyilatkozatokra,</w:t>
      </w:r>
    </w:p>
    <w:p w14:paraId="4E3C86B8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–</w:t>
      </w:r>
      <w:r w:rsidRPr="00F760D8">
        <w:rPr>
          <w:color w:val="000000"/>
        </w:rPr>
        <w:tab/>
        <w:t>tekintettel a Parlament 2026. évi pénzügyi évre vonatkozó előzetes költségvetési javaslattervezetének kidolgozása céljából a főtitkár által az Elnökséghez továbbított jelentésre,</w:t>
      </w:r>
    </w:p>
    <w:p w14:paraId="03091F42" w14:textId="64819614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–</w:t>
      </w:r>
      <w:r w:rsidRPr="00F760D8">
        <w:rPr>
          <w:color w:val="000000"/>
        </w:rPr>
        <w:tab/>
        <w:t>tekintettel az Elnökség által 2025. március 10-én, az eljárási szabályzat 25. cikkének (7) bekezdése és 104. cikkének (1) bekezdése értelmében elkészített, előzetes költségvetési javaslattervezetre,</w:t>
      </w:r>
    </w:p>
    <w:p w14:paraId="1000D55C" w14:textId="5A677A8B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–</w:t>
      </w:r>
      <w:r w:rsidRPr="00F760D8">
        <w:rPr>
          <w:color w:val="000000"/>
        </w:rPr>
        <w:tab/>
        <w:t>tekintettel a Költségvetési Bizottság által az eljárási szabályzat 104. cikkének (2) bekezdése értelmében elkészített költségvetési javaslattervezetre,</w:t>
      </w:r>
    </w:p>
    <w:p w14:paraId="0B05EE9D" w14:textId="4ED51B4F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–</w:t>
      </w:r>
      <w:r w:rsidRPr="00F760D8">
        <w:rPr>
          <w:color w:val="000000"/>
        </w:rPr>
        <w:tab/>
        <w:t>tekintettel eljárási szabályzata 104. cikkére,</w:t>
      </w:r>
    </w:p>
    <w:p w14:paraId="7D9FAC63" w14:textId="6085865B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–</w:t>
      </w:r>
      <w:r w:rsidRPr="00F760D8">
        <w:rPr>
          <w:color w:val="000000"/>
        </w:rPr>
        <w:tab/>
        <w:t>tekintettel a Költségvetési Bizottság jelentésére (A10-0048/2025),</w:t>
      </w:r>
    </w:p>
    <w:p w14:paraId="71A54A5F" w14:textId="7D803708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A.</w:t>
      </w:r>
      <w:r w:rsidRPr="00F760D8">
        <w:rPr>
          <w:color w:val="000000"/>
        </w:rPr>
        <w:tab/>
        <w:t xml:space="preserve">mivel a főtitkár által a Parlament 2026. évi előzetes költségvetési javaslattervezetében 2025. február 10-én javasolt költségvetés 2 641 609 620 EUR, ami a 2025. évi költségvetéshez képest 4,30%-os, azaz 108 914 512 EUR összegű növekedést jelent; </w:t>
      </w:r>
    </w:p>
    <w:p w14:paraId="6D231AD1" w14:textId="3ACC364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lastRenderedPageBreak/>
        <w:t>B.</w:t>
      </w:r>
      <w:r w:rsidRPr="00F760D8">
        <w:rPr>
          <w:color w:val="000000"/>
        </w:rPr>
        <w:tab/>
        <w:t>mivel az Eurostat szerint az Unióban az éves inflációs ráta a 2024. decemberi 2,7%-hoz képest 2025 januárjában 2,8%-volt; mivel a 2021–2027-es időszakra vonatkozó többéves pénzügyi keret 7. fejezetében szereplő kiadások szintje évi 2%-os növekedésen alapul;</w:t>
      </w:r>
    </w:p>
    <w:p w14:paraId="76C8AAF3" w14:textId="474B0BBF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C.</w:t>
      </w:r>
      <w:r w:rsidRPr="00F760D8">
        <w:rPr>
          <w:color w:val="000000"/>
        </w:rPr>
        <w:tab/>
        <w:t xml:space="preserve">mivel a Parlament hitelessége attól függ, hogy képes-e a legmagasabb színvonalon teljesíteni alapvető költségvetési, jogalkotási és ellenőrzési munkáját, miközben példát mutat a többi uniós intézménynek abban, hogy kiadásait körültekintően és hatékonyan tervezi és irányítja, igazodva a fennálló gazdasági realitásokhoz; </w:t>
      </w:r>
    </w:p>
    <w:p w14:paraId="0B532331" w14:textId="77777777" w:rsidR="000C7282" w:rsidRPr="00F760D8" w:rsidRDefault="000C7282" w:rsidP="00630413">
      <w:pPr>
        <w:widowControl/>
        <w:spacing w:after="240"/>
        <w:ind w:left="567" w:hanging="567"/>
        <w:rPr>
          <w:b/>
          <w:i/>
          <w:color w:val="000000"/>
        </w:rPr>
      </w:pPr>
      <w:r w:rsidRPr="00F760D8">
        <w:rPr>
          <w:b/>
          <w:i/>
          <w:color w:val="000000"/>
        </w:rPr>
        <w:t>Általános keret</w:t>
      </w:r>
    </w:p>
    <w:p w14:paraId="0F79CC78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1.</w:t>
      </w:r>
      <w:r w:rsidRPr="00F760D8">
        <w:rPr>
          <w:color w:val="000000"/>
        </w:rPr>
        <w:tab/>
        <w:t>aggodalmát fejezi ki a jelenlegi többéves pénzügyi keret 7. fejezetének helyzete miatt; emlékeztet arra, hogy a korlátok a Tanács által a Bizottságnak a már a 2021–2027-es időszakra vonatkozó jelenlegi többéves pénzügyi keretről való megállapodáskor is nagyon alacsony eredeti javaslatára alkalmazott csökkentések eredményei; sajnálatát fejezi ki amiatt, hogy a Tanács ellenzi a Bizottság azon javaslatát, hogy 2024-től emeljék meg a 7. fejezet felső határát a többéves pénzügyi keret felülvizsgálata során; rámutat arra, hogy a többéves pénzügyi keret felülvizsgálata során nem foglalkoztak a 7. fejezet felső határának kérdésével; kiemeli, hogy a 2026-ra előre jelzett negatív mozgástér feltételezi a 7. fejezet speciális eszközeinek e célra történő felhasználását;</w:t>
      </w:r>
    </w:p>
    <w:p w14:paraId="4EA5DDE0" w14:textId="38C22840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2.</w:t>
      </w:r>
      <w:r w:rsidRPr="00F760D8">
        <w:rPr>
          <w:color w:val="000000"/>
        </w:rPr>
        <w:tab/>
        <w:t>támogatja az Elnökség és a Költségvetési Bizottság között az egyeztetés során 2025. március 18-án elért megállapodást, amely szerint a 202</w:t>
      </w:r>
      <w:r w:rsidR="00F503A7" w:rsidRPr="00F760D8">
        <w:rPr>
          <w:color w:val="000000"/>
        </w:rPr>
        <w:t>5</w:t>
      </w:r>
      <w:r w:rsidRPr="00F760D8">
        <w:rPr>
          <w:color w:val="000000"/>
        </w:rPr>
        <w:t>-</w:t>
      </w:r>
      <w:r w:rsidR="00F503A7" w:rsidRPr="00F760D8">
        <w:rPr>
          <w:color w:val="000000"/>
        </w:rPr>
        <w:t>ö</w:t>
      </w:r>
      <w:r w:rsidRPr="00F760D8">
        <w:rPr>
          <w:color w:val="000000"/>
        </w:rPr>
        <w:t>s költségvetéshez képest a növekedést 4,09%-ban állapítják meg, ami a 2026-ra tervezett 2 636 241 620 EUR összegű átfogó költségvetési szintnek felel meg, és ennek megfelelően csökkentik az alábbi költségvetési sorokra javasolt előirányzatokat összesen 12 378 000 EUR-val:</w:t>
      </w:r>
    </w:p>
    <w:p w14:paraId="4C3DC2C0" w14:textId="77777777" w:rsidR="000C7282" w:rsidRPr="00F760D8" w:rsidRDefault="000C7282" w:rsidP="0047537D">
      <w:pPr>
        <w:widowControl/>
        <w:spacing w:after="240"/>
        <w:ind w:left="567"/>
        <w:rPr>
          <w:color w:val="000000"/>
        </w:rPr>
      </w:pPr>
      <w:r w:rsidRPr="00F760D8">
        <w:rPr>
          <w:color w:val="000000"/>
        </w:rPr>
        <w:t>1 0 0 6 – Általános költségtérítés, 1 4 2 – Külső fordítási szolgáltatások, 2 0 0 0 – Bérleti díjak, 2 0 0 7 – Építkezések és épületek belső kialakítása, 2 0 2 4 – Energiafogyasztás, 2 1 0 1 – Üzleti alkalmazások kezelése, 3 2 0 – Szakértelem igénybevétele, 3 2 4 3 – Az Európai Parlament látogatóközpontjai, 3 2 4 8 – Audiovizuális tájékoztatási kiadások, 4 4 – A jelenlegi és volt képviselők ülései és egyéb tevékenységei;</w:t>
      </w:r>
    </w:p>
    <w:p w14:paraId="78651A8F" w14:textId="77777777" w:rsidR="000C7282" w:rsidRPr="00F760D8" w:rsidRDefault="000C7282" w:rsidP="0047537D">
      <w:pPr>
        <w:widowControl/>
        <w:spacing w:after="240"/>
        <w:ind w:left="567"/>
        <w:rPr>
          <w:color w:val="000000"/>
        </w:rPr>
      </w:pPr>
      <w:r w:rsidRPr="00F760D8">
        <w:rPr>
          <w:color w:val="000000"/>
        </w:rPr>
        <w:t>továbbá úgy határoztak, hogy az Elnökség által 2025. március 10-én jóváhagyott előzetes költségvetési javaslattervezetben szereplő kiadások szintjét 7 010 000 EUR-val növelik, és ennek megfelelően növelik a következő költségvetési sorokra javasolt előirányzatokat:</w:t>
      </w:r>
    </w:p>
    <w:p w14:paraId="59B8E5D8" w14:textId="77777777" w:rsidR="000C7282" w:rsidRPr="00F760D8" w:rsidRDefault="000C7282" w:rsidP="0047537D">
      <w:pPr>
        <w:widowControl/>
        <w:spacing w:after="240"/>
        <w:ind w:left="567"/>
        <w:rPr>
          <w:color w:val="000000"/>
        </w:rPr>
      </w:pPr>
      <w:r w:rsidRPr="00F760D8">
        <w:rPr>
          <w:color w:val="000000"/>
        </w:rPr>
        <w:t>1 2 0 0 – Javadalmazás és juttatások, 1 6 3 0 – Szociális jólét: jóléti kiadások, 4 0 0 – Folyó igazgatási kiadások, valamint a képviselőcsoportok és a független képviselők politikai és információs tevékenységével kapcsolatos kiadások és 4 0 3 – Az európai politikai alapítványok finanszírozása;</w:t>
      </w:r>
    </w:p>
    <w:p w14:paraId="25568017" w14:textId="77777777" w:rsidR="000C7282" w:rsidRPr="00F760D8" w:rsidRDefault="000C7282" w:rsidP="0047537D">
      <w:pPr>
        <w:widowControl/>
        <w:spacing w:after="240"/>
        <w:ind w:left="567"/>
        <w:rPr>
          <w:color w:val="000000"/>
        </w:rPr>
      </w:pPr>
      <w:r w:rsidRPr="00F760D8">
        <w:rPr>
          <w:color w:val="000000"/>
        </w:rPr>
        <w:t>végül megállapodás született az 1 6 3 0. jogcím (Szociális jólét: jóléti kiadások) módosításáról, hogy az magában foglalja az akkreditált parlamenti asszisztensek bizottságára való hivatkozást;</w:t>
      </w:r>
    </w:p>
    <w:p w14:paraId="027CA60F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3.</w:t>
      </w:r>
      <w:r w:rsidRPr="00F760D8">
        <w:rPr>
          <w:color w:val="000000"/>
        </w:rPr>
        <w:tab/>
        <w:t xml:space="preserve">emlékeztet arra, hogy a költségvetés közel kétharmadát jogszabályi kötelezettségek határozzák meg; megjegyzi, hogy a 2025. évi költségvetéshez viszonyított 103,5 millió </w:t>
      </w:r>
      <w:r w:rsidRPr="00F760D8">
        <w:rPr>
          <w:color w:val="000000"/>
        </w:rPr>
        <w:lastRenderedPageBreak/>
        <w:t>EUR összegű növekedésből 85,3 millió EUR a jogszabályban előírt pénzügyi kötelezettségekből adódik, főként a tisztviselők és ideiglenes alkalmazottak (52,7 millió EUR), a szerződéses alkalmazottak (9,2 millió EUR) és az akkreditált parlamenti asszisztensek (15,1 millió EUR) bérkiigazításából; emlékeztet arra, hogy a fizetéseknek a személyzeti szabályzattal és az európai parlamenti képviselők statútumával összhangban történő indexálása a Bizottság jelenlegi előrejelzése szerint 2025 áprilisában 1,2%-os, 2025 júliusában 4,6%-os, 2026 áprilisában 0,6%-os, 2026 júliusában pedig 3,4%-os növekedést fog eredményezni;</w:t>
      </w:r>
    </w:p>
    <w:p w14:paraId="02FB4DAB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4.</w:t>
      </w:r>
      <w:r w:rsidRPr="00F760D8">
        <w:rPr>
          <w:color w:val="000000"/>
        </w:rPr>
        <w:tab/>
        <w:t>megjegyzi, hogy a Parlament 2026-ra – immár harmadik éve – nem kér további álláshelyeket;</w:t>
      </w:r>
    </w:p>
    <w:p w14:paraId="7DDF3FC8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5.</w:t>
      </w:r>
      <w:r w:rsidRPr="00F760D8">
        <w:rPr>
          <w:color w:val="000000"/>
        </w:rPr>
        <w:tab/>
        <w:t>megjegyzi, hogy a jogszabályban nem előírt kiadások 2025 és 2026 között 1,96%-kal növekedtek;</w:t>
      </w:r>
    </w:p>
    <w:p w14:paraId="789EE85D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6.</w:t>
      </w:r>
      <w:r w:rsidRPr="00F760D8">
        <w:rPr>
          <w:color w:val="000000"/>
        </w:rPr>
        <w:tab/>
        <w:t>üdvözli a főtitkár arra irányuló kezdeményezését, hogy nagyszabású átvilágítást végez azzal a céllal, hogy lehetőségeket találjon az adminisztratív egyszerűsítésre, a hatékonytalanságok megszüntetésére és a kézzelfogható költségcsökkenés biztosítására, ezáltal növelve a hatékonyságot és biztosítva az erőforrások okos felhasználását; kéri a főtitkárt, hogy félévente tájékoztassa a Költségvetési Bizottságot a meghozott intézkedésekről és az egyszerűsítésre vonatkozó cselekvési tervről, valamint azoknak a költségvetésre és a személyzetre gyakorolt hatásáról; hangsúlyozza, hogy az adminisztratív eljárások és az emberierőforrás-menedzsment súlyos terhet jelentenek a képviselők számára, különösen a helyi asszisztensek alkalmazása során, és e tekintetben egyszerűsítésre szólít fel;</w:t>
      </w:r>
    </w:p>
    <w:p w14:paraId="03453525" w14:textId="77777777" w:rsidR="000C7282" w:rsidRPr="00F760D8" w:rsidRDefault="000C7282" w:rsidP="00630413">
      <w:pPr>
        <w:pStyle w:val="NormalHanging12a"/>
        <w:widowControl/>
      </w:pPr>
      <w:r w:rsidRPr="00F760D8">
        <w:t>7.</w:t>
      </w:r>
      <w:r w:rsidRPr="00F760D8">
        <w:tab/>
        <w:t>megjegyzi, hogy a Parlament költségvetését reális alapokra kell helyezni, összhangban a költségvetési fegyelem, valamint a hatékony és eredményes pénzgazdálkodás elvével; hangsúlyozza, hogy létfontosságú biztosítani, hogy a pénzügyi elővigyázatosság és biztonság kiemelt prioritás maradjon, garantálva ugyanakkor, hogy ezek az intézkedések ne gátolják az intézmény hatékonyságát, eredményességét és működési kapacitását, sem alapvető személyzetének eredményes munkavégzését; hangsúlyozza, hogy a geopolitikai helyzetre és azokra a beruházásokra tekintettel, amelyeket az Uniónak stratégiai autonómiája érdekében végre kell hajtania, a Parlamentnek példát kell mutatnia költségvetésének kezelésében;</w:t>
      </w:r>
    </w:p>
    <w:p w14:paraId="11147B93" w14:textId="77777777" w:rsidR="000C7282" w:rsidRPr="00F760D8" w:rsidRDefault="000C7282" w:rsidP="00630413">
      <w:pPr>
        <w:pStyle w:val="NormalHanging12a"/>
        <w:widowControl/>
      </w:pPr>
      <w:r w:rsidRPr="00F760D8">
        <w:t>8.</w:t>
      </w:r>
      <w:r w:rsidRPr="00F760D8">
        <w:tab/>
        <w:t>kiemeli a Parlament szerepét az európai politikai tudatosság építésében és az Unió értékei és politikái, például a digitális és a zöld átállás támogatásában; hangsúlyozza, hogy az átláthatóság, az elszámoltathatóság, a nemek közötti egyenlőség és a feddhetetlenség alapvető elvek az uniós intézményekben és különösen a Parlamentben mint az európai demokrácia házában;</w:t>
      </w:r>
    </w:p>
    <w:p w14:paraId="59D5738C" w14:textId="77777777" w:rsidR="000C7282" w:rsidRPr="00F760D8" w:rsidRDefault="000C7282" w:rsidP="00630413">
      <w:pPr>
        <w:widowControl/>
        <w:spacing w:after="240"/>
        <w:ind w:left="567" w:hanging="567"/>
        <w:rPr>
          <w:b/>
          <w:i/>
          <w:color w:val="000000"/>
        </w:rPr>
      </w:pPr>
      <w:r w:rsidRPr="00F760D8">
        <w:rPr>
          <w:b/>
          <w:i/>
          <w:color w:val="000000"/>
        </w:rPr>
        <w:t>A Parlament alapvető feladatainak támogatása</w:t>
      </w:r>
    </w:p>
    <w:p w14:paraId="6CBE94BA" w14:textId="77777777" w:rsidR="000C7282" w:rsidRPr="00F760D8" w:rsidRDefault="000C7282" w:rsidP="00630413">
      <w:pPr>
        <w:pStyle w:val="NormalHanging12a"/>
        <w:widowControl/>
      </w:pPr>
      <w:r w:rsidRPr="00F760D8">
        <w:t>9.</w:t>
      </w:r>
      <w:r w:rsidRPr="00F760D8">
        <w:tab/>
        <w:t>tudomásul veszi a jogalkotási, költségvetési és ellenőrzési tevékenységekért felelős négy új tematikus főigazgatóság létrehozását, amelyek 2024 szeptemberében jöttek létre a korábbi Belső Politikák Főigazgatóságából azzal a céllal, hogy javítsák a Parlament társjogalkotóként, a költségvetési hatóság egyik ágaként és mentesítésért felelős hatóságként való működését; kéri a főtitkárt, hogy rendszeresen tájékoztassa a Költségvetési Bizottságot e főigazgatóságok munkájának és személyzetének alakulásáról;</w:t>
      </w:r>
    </w:p>
    <w:p w14:paraId="665C9FB9" w14:textId="77777777" w:rsidR="00630413" w:rsidRPr="00F760D8" w:rsidRDefault="000C7282" w:rsidP="00630413">
      <w:pPr>
        <w:pStyle w:val="NormalHanging12a"/>
        <w:widowControl/>
      </w:pPr>
      <w:r w:rsidRPr="00F760D8">
        <w:lastRenderedPageBreak/>
        <w:t>10.</w:t>
      </w:r>
      <w:r w:rsidRPr="00F760D8">
        <w:tab/>
        <w:t>elismeri, hogy a politikai döntéshozatalt nagyobb mértékben kell bizonyítékokra és tényekre alapozni; tudomásul veszi, hogy 16,75 millió EUR összegű költségvetést irányoztak a Parlament adminisztratív kapacitásának megerősítésére a képviselők parlamenti munkájának támogatásához, valamint az összetett és bizonytalan helyzetben való eligazodáshoz;</w:t>
      </w:r>
    </w:p>
    <w:p w14:paraId="0A687BAA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11.</w:t>
      </w:r>
      <w:r w:rsidRPr="00F760D8">
        <w:rPr>
          <w:color w:val="000000"/>
        </w:rPr>
        <w:tab/>
        <w:t>hangsúlyozza a képviselőcsoportok kulcsfontosságú szerepét abban, hogy szakértői és politikai támogatást nyújtsanak a képviselőknek jogalkotási és parlamenti munkájuk során; hangsúlyozza, hogy biztosítani kell a Parlament azon képességének megerősítésére irányuló fontos célkitűzést, hogy támogassa a képviselők munkáját;</w:t>
      </w:r>
    </w:p>
    <w:p w14:paraId="655CDB1C" w14:textId="77777777" w:rsidR="000C7282" w:rsidRPr="00F760D8" w:rsidRDefault="000C7282" w:rsidP="00630413">
      <w:pPr>
        <w:widowControl/>
        <w:spacing w:after="240"/>
        <w:ind w:left="567" w:hanging="567"/>
        <w:rPr>
          <w:b/>
          <w:i/>
          <w:color w:val="000000"/>
        </w:rPr>
      </w:pPr>
      <w:r w:rsidRPr="00F760D8">
        <w:rPr>
          <w:b/>
          <w:i/>
          <w:color w:val="000000"/>
        </w:rPr>
        <w:t xml:space="preserve">Digitális átállás </w:t>
      </w:r>
    </w:p>
    <w:p w14:paraId="364E9D69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12.</w:t>
      </w:r>
      <w:r w:rsidRPr="00F760D8">
        <w:rPr>
          <w:color w:val="000000"/>
        </w:rPr>
        <w:tab/>
        <w:t>hangsúlyozza, hogy a Parlament kiberbiztonsága kulcsfontosságú prioritás; megjegyzi, hogy a teljes informatikai költségvetés a 2026. évi költségvetési javaslatban szereplő teljes költségvetés 7,40%-át teszi ki; hangsúlyozza a megbízható kiberbiztonsági infrastruktúra fontosságát a zavaros geopolitikai viszonyok idején, és üdvözli a kiberbiztonságra szánt előirányzatok növelését; támogatja, hogy a kiberbiztonságra vonatkozó pénzügyi előirányzatokat 2027-ig fokozatosan a Parlament IKT-költségvetésének 10%-ára tervezik növelni;</w:t>
      </w:r>
    </w:p>
    <w:p w14:paraId="00F98FA1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13.</w:t>
      </w:r>
      <w:r w:rsidRPr="00F760D8">
        <w:rPr>
          <w:color w:val="000000"/>
        </w:rPr>
        <w:tab/>
        <w:t xml:space="preserve">üdvözli, hogy az Elnökség 2025. február 10-én elfogadta a kiberbiztonságra vonatkozó belső kockázatkezelési, -irányítási és -ellenőrzési keretrendszert; emlékeztet arra, hogy a kiberbiztonsági beruházások kulcsfontosságúak a Parlament és az Unió demokratikus hangjának védelmezésében; </w:t>
      </w:r>
    </w:p>
    <w:p w14:paraId="0107B5BC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14.</w:t>
      </w:r>
      <w:r w:rsidRPr="00F760D8">
        <w:rPr>
          <w:color w:val="000000"/>
        </w:rPr>
        <w:tab/>
        <w:t>üdvözli a mesterséges intelligenciába (MI) történő, 1 millió EUR összegű beruházásokat; kéri a mesterséges intelligencia fokozott használatát a hatékonyság növelése érdekében, szem előtt tartva a kapcsolódó kockázatokat, beleértve az etikát és az adatvédelmet is; kiemeli a mesterséges intelligenciában rejlő lehetőségeket az adminisztratív folyamatok egyszerűsítése terén; hangsúlyozza, hogy a mesterséges intelligencia bevezetésének egyensúlyt kell teremtenie az innováció és a szükséges biztosítékok között; megjegyzi, hogy a mesterséges intelligencia fejlesztését szorosan nyomon fogják követni az Elnökség által megállapított elvekkel összhangban, amelyek többek között magukban foglalják az új technológiák alkalmazásával végzett alapos kockázatértékelést; felhívja a titkárságot, hogy biztosítson megoldásokat, például alkalmazásokat és eszközöket, amelyeket a lehető leghamarabb az európai parlamenti képviselők és a személyzet rendelkezésére kell bocsátani;</w:t>
      </w:r>
    </w:p>
    <w:p w14:paraId="1FD3A127" w14:textId="77777777" w:rsidR="00630413" w:rsidRPr="00F760D8" w:rsidRDefault="000C7282" w:rsidP="00630413">
      <w:pPr>
        <w:widowControl/>
        <w:spacing w:after="240"/>
        <w:ind w:left="567" w:hanging="567"/>
        <w:rPr>
          <w:b/>
          <w:i/>
          <w:color w:val="000000"/>
        </w:rPr>
      </w:pPr>
      <w:r w:rsidRPr="00F760D8">
        <w:rPr>
          <w:b/>
          <w:i/>
          <w:color w:val="000000"/>
        </w:rPr>
        <w:t>Zöld átállás</w:t>
      </w:r>
    </w:p>
    <w:p w14:paraId="14DA0875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15.</w:t>
      </w:r>
      <w:r w:rsidRPr="00F760D8">
        <w:rPr>
          <w:color w:val="000000"/>
        </w:rPr>
        <w:tab/>
        <w:t>üdvözli a Parlament környezetközpontú irányítási rendszerének (EMAS) 2025–2029-re vonatkozó célkitűzéseit; emlékeztet arra, hogy az energiahatékonysági beruházások jó módszerei a kedvező ár-érték arány elérésének; tudomásul veszi, hogy a 2026. évi költségvetési javaslatban 8,45 millió EUR összegű költségvetést irányoztak elő az energiahatékonyságra és a környezetvédelemre irányuló beruházásokra az épületek környezeti teljesítményének további javítása érdekében; megjegyzi, hogy ez a 2025. évi költségvetéshez képest 74%-os növekedésnek felel meg; elismeri azonban, hogy ezek a környezetvédelmi intézkedések a 2007. „Épületek építése és berendezése” költségvetési sor részét képezik, amelynek végösszege 2026-ban 3,7 millió EUR-ral csökkent 2025-höz képest;</w:t>
      </w:r>
    </w:p>
    <w:p w14:paraId="0B832CF0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lastRenderedPageBreak/>
        <w:t>16.</w:t>
      </w:r>
      <w:r w:rsidRPr="00F760D8">
        <w:rPr>
          <w:color w:val="000000"/>
        </w:rPr>
        <w:tab/>
        <w:t>emlékeztet, hogy a Parlament szénlábnyomának közel kétharmada személyszállításból származik; felszólít a távolról vagy hibrid módon hatékonyan lebonyolítható ülésekre való utazások számának észszerű csökkentésére, valamint az alacsony szén-dioxid-kibocsátású alternatívákra való átállás előmozdítására minden fennmaradó utazás esetében, amennyiben ez nem hat ki a jogalkotási és a politikai munka minőségére;</w:t>
      </w:r>
    </w:p>
    <w:p w14:paraId="425FA667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17.</w:t>
      </w:r>
      <w:r w:rsidRPr="00F760D8">
        <w:rPr>
          <w:color w:val="000000"/>
        </w:rPr>
        <w:tab/>
        <w:t>tudomásul veszi a szén-dioxid-kreditek árának várható növekedését, amelyek megfizetéséhez a jelenlegi kibocsátási szintek mellett 2026-ban a becslések szerint 900 000 EUR-ra lenne szükség; felhívja az igazgatást, hogy a hatékony és eredményes pénzgazdálkodással összhangban szén-dioxid-kreditek vásárlása helyett inkább továbbra is csökkentse a Parlament kibocsátását; üdvözli, hogy 2025 júliusától kibővített vasúti kínálatot vezettek be a strasbourgi kiküldetésekre, ami pozitív lépés a szén-dioxid-kibocsátás csökkentése felé;</w:t>
      </w:r>
    </w:p>
    <w:p w14:paraId="6A7F89E1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18.</w:t>
      </w:r>
      <w:r w:rsidRPr="00F760D8">
        <w:rPr>
          <w:color w:val="000000"/>
        </w:rPr>
        <w:tab/>
        <w:t>megjegyzi, hogy a Parlament fotovoltaikus napelemeket telepített és telepít továbbra is a helyszínen előállított megújuló energia részarányának további növelése érdekében, hogy elérje a 25%-os célt; tudomásul veszi a főtitkár által a Parlament 2024. évi pénzügyi évre tervezett bevételeire és kiadásaira adott válaszokat, amelyek rámutatnak, hogy 2022-ben tanulmány készült a fotovoltaikus panelek használatáról a strasbourgi épületek tekintetében, amelyet 2023-ban fejeztek be, valamint hogy 2024-ben további tanulmányokat kell végezni az életképes megoldásokról, különösen a WEISS épület tekintetében;</w:t>
      </w:r>
    </w:p>
    <w:p w14:paraId="39D977C5" w14:textId="77777777" w:rsidR="00630413" w:rsidRPr="00F760D8" w:rsidRDefault="000C7282" w:rsidP="00630413">
      <w:pPr>
        <w:widowControl/>
        <w:spacing w:after="240"/>
        <w:ind w:left="567" w:hanging="567"/>
        <w:rPr>
          <w:b/>
          <w:i/>
          <w:color w:val="000000"/>
        </w:rPr>
      </w:pPr>
      <w:r w:rsidRPr="00F760D8">
        <w:rPr>
          <w:b/>
          <w:i/>
          <w:color w:val="000000"/>
        </w:rPr>
        <w:t>Többnyelvűség, kommunikáció és dezinformáció</w:t>
      </w:r>
    </w:p>
    <w:p w14:paraId="66D4A425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19.</w:t>
      </w:r>
      <w:r w:rsidRPr="00F760D8">
        <w:rPr>
          <w:color w:val="000000"/>
        </w:rPr>
        <w:tab/>
        <w:t>kiemeli, hogy a többnyelvűség kulcsfontosságú elv, amelyen a Parlament munkája alapul; tudomásul veszi a többnyelvűségi magatartási kódex 2025 tavaszára tervezett felülvizsgálatát; kéri, hogy a Parlament adott esetben használja ki a többnyelvűséggel kapcsolatos szolgáltatások jelentős technológiai fejlődését, beleértve a mesterséges intelligencia fejlesztését és használatát is; kéri a főtitkárt, hogy időben tájékoztassa a Költségvetési Bizottságot a felülvizsgálatból eredő esetleges költségvetési hatásokról;</w:t>
      </w:r>
    </w:p>
    <w:p w14:paraId="06AA08A5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20.</w:t>
      </w:r>
      <w:r w:rsidRPr="00F760D8">
        <w:rPr>
          <w:color w:val="000000"/>
        </w:rPr>
        <w:tab/>
        <w:t>kiemeli az Európai Parlament kapcsolattartó irodáinak szerepét a külföldi beavatkozás és a dezinformáció elleni küzdelemben; tudomásul veszi ezzel összefüggésben az EP kapcsolattartó irodáinak munkáját, amelyek több csatornán keresztül proaktívan népszerűsítik a Parlament munkáját helyi nyelveiken; kiemeli az EP egyesült királyságbeli kapcsolattartó irodájának szerepét az Egyesült Királyságban élő uniós polgárok fő kapcsolattartó pontjaként, amely tájékoztatást nyújt számukra a Parlamentről, és ösztönzi őket arra, hogy szavazzanak az európai parlamenti választásokon; kéri az Elnökséget, hogy hozzáférhető és inkluzív módon terjessze ki a kommunikációs anyagok előállítását és terjesztését;</w:t>
      </w:r>
    </w:p>
    <w:p w14:paraId="441A5651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21.</w:t>
      </w:r>
      <w:r w:rsidRPr="00F760D8">
        <w:rPr>
          <w:color w:val="000000"/>
        </w:rPr>
        <w:tab/>
        <w:t>kiemeli a fiatalok alacsony részvételi arányát a közelmúltbeli európai választásokon az Unió egyes régióiban, valamint a Parlament szerepét az uniós polgársággal kapcsolatos oktatás megerősítésében;</w:t>
      </w:r>
    </w:p>
    <w:p w14:paraId="416E39FE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22.</w:t>
      </w:r>
      <w:r w:rsidRPr="00F760D8">
        <w:rPr>
          <w:color w:val="000000"/>
        </w:rPr>
        <w:tab/>
        <w:t xml:space="preserve">emlékeztet az Európai Parlament „Nagykövet iskola” programjának fontosságára a fiatal európaiak aktív szerepvállalásának előmozdítása érdekében, valamint a David Sassoliról elnevezett, fiatal újságíróknak szóló képzési program fontosságára annak érdekében, hogy az újságírók jobban megértsék az Uniót és annak működését, ami a legjobb ellenszer a dezinformációval szemben, tekintettel azokra a közelmúltbeli </w:t>
      </w:r>
      <w:r w:rsidRPr="00F760D8">
        <w:rPr>
          <w:color w:val="000000"/>
        </w:rPr>
        <w:lastRenderedPageBreak/>
        <w:t>tendenciákra, amelyek a tömegtájékoztatás szabadságának és függetlenségének aggasztó csökkenését mutatják Unió-szerte;</w:t>
      </w:r>
    </w:p>
    <w:p w14:paraId="3CB39393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23.</w:t>
      </w:r>
      <w:r w:rsidRPr="00F760D8">
        <w:rPr>
          <w:color w:val="000000"/>
        </w:rPr>
        <w:tab/>
        <w:t>elismeri a látogatócsoportok fontosságát, amelyek fontos eszközt jelentenek abban, hogy a képviselők munkáját közelebb hozzák a polgárokhoz; e tekintetben üdvözli a szponzorált látogatóknak nyújtott pénzügyi hozzájárulás kiszámításához használt felső határok és költségtényezők 2025. január 1-jei megemelését;</w:t>
      </w:r>
      <w:r w:rsidRPr="00F760D8">
        <w:t xml:space="preserve"> </w:t>
      </w:r>
      <w:r w:rsidRPr="00F760D8">
        <w:rPr>
          <w:color w:val="000000"/>
        </w:rPr>
        <w:t>kéri az Elnökséget, hogy értékelje a látogatócsoportokra vonatkozó felülvizsgált szabályok utazási költségekkel kapcsolatos hatását, figyelembe véve a piaci ingadozásokat, és elkerülve a látogatók közvetett földrajzi megkülönböztetését; megjegyzi, hogy a képviselők az eddigi tapasztalatok szerint a látogatói kvóta mintegy 15%-át nem használják fel; felhívja a főtitkárt, hogy javasolja az Elnökségnek, hogy a fel nem használt kvótákat bocsássa az érdeklődő képviselők rendelkezésére; megjegyzi, hogy a látogatócsoportokra szánt költségvetés a Kommunikációs Főigazgatóság teljes költségvetésének 22%-át teszi ki;</w:t>
      </w:r>
    </w:p>
    <w:p w14:paraId="5031411F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24.</w:t>
      </w:r>
      <w:r w:rsidRPr="00F760D8">
        <w:rPr>
          <w:color w:val="000000"/>
        </w:rPr>
        <w:tab/>
        <w:t>aggodalommal veszi tudomásul az európai parlamenti képviselők látogatócsoportjaira vonatkozó belső szabályokat, amelyek azt eredményezik, hogy bizonyos körülmények között az előzetes költségek 30%-át az akkreditált parlamenti asszisztenseknek kell viselniük; hangsúlyozza e szabályok kivitelezhetetlenségét és az akkreditált parlamenti asszisztensekre ezáltal háruló pénzügyi terheket; tudomásul veszi a kétlépcsős megközelítés logikájával kapcsolatban a főtitkár által a Parlament 2024. évi pénzügyi évre tervezett bevételeire és kiadásaira adott válaszokat; megérti az indokokat, de hangsúlyozza, hogy ez egyre nagyobb kihívást jelent az akkreditált parlamenti asszisztensek számára, különösen a szigorúbb szabályok felé való folyamatos elmozdulással együtt;</w:t>
      </w:r>
    </w:p>
    <w:p w14:paraId="0C9C307C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25.</w:t>
      </w:r>
      <w:r w:rsidRPr="00F760D8">
        <w:rPr>
          <w:color w:val="000000"/>
        </w:rPr>
        <w:tab/>
        <w:t>hangsúlyozza, hogy a kommunikációs környezet egyre nagyobb kihívást jelent, és hogy többféle módon kell politikai kommunikációt folytatni, többek között a különböző közösségimédia-platformokon és más médiumokon keresztüli részvétel révén; hangsúlyozza, hogy a képviselőcsoportoknak valamennyi tagállamban el kell juttatniuk és közvetíteniük kell az üzeneteiket, ami a jól működő európai demokrácia kulcsfontosságú elve;</w:t>
      </w:r>
    </w:p>
    <w:p w14:paraId="5EFCBFF0" w14:textId="77777777" w:rsidR="000C7282" w:rsidRPr="00F760D8" w:rsidRDefault="000C7282" w:rsidP="00630413">
      <w:pPr>
        <w:widowControl/>
        <w:spacing w:after="240"/>
        <w:ind w:left="567" w:hanging="567"/>
        <w:rPr>
          <w:b/>
          <w:i/>
          <w:color w:val="000000"/>
        </w:rPr>
      </w:pPr>
      <w:r w:rsidRPr="00F760D8">
        <w:rPr>
          <w:b/>
          <w:i/>
          <w:color w:val="000000"/>
        </w:rPr>
        <w:t>Infrastruktúra</w:t>
      </w:r>
    </w:p>
    <w:p w14:paraId="215C518D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26.</w:t>
      </w:r>
      <w:r w:rsidRPr="00F760D8">
        <w:rPr>
          <w:color w:val="000000"/>
        </w:rPr>
        <w:tab/>
        <w:t>elismeri az épületekkel kapcsolatos új megközelítést, amely abban áll, hogy a Parlament egy felvásárlási időszakot követően most az épületek konszolidációjának korszakába lépett, figyelembe véve a képviselők és a személyzet fenntarthatóságát, akadálymentességét és mobilitását;</w:t>
      </w:r>
    </w:p>
    <w:p w14:paraId="6DB14F42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27.</w:t>
      </w:r>
      <w:r w:rsidRPr="00F760D8">
        <w:rPr>
          <w:color w:val="000000"/>
        </w:rPr>
        <w:tab/>
        <w:t xml:space="preserve">tudomásul veszi, hogy a 2026. évi költségvetési javaslat 4 millió EUR-t tartalmaz a tanulmányokra és a vállalkozónak a SPAAK épület felújításával kapcsolatos előkészítő munkálataira, míg a teljes költség 36 millió EUR-ra becsülhető; megjegyzi ezért, hogy a SPAAK épület felújításának 32 millió EUR-s költsége nem szerepel a 2026. évi költségvetési javaslatban; megjegyzi, hogy a főtitkár ezeket a költségeket maradványösszegek átcsoportosításával vagy hitelfelvétellel kívánja fedezni; kéri a főtitkárt, hogy a költségvetési rendelet 272. cikkének (6) bekezdésével összhangban a lehető leghamarabb nyújtson részletes tájékoztatást a Költségvetési Bizottságnak az e költségek fedezésére szolgáló esetleges hitelről, valamint a munkálatok teljes körű tervezéséről, beleértve a kiadások tervezését; kitart amellett, hogy a felújítási munkálatokhoz közvetlenül nem kapcsolódó költségeket is egyértelműen fel kell sorolni </w:t>
      </w:r>
      <w:r w:rsidRPr="00F760D8">
        <w:rPr>
          <w:color w:val="000000"/>
        </w:rPr>
        <w:lastRenderedPageBreak/>
        <w:t>és a költségvetésbe bele kell foglalni; megjegyzi, hogy 2024 decemberében a SPAAK-projekt közvetlen költségei 14,12 millió EUR-t tettek ki;</w:t>
      </w:r>
    </w:p>
    <w:p w14:paraId="463A8A4B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28.</w:t>
      </w:r>
      <w:r w:rsidRPr="00F760D8">
        <w:rPr>
          <w:color w:val="000000"/>
        </w:rPr>
        <w:tab/>
        <w:t>üdvözli a DG INLO kísérleti projektjét, amelynek célja a legionella eltávolítása a Parlament csővezetékes szanitációs rendszeréből, és kiemeli, hogy a legionella további terjedése elleni küzdelem egyetlen hatékony módja az, ha a csővezetékeken belüli vízhőmérsékletet korlátozott időre 55 °C-ra emelik;</w:t>
      </w:r>
    </w:p>
    <w:p w14:paraId="4ED827B4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29.</w:t>
      </w:r>
      <w:r w:rsidRPr="00F760D8">
        <w:rPr>
          <w:color w:val="000000"/>
        </w:rPr>
        <w:tab/>
        <w:t>megjegyzi, hogy a tervek szerint 2026-ban 11,45 millió EUR-t fektetnek be az Európa-élményközpontokba; tudomásul veszi az Elnökség 2024. novemberi határozatát az Európa-élményközpontok koncepciójának felülvizsgálatáról, és elvárja, hogy a felülvizsgált koncepció költséghatékonyabb és vonzóbb legyen a látogatók számára; sajnálja, hogy Bukarestben, Rigában, Madridban, Lisszabonban, Nicosiában, Vallettában és Vilniusban még mindig nincs Európa-élményközpont; felszólít Európa-élményközpontok létrehozására valamennyi tagállamban, amint elkészül a felülvizsgált koncepció; emlékeztet arra, hogy az Európa-élményközpontoknak minden polgár számára lehetővé kell tenniük az Unió működésének jobb megértését, és ismereteket kell nyújtaniuk a közös értékeinkről; megismétli ezért, hogy az Európa-élményközpontok a Parlament uniós polgárokkal való folyamatos kapcsolattartásának szerves részét képezik;</w:t>
      </w:r>
    </w:p>
    <w:p w14:paraId="5577F0AB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30.</w:t>
      </w:r>
      <w:r w:rsidRPr="00F760D8">
        <w:rPr>
          <w:color w:val="000000"/>
        </w:rPr>
        <w:tab/>
        <w:t>megjegyzi, hogy nincs szükség további finanszírozásra a Parlament moldovai és nyugat-balkáni irodáinak megnyitásához, mivel ezeket az EKSZ épületeiben hoznák létre; hangsúlyozza annak fontosságát, hogy a Parlament jelen legyen ezekben az országokban az európai szolidaritás és a Parlament csatlakozási folyamat iránti elkötelezettségének jeleként;</w:t>
      </w:r>
    </w:p>
    <w:p w14:paraId="7558A683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31.</w:t>
      </w:r>
      <w:r w:rsidRPr="00F760D8">
        <w:rPr>
          <w:color w:val="000000"/>
        </w:rPr>
        <w:tab/>
        <w:t>tudomásul veszi, hogy a Wayenberg épületben található bölcsőde korábbi szolgáltatójával kötött szerződés idő előtt felmondásra került a vállalkozóval szembeni több súlyos vádat követően; üdvözli az új szolgáltatóval kötött megállapodást, amely jobb munkafeltételeket irányoz elő a bölcsődei személyzet számára és jobb minőségű szolgáltatást biztosít a gyermekeknek; elismeri azonban, hogy ez az ehhez szükséges költségvetés növelését eredményezi, de hangsúlyozza, hogy a külső személyzet tisztességes munkafeltételeinek adott esetben elviekben elsőbbséget kell élvezniük a Parlament közbeszerzései során;</w:t>
      </w:r>
    </w:p>
    <w:p w14:paraId="64F8D9FC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32.</w:t>
      </w:r>
      <w:r w:rsidRPr="00F760D8">
        <w:rPr>
          <w:color w:val="000000"/>
        </w:rPr>
        <w:tab/>
        <w:t>megismétli, hogy a Parlament épületeiben magas színvonalú bölcsődékre van szükség, és felhívja az illetékes szervezeti egységeket, hogy fejlesszék a jelenlegi létesítményeket a felszerelés, a terület és az akadálymentesség tekintetében, hogy azok gyermekbarátak legyenek; kéri, hogy végezzenek hatásvizsgálatot arról, hogy a Parlament brüsszeli székhelyén belül szükség van-e családi szobára a brüsszeli állandó lakóhellyel nem rendelkező képviselők gyermekei számára, tükrözve a strasbourgi megoldást;</w:t>
      </w:r>
    </w:p>
    <w:p w14:paraId="39CF960D" w14:textId="77777777" w:rsidR="000C7282" w:rsidRPr="00F760D8" w:rsidRDefault="000C7282" w:rsidP="00630413">
      <w:pPr>
        <w:widowControl/>
        <w:spacing w:after="240"/>
        <w:ind w:left="567" w:hanging="567"/>
        <w:rPr>
          <w:b/>
          <w:i/>
          <w:color w:val="000000"/>
        </w:rPr>
      </w:pPr>
      <w:r w:rsidRPr="00F760D8">
        <w:rPr>
          <w:b/>
          <w:i/>
          <w:color w:val="000000"/>
        </w:rPr>
        <w:t>Egyéb</w:t>
      </w:r>
    </w:p>
    <w:p w14:paraId="6BBC5413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33.</w:t>
      </w:r>
      <w:r w:rsidRPr="00F760D8">
        <w:rPr>
          <w:color w:val="000000"/>
        </w:rPr>
        <w:tab/>
        <w:t>megismétli a plenáris ülésen több alkalommal elfogadott azon kérését, hogy az érintett szervek fontoljanak meg egy olyan megoldást, amely lehetővé teszi a képviselők számára, hogy szülési vagy apasági szabadság vagy igazolt hosszú távú betegség esetén távolról gyakorolják szavazati jogukat, felhasználva a világjárvány során az e szavazási módszer technikai vonatkozásaival kapcsolatban levont tanulságokat;</w:t>
      </w:r>
    </w:p>
    <w:p w14:paraId="32F25790" w14:textId="7777777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lastRenderedPageBreak/>
        <w:t>34.</w:t>
      </w:r>
      <w:r w:rsidRPr="00F760D8">
        <w:rPr>
          <w:color w:val="000000"/>
        </w:rPr>
        <w:tab/>
        <w:t>megismétli a főtitkárnak szóló azon felhívását, hogy fektessen hangsúlyt arra az alapelvre, hogy valamennyi személyzetfelvételt a kompetenciára kell alapozni, biztosítva ugyanakkor a földrajzi egyensúlyt valamennyi tagállam között és a személyzet valamennyi szintjén; felhívja a Parlamentet, hogy építsen ki saját kapcsolatépítési kapacitást azzal a céllal, hogy a versenyvizsgákra olyan minőségi jelölteket vonzzon, akikre profiljuk, életkoruk, nemük és állampolgárságuk alapján a Parlamentnek szüksége van, különösen az alulreprezentált országokból; hangsúlyozza, hogy a méltányos földrajzi képviselet biztosítása elengedhetetlen egy valóban európai közszolgálat támogatásához; megjegyzi, hogy a Parlament folyamatosan törekedett e cél támogatására, többek között az állampolgárság szerinti versenyvizsgák megszervezése révén, fenntartva ugyanakkor a szigorúan érdemeken alapuló kiválasztási megközelítést;</w:t>
      </w:r>
    </w:p>
    <w:p w14:paraId="1615F021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35.</w:t>
      </w:r>
      <w:r w:rsidRPr="00F760D8">
        <w:rPr>
          <w:color w:val="000000"/>
        </w:rPr>
        <w:tab/>
        <w:t>úgy véli, hogy a Parlamentnek jó példával kell elöl járnia a fogyatékossággal élő személyek jogai terén, mind munkáltatóként, mind pedig közintézményként; üdvözli a Parlament arra irányuló politikáját, hogy biztosítsa a Parlament épületeinek teljes mértékben önálló használatát a fogyatékossággal élő személyek számára, és támogatja az e tekintetben szükséges további intézkedéseket és kiigazításokat; megjegyzi, hogy a költségvetés 3,7 millió EUR-t irányoz elő erre a célra;</w:t>
      </w:r>
    </w:p>
    <w:p w14:paraId="62A9DA08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36.</w:t>
      </w:r>
      <w:r w:rsidRPr="00F760D8">
        <w:rPr>
          <w:color w:val="000000"/>
        </w:rPr>
        <w:tab/>
        <w:t>hangsúlyozza, hogy csökkentené a pénzügyi és környezeti költségeket, ha a Parlament egyetlen székhellyel rendelkezne; emlékeztet, hogy az Európai Unióról szóló szerződés szerint a Parlament székhelye Strasbourgban található; megjegyzi, hogy a tartós változásokhoz a Szerződés módosítására lenne szükség, amelyhez egyhangúság szükséges;</w:t>
      </w:r>
    </w:p>
    <w:p w14:paraId="291E6004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t>37.</w:t>
      </w:r>
      <w:r w:rsidRPr="00F760D8">
        <w:tab/>
      </w:r>
      <w:r w:rsidRPr="00F760D8">
        <w:rPr>
          <w:color w:val="000000"/>
        </w:rPr>
        <w:t xml:space="preserve">megjegyzi, hogy a képviselők és a személyzet kiküldetési költségei a Parlament költségvetésében 116 millió EUR-t tesznek ki; szorgalmazza, hogy a Parlament szervei gondolják át a kiküldetéssel kapcsolatos gyakorlatokat, valamint hogy a kiküldetési szabályok és gyakorlatok kerüljenek felülvizsgálatra azzal az általános céllal, hogy tovább javuljon a kiküldetések jellege, és tovább csökkenjenek a kapcsolódó pénzügyi és környezeti költségek; </w:t>
      </w:r>
      <w:r w:rsidRPr="00F760D8">
        <w:t>ösztönzi a képviselőket, hogy alkalmazzanak alacsony szén-dioxid-kibocsátású közlekedési alternatívákat, és támogatja a legjobb értéket képviselő járatok felelősségteljes és mérhető használatát, valamint a vasúti közlekedés előnyben részesítését ott, ahol ez életképes megoldás;</w:t>
      </w:r>
    </w:p>
    <w:p w14:paraId="0D563DA4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38.</w:t>
      </w:r>
      <w:r w:rsidRPr="00F760D8">
        <w:rPr>
          <w:color w:val="000000"/>
        </w:rPr>
        <w:tab/>
        <w:t>tudomásul veszi, hogy az európai parlamenti képviselők statútuma alkalmazási szabályai 46. cikkének (2) bekezdése lehetővé teszi, hogy a parlamenti asszisztensi költségvetésekhez kapcsolódó többletköltségeket az általános költségtérítésre vonatkozó előirányzatokból finanszírozzák; felkéri a Parlament igazgatását, hogy tegye meg a szükséges intézkedéseket annak érdekében, hogy az ezt igénylő képviselők az általános költségtérítésüket az akkreditált parlamenti asszisztensek kiküldetései költségeinek fedezésére használhassák fel; hangsúlyozza, hogy egy ilyen intézkedés segítene áthidalni a képviselői irodák költségeinek növekedését, mégpedig költségvetési szempontból semleges módon;</w:t>
      </w:r>
    </w:p>
    <w:p w14:paraId="40877B4B" w14:textId="77777777" w:rsidR="00630413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39.</w:t>
      </w:r>
      <w:r w:rsidRPr="00F760D8">
        <w:rPr>
          <w:color w:val="000000"/>
        </w:rPr>
        <w:tab/>
        <w:t>felhívja az Elnökséget, hogy ne indexálja az általános költségtérítést, és ne adjon általános költségtérítést a volt képviselőknek, lehetővé téve ezáltal a jogszabályban előírt költségek jelentős megtakarítását;</w:t>
      </w:r>
    </w:p>
    <w:p w14:paraId="7B9C19D0" w14:textId="6A9F0A30" w:rsidR="0047537D" w:rsidRPr="00F760D8" w:rsidRDefault="0047537D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40.</w:t>
      </w:r>
      <w:r w:rsidRPr="00F760D8">
        <w:rPr>
          <w:color w:val="000000"/>
        </w:rPr>
        <w:tab/>
        <w:t xml:space="preserve">felhívja az Elnökséget, hogy vizsgálja felül a szabályzatot egy olyan várakozási időszak bevezetése érdekében, amely alatt a volt képviselők nem folytathatnak </w:t>
      </w:r>
      <w:r w:rsidRPr="00F760D8">
        <w:rPr>
          <w:color w:val="000000"/>
        </w:rPr>
        <w:lastRenderedPageBreak/>
        <w:t>lobbitevékenységet vagy képviseleti tevékenységet a Parlamentnél mindaddig, amíg átmeneti ellátásban részesülnek;</w:t>
      </w:r>
    </w:p>
    <w:p w14:paraId="2891C75C" w14:textId="1D808C82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4</w:t>
      </w:r>
      <w:r w:rsidR="0047537D" w:rsidRPr="00F760D8">
        <w:rPr>
          <w:color w:val="000000"/>
        </w:rPr>
        <w:t>1</w:t>
      </w:r>
      <w:r w:rsidRPr="00F760D8">
        <w:rPr>
          <w:color w:val="000000"/>
        </w:rPr>
        <w:t>.</w:t>
      </w:r>
      <w:r w:rsidRPr="00F760D8">
        <w:rPr>
          <w:color w:val="000000"/>
        </w:rPr>
        <w:tab/>
      </w:r>
      <w:r w:rsidR="0047537D" w:rsidRPr="00F760D8">
        <w:rPr>
          <w:color w:val="000000"/>
        </w:rPr>
        <w:t>emlékeztet arra, hogy a Parlament 2018 óta következetesen amellett szavazott a plenáris ülésen, hogy mérlegeljék az akkreditált parlamenti asszisztensek hivatalos küldöttségekben és kiküldetéseken való részvételére vonatkozó általános tilalom feloldását; sajnálja, hogy az Elnökök Értekezletének az Európai Parlament három munkahelyszínén kívüli kiküldetésekre vonatkozó végrehajtási rendelkezésekről szóló, 2025. márciusi határozatai nem felelnek meg a plenáris ülés felhívásának; fenntartja azon álláspontját, hogy az akkreditált parlamenti asszisztensek számára bizonyos feltételek mellett lehetővé kell tenni, hogy hivatalos küldöttségekben és kiküldetéseken elkísérjék a képviselőket; felhívja illetékes szerveit, hogy módosítsák belső szabályzatának vonatkozó cikkeit annak érdekében, hogy az akkreditált parlamenti asszisztensek további késedelem nélkül részt vehessenek a Parlament három munkahelyszínén kívüli hivatalos kiküldetéseken és küldöttségekben;</w:t>
      </w:r>
    </w:p>
    <w:p w14:paraId="7B99E976" w14:textId="679B1B8F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4</w:t>
      </w:r>
      <w:r w:rsidR="0047537D" w:rsidRPr="00F760D8">
        <w:rPr>
          <w:color w:val="000000"/>
        </w:rPr>
        <w:t>2</w:t>
      </w:r>
      <w:r w:rsidRPr="00F760D8">
        <w:rPr>
          <w:color w:val="000000"/>
        </w:rPr>
        <w:t>.</w:t>
      </w:r>
      <w:r w:rsidRPr="00F760D8">
        <w:rPr>
          <w:color w:val="000000"/>
        </w:rPr>
        <w:tab/>
        <w:t>üdvözli az akkreditált parlamenti asszisztensek bizottságának munkáját, amely képviseli azt a mintegy 2</w:t>
      </w:r>
      <w:r w:rsidR="005329F6" w:rsidRPr="00F760D8">
        <w:rPr>
          <w:color w:val="000000"/>
        </w:rPr>
        <w:t> </w:t>
      </w:r>
      <w:r w:rsidRPr="00F760D8">
        <w:rPr>
          <w:color w:val="000000"/>
        </w:rPr>
        <w:t>000 parlamenti asszisztenst, akiknek munkája létfontosságú az EP-képviselők napi tevékenységeinek zökkenőmentes ellátásához; megjegyzi, hogy az akkreditált parlamenti asszisztensek bizottsága számára 10 000 EUR-t különítettek el annak érdekében, hogy az betölthesse szerepét és elegendő forrással rendelkezzen az akkreditált parlamenti asszisztensek hatékony támogatásához és megfelelő képviseletéhez;</w:t>
      </w:r>
    </w:p>
    <w:p w14:paraId="5A9E5A4A" w14:textId="447D2FF7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4</w:t>
      </w:r>
      <w:r w:rsidR="0047537D" w:rsidRPr="00F760D8">
        <w:rPr>
          <w:color w:val="000000"/>
        </w:rPr>
        <w:t>3</w:t>
      </w:r>
      <w:r w:rsidRPr="00F760D8">
        <w:rPr>
          <w:color w:val="000000"/>
        </w:rPr>
        <w:t>.</w:t>
      </w:r>
      <w:r w:rsidRPr="00F760D8">
        <w:rPr>
          <w:color w:val="000000"/>
        </w:rPr>
        <w:tab/>
        <w:t>üdvözli, hogy 2026-ban minden gyakornok ösztöndíját rendkívüli jelleggel 10%-kal növelték, amire 2026-ban 1 millió EUR-t irányoztak elő annak érdekében, hogy segítsék őket a növekvő brüsszeli és luxembourgi lakhatási költségek fedezésében;</w:t>
      </w:r>
    </w:p>
    <w:p w14:paraId="07FA9DA1" w14:textId="11A5E99B" w:rsidR="000C7282" w:rsidRPr="00F760D8" w:rsidRDefault="000C7282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4</w:t>
      </w:r>
      <w:r w:rsidR="0047537D" w:rsidRPr="00F760D8">
        <w:rPr>
          <w:color w:val="000000"/>
        </w:rPr>
        <w:t>4</w:t>
      </w:r>
      <w:r w:rsidRPr="00F760D8">
        <w:rPr>
          <w:color w:val="000000"/>
        </w:rPr>
        <w:t>.</w:t>
      </w:r>
      <w:r w:rsidRPr="00F760D8">
        <w:rPr>
          <w:color w:val="000000"/>
        </w:rPr>
        <w:tab/>
        <w:t>elvárja, hogy a plenáris ülés által megszavazott kéréseket az illetékes szervek kiemelt prioritásként kezeljék;</w:t>
      </w:r>
    </w:p>
    <w:p w14:paraId="347DEDAD" w14:textId="77777777" w:rsidR="00630413" w:rsidRPr="00F760D8" w:rsidRDefault="00630413" w:rsidP="0047537D">
      <w:pPr>
        <w:widowControl/>
        <w:spacing w:after="240"/>
        <w:ind w:left="567" w:hanging="567"/>
        <w:jc w:val="center"/>
        <w:rPr>
          <w:color w:val="000000"/>
        </w:rPr>
      </w:pPr>
      <w:r w:rsidRPr="00F760D8">
        <w:rPr>
          <w:color w:val="000000"/>
        </w:rPr>
        <w:t>o</w:t>
      </w:r>
    </w:p>
    <w:p w14:paraId="5E13C490" w14:textId="77777777" w:rsidR="00630413" w:rsidRPr="00F760D8" w:rsidRDefault="00630413" w:rsidP="0047537D">
      <w:pPr>
        <w:widowControl/>
        <w:spacing w:after="240"/>
        <w:ind w:left="567" w:hanging="567"/>
        <w:jc w:val="center"/>
        <w:rPr>
          <w:color w:val="000000"/>
        </w:rPr>
      </w:pPr>
      <w:r w:rsidRPr="00F760D8">
        <w:rPr>
          <w:color w:val="000000"/>
        </w:rPr>
        <w:t>o</w:t>
      </w:r>
      <w:r w:rsidRPr="00F760D8">
        <w:rPr>
          <w:color w:val="000000"/>
        </w:rPr>
        <w:tab/>
        <w:t>o</w:t>
      </w:r>
    </w:p>
    <w:p w14:paraId="3768A36D" w14:textId="24FF8EBD" w:rsidR="000C7282" w:rsidRPr="00F760D8" w:rsidRDefault="00630413" w:rsidP="00630413">
      <w:pPr>
        <w:widowControl/>
        <w:spacing w:after="240"/>
        <w:ind w:left="567" w:hanging="567"/>
        <w:rPr>
          <w:color w:val="000000"/>
        </w:rPr>
      </w:pPr>
      <w:r w:rsidRPr="00F760D8">
        <w:rPr>
          <w:color w:val="000000"/>
        </w:rPr>
        <w:t>4</w:t>
      </w:r>
      <w:r w:rsidR="0047537D" w:rsidRPr="00F760D8">
        <w:rPr>
          <w:color w:val="000000"/>
        </w:rPr>
        <w:t>5</w:t>
      </w:r>
      <w:r w:rsidRPr="00F760D8">
        <w:rPr>
          <w:color w:val="000000"/>
        </w:rPr>
        <w:t>.</w:t>
      </w:r>
      <w:r w:rsidRPr="00F760D8">
        <w:rPr>
          <w:color w:val="000000"/>
        </w:rPr>
        <w:tab/>
      </w:r>
      <w:r w:rsidR="000C7282" w:rsidRPr="00F760D8">
        <w:rPr>
          <w:color w:val="000000"/>
        </w:rPr>
        <w:t>elfogadja a 2026. évi pénzügyi évre vonatkozó költségvetési javaslatát;</w:t>
      </w:r>
    </w:p>
    <w:p w14:paraId="445261A4" w14:textId="7B13C1AC" w:rsidR="00E365E1" w:rsidRPr="00F760D8" w:rsidRDefault="00630413" w:rsidP="00630413">
      <w:pPr>
        <w:widowControl/>
        <w:spacing w:after="240"/>
        <w:ind w:left="567" w:hanging="567"/>
      </w:pPr>
      <w:r w:rsidRPr="00F760D8">
        <w:rPr>
          <w:color w:val="000000"/>
        </w:rPr>
        <w:t>4</w:t>
      </w:r>
      <w:r w:rsidR="0047537D" w:rsidRPr="00F760D8">
        <w:rPr>
          <w:color w:val="000000"/>
        </w:rPr>
        <w:t>6</w:t>
      </w:r>
      <w:r w:rsidRPr="00F760D8">
        <w:rPr>
          <w:color w:val="000000"/>
        </w:rPr>
        <w:t>.</w:t>
      </w:r>
      <w:r w:rsidRPr="00F760D8">
        <w:rPr>
          <w:color w:val="000000"/>
        </w:rPr>
        <w:tab/>
      </w:r>
      <w:r w:rsidR="000C7282" w:rsidRPr="00F760D8">
        <w:rPr>
          <w:color w:val="000000"/>
        </w:rPr>
        <w:t>utasítja elnökét, hogy továbbítsa ezt az állásfoglalást és a költségvetési javaslatot a Tanácsnak és a Bizottságnak.</w:t>
      </w:r>
    </w:p>
    <w:sectPr w:rsidR="00E365E1" w:rsidRPr="00F760D8" w:rsidSect="00AD46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23E0E7" w14:textId="77777777" w:rsidR="00165730" w:rsidRPr="00AD46C3" w:rsidRDefault="00165730">
      <w:r w:rsidRPr="00AD46C3">
        <w:separator/>
      </w:r>
    </w:p>
  </w:endnote>
  <w:endnote w:type="continuationSeparator" w:id="0">
    <w:p w14:paraId="5D920232" w14:textId="77777777" w:rsidR="00165730" w:rsidRPr="00AD46C3" w:rsidRDefault="00165730">
      <w:r w:rsidRPr="00AD46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C1B029" w14:textId="77777777" w:rsidR="00064002" w:rsidRPr="00AD46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66991" w14:textId="77777777" w:rsidR="00064002" w:rsidRPr="00AD46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063AD" w14:textId="77777777" w:rsidR="00064002" w:rsidRPr="00AD46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9FF72" w14:textId="77777777" w:rsidR="00165730" w:rsidRPr="00AD46C3" w:rsidRDefault="00165730">
      <w:r w:rsidRPr="00AD46C3">
        <w:separator/>
      </w:r>
    </w:p>
  </w:footnote>
  <w:footnote w:type="continuationSeparator" w:id="0">
    <w:p w14:paraId="5E8F11BB" w14:textId="77777777" w:rsidR="00165730" w:rsidRPr="00AD46C3" w:rsidRDefault="00165730">
      <w:r w:rsidRPr="00AD46C3">
        <w:continuationSeparator/>
      </w:r>
    </w:p>
  </w:footnote>
  <w:footnote w:id="1">
    <w:p w14:paraId="55C0A06C" w14:textId="77777777" w:rsidR="000C7282" w:rsidRPr="00AD46C3" w:rsidRDefault="000C7282" w:rsidP="00AD46C3">
      <w:pPr>
        <w:ind w:left="567" w:hanging="567"/>
        <w:rPr>
          <w:color w:val="000000"/>
        </w:rPr>
      </w:pPr>
      <w:r w:rsidRPr="00AD46C3">
        <w:rPr>
          <w:rStyle w:val="FootnoteReference"/>
        </w:rPr>
        <w:footnoteRef/>
      </w:r>
      <w:r w:rsidR="00AD46C3" w:rsidRPr="00AD46C3">
        <w:rPr>
          <w:color w:val="000000"/>
        </w:rPr>
        <w:t xml:space="preserve"> </w:t>
      </w:r>
      <w:r w:rsidR="00AD46C3" w:rsidRPr="00AD46C3">
        <w:rPr>
          <w:color w:val="000000"/>
        </w:rPr>
        <w:tab/>
      </w:r>
      <w:r w:rsidRPr="00AD46C3">
        <w:rPr>
          <w:color w:val="000000"/>
        </w:rPr>
        <w:t xml:space="preserve">HL L 433. I, 2020.12.22., 11. o., ELI: </w:t>
      </w:r>
      <w:hyperlink r:id="rId1" w:history="1">
        <w:r w:rsidRPr="00AD46C3">
          <w:rPr>
            <w:rStyle w:val="Hyperlink"/>
          </w:rPr>
          <w:t>http://data.europa.eu/eli/reg/2020/2093/oj</w:t>
        </w:r>
      </w:hyperlink>
      <w:r w:rsidRPr="00AD46C3">
        <w:rPr>
          <w:color w:val="000000"/>
        </w:rPr>
        <w:t>.</w:t>
      </w:r>
    </w:p>
  </w:footnote>
  <w:footnote w:id="2">
    <w:p w14:paraId="59D72314" w14:textId="77777777" w:rsidR="000C7282" w:rsidRPr="00AD46C3" w:rsidRDefault="000C7282" w:rsidP="00AD46C3">
      <w:pPr>
        <w:ind w:left="567" w:hanging="567"/>
        <w:rPr>
          <w:color w:val="000000"/>
        </w:rPr>
      </w:pPr>
      <w:r w:rsidRPr="00AD46C3">
        <w:rPr>
          <w:rStyle w:val="FootnoteReference"/>
        </w:rPr>
        <w:footnoteRef/>
      </w:r>
      <w:r w:rsidR="00AD46C3" w:rsidRPr="00AD46C3">
        <w:rPr>
          <w:color w:val="000000"/>
        </w:rPr>
        <w:t xml:space="preserve"> </w:t>
      </w:r>
      <w:r w:rsidR="00AD46C3" w:rsidRPr="00AD46C3">
        <w:rPr>
          <w:color w:val="000000"/>
        </w:rPr>
        <w:tab/>
      </w:r>
      <w:r w:rsidRPr="00AD46C3">
        <w:rPr>
          <w:color w:val="000000"/>
        </w:rPr>
        <w:t>HL C 444. I, 2020.12.22., 4. o.</w:t>
      </w:r>
    </w:p>
  </w:footnote>
  <w:footnote w:id="3">
    <w:p w14:paraId="2D6999EC" w14:textId="77777777" w:rsidR="000C7282" w:rsidRPr="00AD46C3" w:rsidRDefault="000C7282" w:rsidP="00AD46C3">
      <w:pPr>
        <w:ind w:left="567" w:hanging="567"/>
        <w:rPr>
          <w:color w:val="000000"/>
        </w:rPr>
      </w:pPr>
      <w:r w:rsidRPr="00AD46C3">
        <w:rPr>
          <w:rStyle w:val="FootnoteReference"/>
        </w:rPr>
        <w:footnoteRef/>
      </w:r>
      <w:r w:rsidR="00AD46C3" w:rsidRPr="00AD46C3">
        <w:rPr>
          <w:color w:val="000000"/>
        </w:rPr>
        <w:t xml:space="preserve"> </w:t>
      </w:r>
      <w:r w:rsidR="00AD46C3" w:rsidRPr="00AD46C3">
        <w:rPr>
          <w:color w:val="000000"/>
        </w:rPr>
        <w:tab/>
      </w:r>
      <w:r w:rsidRPr="00AD46C3">
        <w:rPr>
          <w:color w:val="000000"/>
        </w:rPr>
        <w:t>HL C 445., 2021.10.29., 252. o.</w:t>
      </w:r>
    </w:p>
  </w:footnote>
  <w:footnote w:id="4">
    <w:p w14:paraId="4742BC8A" w14:textId="77777777" w:rsidR="000C7282" w:rsidRPr="00AD46C3" w:rsidRDefault="000C7282" w:rsidP="00AD46C3">
      <w:pPr>
        <w:ind w:left="567" w:hanging="567"/>
      </w:pPr>
      <w:r w:rsidRPr="00AD46C3">
        <w:rPr>
          <w:rStyle w:val="FootnoteReference"/>
          <w:rFonts w:eastAsiaTheme="majorEastAsia"/>
        </w:rPr>
        <w:footnoteRef/>
      </w:r>
      <w:r w:rsidR="00AD46C3" w:rsidRPr="00AD46C3">
        <w:t xml:space="preserve"> </w:t>
      </w:r>
      <w:r w:rsidR="00AD46C3" w:rsidRPr="00AD46C3">
        <w:tab/>
      </w:r>
      <w:r w:rsidRPr="00AD46C3">
        <w:t xml:space="preserve">HL L 325., 2022.12.20., 11. o., ELI: </w:t>
      </w:r>
      <w:hyperlink r:id="rId2" w:history="1">
        <w:r w:rsidRPr="00AD46C3">
          <w:rPr>
            <w:rStyle w:val="Hyperlink"/>
          </w:rPr>
          <w:t>http://data.europa.eu/eli/reg/2022/2496/oj</w:t>
        </w:r>
      </w:hyperlink>
      <w:r w:rsidRPr="00AD46C3">
        <w:t>.</w:t>
      </w:r>
    </w:p>
  </w:footnote>
  <w:footnote w:id="5">
    <w:p w14:paraId="6647D0BF" w14:textId="77777777" w:rsidR="000C7282" w:rsidRPr="00AD46C3" w:rsidRDefault="000C7282" w:rsidP="00AD46C3">
      <w:pPr>
        <w:ind w:left="567" w:hanging="567"/>
      </w:pPr>
      <w:r w:rsidRPr="00AD46C3">
        <w:rPr>
          <w:rStyle w:val="FootnoteReference"/>
        </w:rPr>
        <w:footnoteRef/>
      </w:r>
      <w:r w:rsidR="00AD46C3" w:rsidRPr="00AD46C3">
        <w:t xml:space="preserve"> </w:t>
      </w:r>
      <w:r w:rsidR="00AD46C3" w:rsidRPr="00AD46C3">
        <w:tab/>
      </w:r>
      <w:r w:rsidRPr="00AD46C3">
        <w:t xml:space="preserve">HL L, 2024/765, 2024.2.29., ELI: </w:t>
      </w:r>
      <w:hyperlink r:id="rId3" w:history="1">
        <w:r w:rsidRPr="00AD46C3">
          <w:rPr>
            <w:rStyle w:val="Hyperlink"/>
          </w:rPr>
          <w:t>http://data.europa.eu/eli/reg/2024/765/oj</w:t>
        </w:r>
      </w:hyperlink>
      <w:r w:rsidRPr="00AD46C3">
        <w:t>.</w:t>
      </w:r>
    </w:p>
  </w:footnote>
  <w:footnote w:id="6">
    <w:p w14:paraId="6C202EB0" w14:textId="77777777" w:rsidR="000C7282" w:rsidRPr="00AD46C3" w:rsidRDefault="000C7282" w:rsidP="00AD46C3">
      <w:pPr>
        <w:ind w:left="567" w:hanging="567"/>
        <w:rPr>
          <w:color w:val="000000"/>
        </w:rPr>
      </w:pPr>
      <w:r w:rsidRPr="00AD46C3">
        <w:rPr>
          <w:rStyle w:val="FootnoteReference"/>
        </w:rPr>
        <w:footnoteRef/>
      </w:r>
      <w:r w:rsidR="00AD46C3" w:rsidRPr="00AD46C3">
        <w:rPr>
          <w:color w:val="000000"/>
        </w:rPr>
        <w:t xml:space="preserve"> </w:t>
      </w:r>
      <w:r w:rsidR="00AD46C3" w:rsidRPr="00AD46C3">
        <w:rPr>
          <w:color w:val="000000"/>
        </w:rPr>
        <w:tab/>
      </w:r>
      <w:r w:rsidRPr="00AD46C3">
        <w:rPr>
          <w:color w:val="000000"/>
        </w:rPr>
        <w:t>HL C 445., 2021.10.29., 240. o.</w:t>
      </w:r>
    </w:p>
  </w:footnote>
  <w:footnote w:id="7">
    <w:p w14:paraId="29AC0715" w14:textId="77777777" w:rsidR="000C7282" w:rsidRPr="00AD46C3" w:rsidRDefault="000C7282" w:rsidP="00AD46C3">
      <w:pPr>
        <w:ind w:left="567" w:hanging="567"/>
        <w:rPr>
          <w:color w:val="000000"/>
        </w:rPr>
      </w:pPr>
      <w:r w:rsidRPr="00AD46C3">
        <w:rPr>
          <w:rStyle w:val="FootnoteReference"/>
        </w:rPr>
        <w:footnoteRef/>
      </w:r>
      <w:r w:rsidR="00AD46C3" w:rsidRPr="00AD46C3">
        <w:rPr>
          <w:color w:val="000000"/>
        </w:rPr>
        <w:t xml:space="preserve"> </w:t>
      </w:r>
      <w:r w:rsidR="00AD46C3" w:rsidRPr="00AD46C3">
        <w:rPr>
          <w:color w:val="000000"/>
        </w:rPr>
        <w:tab/>
      </w:r>
      <w:r w:rsidRPr="00AD46C3">
        <w:rPr>
          <w:color w:val="000000"/>
        </w:rPr>
        <w:t>HL C 177., 2023.5.17., 115. o.</w:t>
      </w:r>
    </w:p>
  </w:footnote>
  <w:footnote w:id="8">
    <w:p w14:paraId="47986EE5" w14:textId="77777777" w:rsidR="000C7282" w:rsidRPr="00AD46C3" w:rsidRDefault="000C7282" w:rsidP="00AD46C3">
      <w:pPr>
        <w:ind w:left="567" w:hanging="567"/>
        <w:rPr>
          <w:color w:val="000000"/>
        </w:rPr>
      </w:pPr>
      <w:r w:rsidRPr="00AD46C3">
        <w:rPr>
          <w:rStyle w:val="FootnoteReference"/>
        </w:rPr>
        <w:footnoteRef/>
      </w:r>
      <w:r w:rsidR="00AD46C3" w:rsidRPr="00AD46C3">
        <w:rPr>
          <w:color w:val="000000"/>
        </w:rPr>
        <w:t xml:space="preserve"> </w:t>
      </w:r>
      <w:r w:rsidR="00AD46C3" w:rsidRPr="00AD46C3">
        <w:rPr>
          <w:color w:val="000000"/>
        </w:rPr>
        <w:tab/>
      </w:r>
      <w:r w:rsidRPr="00AD46C3">
        <w:rPr>
          <w:color w:val="000000"/>
        </w:rPr>
        <w:t xml:space="preserve">HL C, C/2024/1195, 2024.2.23., ELI: </w:t>
      </w:r>
      <w:hyperlink r:id="rId4" w:history="1">
        <w:r w:rsidRPr="00AD46C3">
          <w:rPr>
            <w:rStyle w:val="Hyperlink"/>
          </w:rPr>
          <w:t>http://data.europa.eu/eli/C/2024/1195/oj</w:t>
        </w:r>
      </w:hyperlink>
      <w:r w:rsidRPr="00AD46C3">
        <w:rPr>
          <w:color w:val="000000"/>
        </w:rPr>
        <w:t>.</w:t>
      </w:r>
    </w:p>
  </w:footnote>
  <w:footnote w:id="9">
    <w:p w14:paraId="3DE31EDC" w14:textId="77777777" w:rsidR="000C7282" w:rsidRPr="00AD46C3" w:rsidRDefault="000C7282" w:rsidP="00AD46C3">
      <w:pPr>
        <w:ind w:left="567" w:hanging="567"/>
        <w:rPr>
          <w:color w:val="000000"/>
        </w:rPr>
      </w:pPr>
      <w:r w:rsidRPr="00AD46C3">
        <w:rPr>
          <w:rStyle w:val="FootnoteReference"/>
        </w:rPr>
        <w:footnoteRef/>
      </w:r>
      <w:r w:rsidR="00AD46C3" w:rsidRPr="00AD46C3">
        <w:rPr>
          <w:color w:val="000000"/>
        </w:rPr>
        <w:t xml:space="preserve"> </w:t>
      </w:r>
      <w:r w:rsidR="00AD46C3" w:rsidRPr="00AD46C3">
        <w:rPr>
          <w:color w:val="000000"/>
        </w:rPr>
        <w:tab/>
      </w:r>
      <w:r w:rsidRPr="00AD46C3">
        <w:rPr>
          <w:color w:val="000000"/>
        </w:rPr>
        <w:t xml:space="preserve">HL C, C/2024/6751, 2024.11.26., ELI: </w:t>
      </w:r>
      <w:hyperlink r:id="rId5" w:history="1">
        <w:r w:rsidRPr="00AD46C3">
          <w:rPr>
            <w:rStyle w:val="Hyperlink"/>
          </w:rPr>
          <w:t>http://data.europa.eu/eli/C/2024/6751/oj</w:t>
        </w:r>
      </w:hyperlink>
      <w:r w:rsidRPr="00AD46C3">
        <w:rPr>
          <w:color w:val="000000"/>
        </w:rPr>
        <w:t>.</w:t>
      </w:r>
    </w:p>
  </w:footnote>
  <w:footnote w:id="10">
    <w:p w14:paraId="4D23A554" w14:textId="77777777" w:rsidR="000C7282" w:rsidRPr="00AD46C3" w:rsidRDefault="000C7282" w:rsidP="00AD46C3">
      <w:pPr>
        <w:ind w:left="567" w:hanging="567"/>
        <w:rPr>
          <w:color w:val="000000"/>
        </w:rPr>
      </w:pPr>
      <w:r w:rsidRPr="00AD46C3">
        <w:rPr>
          <w:rStyle w:val="FootnoteReference"/>
        </w:rPr>
        <w:footnoteRef/>
      </w:r>
      <w:r w:rsidR="00AD46C3" w:rsidRPr="00AD46C3">
        <w:rPr>
          <w:color w:val="000000"/>
        </w:rPr>
        <w:t xml:space="preserve"> </w:t>
      </w:r>
      <w:r w:rsidR="00AD46C3" w:rsidRPr="00AD46C3">
        <w:rPr>
          <w:color w:val="000000"/>
        </w:rPr>
        <w:tab/>
      </w:r>
      <w:r w:rsidRPr="00AD46C3">
        <w:rPr>
          <w:color w:val="000000"/>
        </w:rPr>
        <w:t xml:space="preserve">HL L, 2024/2509, 2024.9.26., ELI: </w:t>
      </w:r>
      <w:r w:rsidRPr="00AD46C3">
        <w:rPr>
          <w:color w:val="337AB7"/>
          <w:u w:val="single"/>
        </w:rPr>
        <w:t>http://data.europa.eu/eli/reg/2024/2509/oj.</w:t>
      </w:r>
    </w:p>
  </w:footnote>
  <w:footnote w:id="11">
    <w:p w14:paraId="6B8A6553" w14:textId="77777777" w:rsidR="000C7282" w:rsidRPr="00AD46C3" w:rsidRDefault="000C7282" w:rsidP="00AD46C3">
      <w:pPr>
        <w:ind w:left="567" w:hanging="567"/>
        <w:rPr>
          <w:color w:val="000000"/>
        </w:rPr>
      </w:pPr>
      <w:r w:rsidRPr="00AD46C3">
        <w:rPr>
          <w:rStyle w:val="FootnoteReference"/>
        </w:rPr>
        <w:footnoteRef/>
      </w:r>
      <w:r w:rsidR="00AD46C3" w:rsidRPr="00AD46C3">
        <w:rPr>
          <w:color w:val="000000"/>
        </w:rPr>
        <w:t xml:space="preserve"> </w:t>
      </w:r>
      <w:r w:rsidR="00AD46C3" w:rsidRPr="00AD46C3">
        <w:rPr>
          <w:color w:val="000000"/>
        </w:rPr>
        <w:tab/>
      </w:r>
      <w:r w:rsidRPr="00AD46C3">
        <w:rPr>
          <w:color w:val="000000"/>
        </w:rPr>
        <w:t xml:space="preserve">HL L 433. I, 2020.12.22., 28. o., ELI: </w:t>
      </w:r>
      <w:hyperlink r:id="rId6" w:history="1">
        <w:r w:rsidRPr="00AD46C3">
          <w:rPr>
            <w:rStyle w:val="Hyperlink"/>
          </w:rPr>
          <w:t>http://data.europa.eu/eli/agree_interinstit/2020/1222/oj</w:t>
        </w:r>
      </w:hyperlink>
      <w:r w:rsidRPr="00AD46C3">
        <w:rPr>
          <w:color w:val="000000"/>
        </w:rPr>
        <w:t>.</w:t>
      </w:r>
    </w:p>
  </w:footnote>
  <w:footnote w:id="12">
    <w:p w14:paraId="375E0AE1" w14:textId="77777777" w:rsidR="000C7282" w:rsidRPr="00AD46C3" w:rsidRDefault="000C7282" w:rsidP="00AD46C3">
      <w:pPr>
        <w:ind w:left="567" w:hanging="567"/>
        <w:rPr>
          <w:color w:val="000000"/>
        </w:rPr>
      </w:pPr>
      <w:r w:rsidRPr="00AD46C3">
        <w:rPr>
          <w:rStyle w:val="FootnoteReference"/>
        </w:rPr>
        <w:footnoteRef/>
      </w:r>
      <w:r w:rsidR="00AD46C3" w:rsidRPr="00AD46C3">
        <w:rPr>
          <w:color w:val="000000"/>
        </w:rPr>
        <w:t xml:space="preserve"> </w:t>
      </w:r>
      <w:r w:rsidR="00AD46C3" w:rsidRPr="00AD46C3">
        <w:rPr>
          <w:color w:val="000000"/>
        </w:rPr>
        <w:tab/>
      </w:r>
      <w:r w:rsidRPr="00AD46C3">
        <w:rPr>
          <w:color w:val="000000"/>
        </w:rPr>
        <w:t xml:space="preserve">HL L, 2025/31, 2025.2.27., ELI: </w:t>
      </w:r>
      <w:hyperlink r:id="rId7" w:history="1">
        <w:r w:rsidRPr="00AD46C3">
          <w:rPr>
            <w:rStyle w:val="Hyperlink"/>
          </w:rPr>
          <w:t>http://data.europa.eu/eli/budget/2025/31/oj</w:t>
        </w:r>
      </w:hyperlink>
      <w:r w:rsidRPr="00AD46C3">
        <w:rPr>
          <w:color w:val="000000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11B71" w14:textId="77777777" w:rsidR="00064002" w:rsidRPr="00AD46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C57F6" w14:textId="77777777" w:rsidR="00064002" w:rsidRPr="00AD46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B7369" w14:textId="77777777" w:rsidR="00064002" w:rsidRPr="00AD46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8/2025"/>
    <w:docVar w:name="dvlangue" w:val="HU"/>
    <w:docVar w:name="dvnumam" w:val="0"/>
    <w:docVar w:name="dvpe" w:val="770.074"/>
    <w:docVar w:name="dvrapporteur" w:val="Előadó: "/>
    <w:docVar w:name="dvtitre" w:val="Az Európai Parlament 2025.  ...-i állásfoglalása az Európai Parlament 2026. évi pénzügyi évre tervezett bevételeiről és kiadásairól(2024/2111(BUI))"/>
  </w:docVars>
  <w:rsids>
    <w:rsidRoot w:val="00165730"/>
    <w:rsid w:val="00002272"/>
    <w:rsid w:val="00064002"/>
    <w:rsid w:val="000677B9"/>
    <w:rsid w:val="000831BA"/>
    <w:rsid w:val="000A42CC"/>
    <w:rsid w:val="000C7282"/>
    <w:rsid w:val="000E7DD9"/>
    <w:rsid w:val="0010095E"/>
    <w:rsid w:val="00125B37"/>
    <w:rsid w:val="00165730"/>
    <w:rsid w:val="00187494"/>
    <w:rsid w:val="001F32AE"/>
    <w:rsid w:val="0024114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537D"/>
    <w:rsid w:val="004867E3"/>
    <w:rsid w:val="00494A28"/>
    <w:rsid w:val="004C0004"/>
    <w:rsid w:val="004C5D52"/>
    <w:rsid w:val="0050519A"/>
    <w:rsid w:val="005072A1"/>
    <w:rsid w:val="00514517"/>
    <w:rsid w:val="005329F6"/>
    <w:rsid w:val="00545827"/>
    <w:rsid w:val="00560270"/>
    <w:rsid w:val="005C2568"/>
    <w:rsid w:val="005F1B17"/>
    <w:rsid w:val="006037C0"/>
    <w:rsid w:val="00630413"/>
    <w:rsid w:val="006631B6"/>
    <w:rsid w:val="00680577"/>
    <w:rsid w:val="006D70A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6C3"/>
    <w:rsid w:val="00AE0928"/>
    <w:rsid w:val="00AF3B82"/>
    <w:rsid w:val="00B12E95"/>
    <w:rsid w:val="00B22876"/>
    <w:rsid w:val="00B558F0"/>
    <w:rsid w:val="00B93955"/>
    <w:rsid w:val="00BD48FE"/>
    <w:rsid w:val="00BD711C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3A7"/>
    <w:rsid w:val="00F5134D"/>
    <w:rsid w:val="00F74202"/>
    <w:rsid w:val="00F760D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A419B0"/>
  <w15:chartTrackingRefBased/>
  <w15:docId w15:val="{FA6B8DED-7573-4600-8AF2-074C607B1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,Footnote number,Footnote symbol,Footnote Reference Number,Footnote reference number,Times 10 Point,Exposant 3 Point,Voetnootverwijzing,fr,o,Footnotemark,FR,Footnotemark1,Footnotemark2,FR1,Footnotemark3,FR2,Footnotemark4,FR3"/>
    <w:link w:val="FootnoteReference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C7282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0C7282"/>
    <w:rPr>
      <w:color w:val="0563C1" w:themeColor="hyperlink"/>
      <w:u w:val="single"/>
    </w:rPr>
  </w:style>
  <w:style w:type="paragraph" w:customStyle="1" w:styleId="FootnoteReference1">
    <w:name w:val="Footnote Reference1"/>
    <w:basedOn w:val="Normal"/>
    <w:link w:val="FootnoteReference"/>
    <w:rsid w:val="000C7282"/>
    <w:pPr>
      <w:widowControl/>
      <w:spacing w:after="160" w:line="240" w:lineRule="exact"/>
    </w:pPr>
    <w:rPr>
      <w:sz w:val="20"/>
      <w:vertAlign w:val="superscript"/>
      <w:lang w:val="en-GB"/>
    </w:rPr>
  </w:style>
  <w:style w:type="character" w:customStyle="1" w:styleId="NormalHanging12aChar">
    <w:name w:val="NormalHanging12a Char"/>
    <w:basedOn w:val="DefaultParagraphFont"/>
    <w:link w:val="NormalHanging12a"/>
    <w:locked/>
    <w:rsid w:val="000C7282"/>
    <w:rPr>
      <w:sz w:val="24"/>
      <w:lang w:val="hu-HU"/>
    </w:rPr>
  </w:style>
  <w:style w:type="paragraph" w:styleId="BalloonText">
    <w:name w:val="Balloon Text"/>
    <w:basedOn w:val="Normal"/>
    <w:link w:val="BalloonTextChar"/>
    <w:rsid w:val="002411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4114D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F503A7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03A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03A7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F503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03A7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7" Type="http://schemas.openxmlformats.org/officeDocument/2006/relationships/hyperlink" Target="http://data.europa.eu/eli/budget/2025/31/oj" TargetMode="External"/><Relationship Id="rId2" Type="http://schemas.openxmlformats.org/officeDocument/2006/relationships/hyperlink" Target="http://data.europa.eu/eli/reg/2022/2496/oj" TargetMode="External"/><Relationship Id="rId1" Type="http://schemas.openxmlformats.org/officeDocument/2006/relationships/hyperlink" Target="http://data.europa.eu/eli/reg/2020/2093/oj" TargetMode="External"/><Relationship Id="rId6" Type="http://schemas.openxmlformats.org/officeDocument/2006/relationships/hyperlink" Target="http://data.europa.eu/eli/agree_interinstit/2020/1222/oj" TargetMode="External"/><Relationship Id="rId5" Type="http://schemas.openxmlformats.org/officeDocument/2006/relationships/hyperlink" Target="http://data.europa.eu/eli/C/2024/6751/oj" TargetMode="External"/><Relationship Id="rId4" Type="http://schemas.openxmlformats.org/officeDocument/2006/relationships/hyperlink" Target="http://data.europa.eu/eli/C/2024/11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A85AC-DE4F-444D-9157-67A231925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3524</Words>
  <Characters>25561</Characters>
  <Application>Microsoft Office Word</Application>
  <DocSecurity>0</DocSecurity>
  <Lines>213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2025-04-03T12:08:00Z</dcterms:created>
  <dcterms:modified xsi:type="dcterms:W3CDTF">2025-04-03T12:08:00Z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A10-0048/2025</vt:lpwstr>
  </property>
  <property fmtid="{D5CDD505-2E9C-101B-9397-08002B2CF9AE}" pid="4" name="&lt;Type&gt;">
    <vt:lpwstr>RR</vt:lpwstr>
  </property>
</Properties>
</file>