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6258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62587" w:rsidRDefault="00F76779" w:rsidP="0010095E">
            <w:pPr>
              <w:pStyle w:val="EPName"/>
            </w:pPr>
            <w:proofErr w:type="spellStart"/>
            <w:proofErr w:type="gramStart"/>
            <w:r>
              <w:t>rr</w:t>
            </w:r>
            <w:r w:rsidR="00D73769" w:rsidRPr="00562587">
              <w:t>Parlament</w:t>
            </w:r>
            <w:proofErr w:type="spellEnd"/>
            <w:proofErr w:type="gramEnd"/>
            <w:r w:rsidR="00D73769" w:rsidRPr="00562587">
              <w:t xml:space="preserve"> Europejski</w:t>
            </w:r>
          </w:p>
          <w:p w:rsidR="00751A4A" w:rsidRPr="0056258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62587">
              <w:t>2024</w:t>
            </w:r>
            <w:r w:rsidR="00817416" w:rsidRPr="00562587">
              <w:t>-202</w:t>
            </w:r>
            <w:r w:rsidRPr="0056258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62587" w:rsidRDefault="00187494" w:rsidP="0010095E">
            <w:pPr>
              <w:pStyle w:val="EPLogo"/>
            </w:pPr>
            <w:r w:rsidRPr="0056258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62587" w:rsidRDefault="00D058B8" w:rsidP="004C5D52">
      <w:pPr>
        <w:pStyle w:val="LineTop"/>
      </w:pPr>
    </w:p>
    <w:p w:rsidR="00680577" w:rsidRPr="00562587" w:rsidRDefault="00D73769" w:rsidP="00680577">
      <w:pPr>
        <w:pStyle w:val="EPBodyTA1"/>
      </w:pPr>
      <w:r w:rsidRPr="00562587">
        <w:t>TEKSTY PRZYJĘTE</w:t>
      </w:r>
    </w:p>
    <w:p w:rsidR="00D058B8" w:rsidRPr="00562587" w:rsidRDefault="00D058B8" w:rsidP="00D058B8">
      <w:pPr>
        <w:pStyle w:val="LineBottom"/>
      </w:pPr>
    </w:p>
    <w:p w:rsidR="00D73769" w:rsidRPr="00562587" w:rsidRDefault="00D73769" w:rsidP="00D73769">
      <w:pPr>
        <w:pStyle w:val="ATHeading1"/>
      </w:pPr>
      <w:bookmarkStart w:id="0" w:name="TANumber"/>
      <w:r w:rsidRPr="00562587">
        <w:t>P10_TA(2025)00</w:t>
      </w:r>
      <w:bookmarkEnd w:id="0"/>
      <w:r w:rsidR="004D6C87">
        <w:t>60</w:t>
      </w:r>
    </w:p>
    <w:p w:rsidR="00D73769" w:rsidRPr="00281BE7" w:rsidRDefault="00281BE7" w:rsidP="00D73769">
      <w:pPr>
        <w:pStyle w:val="ATHeading2"/>
      </w:pPr>
      <w:r w:rsidRPr="00281BE7">
        <w:t>Preliminarz dochod</w:t>
      </w:r>
      <w:r w:rsidRPr="00281BE7">
        <w:rPr>
          <w:rFonts w:hint="eastAsia"/>
        </w:rPr>
        <w:t>ó</w:t>
      </w:r>
      <w:r w:rsidRPr="00281BE7">
        <w:t>w i wydatk</w:t>
      </w:r>
      <w:r w:rsidRPr="00281BE7">
        <w:rPr>
          <w:rFonts w:hint="eastAsia"/>
        </w:rPr>
        <w:t>ó</w:t>
      </w:r>
      <w:r w:rsidRPr="00281BE7">
        <w:t>w na rok bud</w:t>
      </w:r>
      <w:r w:rsidRPr="00281BE7">
        <w:rPr>
          <w:rFonts w:hint="eastAsia"/>
        </w:rPr>
        <w:t>ż</w:t>
      </w:r>
      <w:r w:rsidRPr="00281BE7">
        <w:t xml:space="preserve">etowy 2026 </w:t>
      </w:r>
      <w:r w:rsidRPr="00281BE7">
        <w:rPr>
          <w:rFonts w:hint="eastAsia"/>
        </w:rPr>
        <w:t>–</w:t>
      </w:r>
      <w:r w:rsidRPr="00281BE7">
        <w:t xml:space="preserve"> Sekcja I </w:t>
      </w:r>
      <w:r w:rsidRPr="00281BE7">
        <w:rPr>
          <w:rFonts w:hint="eastAsia"/>
        </w:rPr>
        <w:t>–</w:t>
      </w:r>
      <w:r w:rsidRPr="00281BE7">
        <w:t xml:space="preserve"> Parlament Europejski</w:t>
      </w:r>
    </w:p>
    <w:p w:rsidR="00D73769" w:rsidRPr="00562587" w:rsidRDefault="00D73769" w:rsidP="00D73769">
      <w:pPr>
        <w:rPr>
          <w:i/>
          <w:vanish/>
        </w:rPr>
      </w:pPr>
      <w:r w:rsidRPr="00562587">
        <w:rPr>
          <w:i/>
        </w:rPr>
        <w:fldChar w:fldCharType="begin"/>
      </w:r>
      <w:r w:rsidRPr="00562587">
        <w:rPr>
          <w:i/>
        </w:rPr>
        <w:instrText xml:space="preserve"> TC"(</w:instrText>
      </w:r>
      <w:bookmarkStart w:id="1" w:name="DocNumber"/>
      <w:r w:rsidRPr="00562587">
        <w:rPr>
          <w:i/>
        </w:rPr>
        <w:instrText>A10-0048/2025</w:instrText>
      </w:r>
      <w:bookmarkEnd w:id="1"/>
      <w:r w:rsidRPr="00562587">
        <w:rPr>
          <w:i/>
        </w:rPr>
        <w:instrText xml:space="preserve"> - Sprawozdawca: </w:instrText>
      </w:r>
      <w:proofErr w:type="spellStart"/>
      <w:r w:rsidRPr="00562587">
        <w:rPr>
          <w:i/>
        </w:rPr>
        <w:instrText>Matjaž</w:instrText>
      </w:r>
      <w:proofErr w:type="spellEnd"/>
      <w:r w:rsidRPr="00562587">
        <w:rPr>
          <w:i/>
        </w:rPr>
        <w:instrText xml:space="preserve"> </w:instrText>
      </w:r>
      <w:proofErr w:type="spellStart"/>
      <w:r w:rsidRPr="00562587">
        <w:rPr>
          <w:i/>
        </w:rPr>
        <w:instrText>Nemec</w:instrText>
      </w:r>
      <w:proofErr w:type="spellEnd"/>
      <w:proofErr w:type="gramStart"/>
      <w:r w:rsidRPr="00562587">
        <w:rPr>
          <w:i/>
        </w:rPr>
        <w:instrText>)"\l</w:instrText>
      </w:r>
      <w:proofErr w:type="gramEnd"/>
      <w:r w:rsidRPr="00562587">
        <w:rPr>
          <w:i/>
        </w:rPr>
        <w:instrText xml:space="preserve">3 \n&gt; \* MERGEFORMAT </w:instrText>
      </w:r>
      <w:r w:rsidRPr="00562587">
        <w:rPr>
          <w:i/>
        </w:rPr>
        <w:fldChar w:fldCharType="end"/>
      </w:r>
    </w:p>
    <w:p w:rsidR="00D73769" w:rsidRPr="00562587" w:rsidRDefault="00D73769" w:rsidP="00D73769">
      <w:pPr>
        <w:rPr>
          <w:vanish/>
        </w:rPr>
      </w:pPr>
      <w:bookmarkStart w:id="2" w:name="Commission"/>
      <w:r w:rsidRPr="00562587">
        <w:rPr>
          <w:vanish/>
        </w:rPr>
        <w:t>Komisja Budżetowa</w:t>
      </w:r>
      <w:bookmarkEnd w:id="2"/>
    </w:p>
    <w:p w:rsidR="00D73769" w:rsidRPr="00562587" w:rsidRDefault="00D73769" w:rsidP="00D73769">
      <w:pPr>
        <w:rPr>
          <w:vanish/>
        </w:rPr>
      </w:pPr>
      <w:bookmarkStart w:id="3" w:name="PE"/>
      <w:r w:rsidRPr="00562587">
        <w:rPr>
          <w:vanish/>
        </w:rPr>
        <w:t>PE770.074</w:t>
      </w:r>
      <w:bookmarkEnd w:id="3"/>
    </w:p>
    <w:p w:rsidR="00D73769" w:rsidRPr="00562587" w:rsidRDefault="00D73769" w:rsidP="00D73769">
      <w:pPr>
        <w:pStyle w:val="ATHeading3"/>
      </w:pPr>
      <w:bookmarkStart w:id="4" w:name="Sujet"/>
      <w:r w:rsidRPr="00562587">
        <w:t xml:space="preserve">Rezolucja Parlamentu Europejskiego z dnia </w:t>
      </w:r>
      <w:r w:rsidR="00281BE7">
        <w:t>3 kwietnia</w:t>
      </w:r>
      <w:r w:rsidRPr="00562587">
        <w:t xml:space="preserve"> 2025 r. w sprawie preliminarza dochodów i wydatków Parlamentu Europejskiego na rok budżetowy 2026</w:t>
      </w:r>
      <w:bookmarkEnd w:id="4"/>
      <w:r w:rsidRPr="00562587">
        <w:t xml:space="preserve"> </w:t>
      </w:r>
      <w:bookmarkStart w:id="5" w:name="References"/>
      <w:r w:rsidRPr="00562587">
        <w:t>(2024/2111(BUI))</w:t>
      </w:r>
      <w:bookmarkEnd w:id="5"/>
    </w:p>
    <w:p w:rsidR="00D73769" w:rsidRPr="00562587" w:rsidRDefault="00D73769" w:rsidP="00D73769"/>
    <w:p w:rsidR="005A1FAE" w:rsidRPr="00562587" w:rsidRDefault="005A1FAE" w:rsidP="005A1FAE">
      <w:pPr>
        <w:keepNext/>
        <w:spacing w:before="480" w:after="240"/>
        <w:rPr>
          <w:color w:val="000000"/>
        </w:rPr>
      </w:pPr>
      <w:bookmarkStart w:id="6" w:name="TextBodyBegin"/>
      <w:bookmarkEnd w:id="6"/>
      <w:r w:rsidRPr="00562587">
        <w:rPr>
          <w:i/>
          <w:color w:val="000000"/>
        </w:rPr>
        <w:t>Parlament Europejski</w:t>
      </w:r>
      <w:r w:rsidRPr="00562587">
        <w:rPr>
          <w:color w:val="000000"/>
        </w:rPr>
        <w:t>,</w:t>
      </w:r>
    </w:p>
    <w:p w:rsidR="005A1FAE" w:rsidRPr="00562587" w:rsidRDefault="005A1FAE" w:rsidP="005B61EB">
      <w:pPr>
        <w:spacing w:after="240"/>
        <w:ind w:left="567" w:hanging="567"/>
        <w:rPr>
          <w:color w:val="000000"/>
        </w:rPr>
      </w:pPr>
      <w:r w:rsidRPr="00562587">
        <w:rPr>
          <w:color w:val="000000"/>
        </w:rPr>
        <w:t>–</w:t>
      </w:r>
      <w:r w:rsidRPr="00562587">
        <w:rPr>
          <w:color w:val="000000"/>
        </w:rPr>
        <w:tab/>
        <w:t>uwzględniając art. 314 Traktatu o funkcjonowaniu Unii Europejskiej,</w:t>
      </w:r>
    </w:p>
    <w:p w:rsidR="005A1FAE" w:rsidRPr="00562587" w:rsidRDefault="005A1FAE" w:rsidP="005B61EB">
      <w:pPr>
        <w:spacing w:after="240"/>
        <w:ind w:left="567" w:hanging="567"/>
        <w:rPr>
          <w:color w:val="000000"/>
        </w:rPr>
      </w:pPr>
      <w:r w:rsidRPr="00562587">
        <w:rPr>
          <w:color w:val="000000"/>
        </w:rPr>
        <w:t>–</w:t>
      </w:r>
      <w:r w:rsidRPr="00562587">
        <w:rPr>
          <w:color w:val="000000"/>
        </w:rPr>
        <w:tab/>
        <w:t xml:space="preserve">uwzględniając rozporządzenie Rady (UE, </w:t>
      </w:r>
      <w:proofErr w:type="spellStart"/>
      <w:r w:rsidRPr="00562587">
        <w:rPr>
          <w:color w:val="000000"/>
        </w:rPr>
        <w:t>Euratom</w:t>
      </w:r>
      <w:proofErr w:type="spellEnd"/>
      <w:r w:rsidRPr="00562587">
        <w:rPr>
          <w:color w:val="000000"/>
        </w:rPr>
        <w:t>) 2020/2093 z dnia 17 grudnia 2020 r. określające wieloletnie ramy finansowe na lata 2021–2027</w:t>
      </w:r>
      <w:r w:rsidRPr="00562587">
        <w:rPr>
          <w:color w:val="000000"/>
          <w:vertAlign w:val="superscript"/>
        </w:rPr>
        <w:footnoteReference w:id="1"/>
      </w:r>
      <w:r w:rsidRPr="00562587">
        <w:rPr>
          <w:color w:val="000000"/>
        </w:rPr>
        <w:t>, wspólne oświadczenie uzgodnione między Parlamentem, Radą i Komisją w tym kontekście</w:t>
      </w:r>
      <w:r w:rsidRPr="00562587">
        <w:rPr>
          <w:color w:val="000000"/>
          <w:vertAlign w:val="superscript"/>
        </w:rPr>
        <w:footnoteReference w:id="2"/>
      </w:r>
      <w:r w:rsidRPr="00562587">
        <w:rPr>
          <w:color w:val="000000"/>
        </w:rPr>
        <w:t>, a także powiązane oświadczenia jednostronne</w:t>
      </w:r>
      <w:r w:rsidRPr="00562587">
        <w:rPr>
          <w:color w:val="000000"/>
          <w:vertAlign w:val="superscript"/>
        </w:rPr>
        <w:footnoteReference w:id="3"/>
      </w:r>
      <w:r w:rsidRPr="00562587">
        <w:rPr>
          <w:color w:val="000000"/>
        </w:rPr>
        <w:t>,</w:t>
      </w:r>
    </w:p>
    <w:p w:rsidR="005A1FAE" w:rsidRPr="00562587" w:rsidRDefault="005A1FAE" w:rsidP="005B61EB">
      <w:pPr>
        <w:spacing w:after="240"/>
        <w:ind w:left="567" w:hanging="567"/>
        <w:rPr>
          <w:color w:val="000000" w:themeColor="text1"/>
        </w:rPr>
      </w:pPr>
      <w:r w:rsidRPr="00562587">
        <w:rPr>
          <w:color w:val="000000"/>
        </w:rPr>
        <w:t>–</w:t>
      </w:r>
      <w:r w:rsidRPr="00562587">
        <w:rPr>
          <w:color w:val="000000"/>
        </w:rPr>
        <w:tab/>
        <w:t xml:space="preserve">uwzględniając rozporządzenie Rady (UE, </w:t>
      </w:r>
      <w:proofErr w:type="spellStart"/>
      <w:r w:rsidRPr="00562587">
        <w:rPr>
          <w:color w:val="000000"/>
        </w:rPr>
        <w:t>Euratom</w:t>
      </w:r>
      <w:proofErr w:type="spellEnd"/>
      <w:r w:rsidRPr="00562587">
        <w:rPr>
          <w:color w:val="000000"/>
        </w:rPr>
        <w:t xml:space="preserve">) 2022/2496 z dnia 15 grudnia 2022 r. w sprawie zmiany rozporządzenia (UE, </w:t>
      </w:r>
      <w:proofErr w:type="spellStart"/>
      <w:r w:rsidRPr="00562587">
        <w:rPr>
          <w:color w:val="000000"/>
        </w:rPr>
        <w:t>Euratom</w:t>
      </w:r>
      <w:proofErr w:type="spellEnd"/>
      <w:r w:rsidRPr="00562587">
        <w:rPr>
          <w:color w:val="000000"/>
        </w:rPr>
        <w:t>) 2020/2093 określającego wieloletnie ramy finansowe na lata 2021–2027</w:t>
      </w:r>
      <w:r w:rsidRPr="00562587">
        <w:rPr>
          <w:color w:val="000000"/>
          <w:vertAlign w:val="superscript"/>
        </w:rPr>
        <w:footnoteReference w:id="4"/>
      </w:r>
      <w:r w:rsidRPr="00562587">
        <w:rPr>
          <w:color w:val="000000"/>
        </w:rPr>
        <w:t>,</w:t>
      </w:r>
    </w:p>
    <w:p w:rsidR="005A1FAE" w:rsidRPr="00562587" w:rsidRDefault="005A1FAE" w:rsidP="005B61EB">
      <w:pPr>
        <w:spacing w:after="240"/>
        <w:ind w:left="567" w:hanging="567"/>
      </w:pPr>
      <w:r w:rsidRPr="00562587">
        <w:t>–</w:t>
      </w:r>
      <w:r w:rsidRPr="00562587">
        <w:tab/>
      </w:r>
      <w:r w:rsidRPr="00562587">
        <w:rPr>
          <w:color w:val="000000"/>
        </w:rPr>
        <w:t xml:space="preserve">uwzględniając rozporządzenie Rady (UE, </w:t>
      </w:r>
      <w:proofErr w:type="spellStart"/>
      <w:r w:rsidRPr="00562587">
        <w:rPr>
          <w:color w:val="000000"/>
        </w:rPr>
        <w:t>Euratom</w:t>
      </w:r>
      <w:proofErr w:type="spellEnd"/>
      <w:r w:rsidRPr="00562587">
        <w:rPr>
          <w:color w:val="000000"/>
        </w:rPr>
        <w:t xml:space="preserve">) 2024/765 w sprawie zmiany rozporządzenia (UE, </w:t>
      </w:r>
      <w:proofErr w:type="spellStart"/>
      <w:r w:rsidRPr="00562587">
        <w:rPr>
          <w:color w:val="000000"/>
        </w:rPr>
        <w:t>Euratom</w:t>
      </w:r>
      <w:proofErr w:type="spellEnd"/>
      <w:r w:rsidRPr="00562587">
        <w:rPr>
          <w:color w:val="000000"/>
        </w:rPr>
        <w:t>) 2020/2093 określającego wieloletnie ramy finansowe na lata 2021–2027</w:t>
      </w:r>
      <w:r w:rsidRPr="00562587">
        <w:rPr>
          <w:rStyle w:val="FootnoteReference"/>
          <w:color w:val="000000"/>
        </w:rPr>
        <w:footnoteReference w:id="5"/>
      </w:r>
      <w:r w:rsidRPr="00562587">
        <w:rPr>
          <w:color w:val="000000"/>
        </w:rPr>
        <w:t xml:space="preserve"> (rewizja WRF),</w:t>
      </w:r>
    </w:p>
    <w:p w:rsidR="005A1FAE" w:rsidRPr="00562587" w:rsidRDefault="005A1FAE" w:rsidP="005B61EB">
      <w:pPr>
        <w:spacing w:after="240"/>
        <w:ind w:left="567" w:hanging="567"/>
      </w:pPr>
      <w:r w:rsidRPr="00562587">
        <w:t>–</w:t>
      </w:r>
      <w:r w:rsidRPr="00562587">
        <w:tab/>
        <w:t>uwzględniając swoją rezolucję ustawodawczą z dnia 16 grudnia 2020 r. w sprawie projektu rozporządzenia Rady określającego wieloletnie ramy finansowe na lata 2021–2027</w:t>
      </w:r>
      <w:r w:rsidRPr="00562587">
        <w:rPr>
          <w:vertAlign w:val="superscript"/>
        </w:rPr>
        <w:footnoteReference w:id="6"/>
      </w:r>
      <w:r w:rsidRPr="00562587">
        <w:t>,</w:t>
      </w:r>
    </w:p>
    <w:p w:rsidR="005A1FAE" w:rsidRPr="00562587" w:rsidRDefault="005A1FAE" w:rsidP="005B61EB">
      <w:pPr>
        <w:spacing w:after="240"/>
        <w:ind w:left="567" w:hanging="567"/>
        <w:rPr>
          <w:color w:val="000000"/>
        </w:rPr>
      </w:pPr>
      <w:r w:rsidRPr="00562587">
        <w:rPr>
          <w:color w:val="000000"/>
        </w:rPr>
        <w:lastRenderedPageBreak/>
        <w:t>–</w:t>
      </w:r>
      <w:r w:rsidRPr="00562587">
        <w:rPr>
          <w:color w:val="000000"/>
        </w:rPr>
        <w:tab/>
        <w:t>uwzględniając swoją rezolucję z dnia 15 grudnia 2022 r. w sprawie ulepszenia wieloletnich ram finansowych na lata 2021–2027: gotowy na nowe wyzwania, odporny budżet UE</w:t>
      </w:r>
      <w:r w:rsidRPr="00562587">
        <w:rPr>
          <w:color w:val="000000"/>
          <w:vertAlign w:val="superscript"/>
        </w:rPr>
        <w:footnoteReference w:id="7"/>
      </w:r>
      <w:r w:rsidRPr="00562587">
        <w:rPr>
          <w:color w:val="000000"/>
        </w:rPr>
        <w:t>,</w:t>
      </w:r>
    </w:p>
    <w:p w:rsidR="005A1FAE" w:rsidRPr="00562587" w:rsidRDefault="005A1FAE" w:rsidP="005B61EB">
      <w:pPr>
        <w:spacing w:after="240"/>
        <w:ind w:left="567" w:hanging="567"/>
      </w:pPr>
      <w:r w:rsidRPr="00562587">
        <w:t>–</w:t>
      </w:r>
      <w:r w:rsidRPr="00562587">
        <w:tab/>
        <w:t>uwzględniając swoją rezolucję z dnia 3 października 2023 r. w sprawie wniosku dotyczącego śródokresowej rewizji wieloletnich ram finansowych na lata 2021–2027</w:t>
      </w:r>
      <w:r w:rsidRPr="00562587">
        <w:rPr>
          <w:vertAlign w:val="superscript"/>
        </w:rPr>
        <w:footnoteReference w:id="8"/>
      </w:r>
      <w:r w:rsidRPr="00562587">
        <w:t>,</w:t>
      </w:r>
    </w:p>
    <w:p w:rsidR="005A1FAE" w:rsidRPr="00562587" w:rsidRDefault="005A1FAE" w:rsidP="005B61EB">
      <w:pPr>
        <w:spacing w:after="240"/>
        <w:ind w:left="567" w:hanging="567"/>
        <w:rPr>
          <w:color w:val="000000"/>
        </w:rPr>
      </w:pPr>
      <w:r w:rsidRPr="00562587">
        <w:rPr>
          <w:color w:val="000000"/>
        </w:rPr>
        <w:t>–</w:t>
      </w:r>
      <w:r w:rsidRPr="00562587">
        <w:rPr>
          <w:color w:val="000000"/>
        </w:rPr>
        <w:tab/>
        <w:t xml:space="preserve">uwzględniając swoją rezolucję z dnia 27 lutego 2024 r. w sprawie projektu rozporządzenia Rady w sprawie zmiany rozporządzenia (UE, </w:t>
      </w:r>
      <w:proofErr w:type="spellStart"/>
      <w:r w:rsidRPr="00562587">
        <w:rPr>
          <w:color w:val="000000"/>
        </w:rPr>
        <w:t>Euratom</w:t>
      </w:r>
      <w:proofErr w:type="spellEnd"/>
      <w:r w:rsidRPr="00562587">
        <w:rPr>
          <w:color w:val="000000"/>
        </w:rPr>
        <w:t>) 2020/2093 określającego wieloletnie ramy finansowe na lata 2021–2027</w:t>
      </w:r>
      <w:r w:rsidRPr="00562587">
        <w:rPr>
          <w:color w:val="000000"/>
          <w:vertAlign w:val="superscript"/>
        </w:rPr>
        <w:footnoteReference w:id="9"/>
      </w:r>
      <w:r w:rsidRPr="00562587">
        <w:rPr>
          <w:color w:val="000000"/>
        </w:rPr>
        <w:t>,</w:t>
      </w:r>
    </w:p>
    <w:p w:rsidR="005A1FAE" w:rsidRPr="00562587" w:rsidRDefault="005A1FAE" w:rsidP="005B61EB">
      <w:pPr>
        <w:widowControl/>
        <w:spacing w:after="240"/>
        <w:ind w:left="567" w:hanging="567"/>
        <w:rPr>
          <w:color w:val="000000"/>
        </w:rPr>
      </w:pPr>
      <w:r w:rsidRPr="00562587">
        <w:rPr>
          <w:color w:val="000000"/>
        </w:rPr>
        <w:t>–</w:t>
      </w:r>
      <w:r w:rsidRPr="00562587">
        <w:rPr>
          <w:color w:val="000000"/>
        </w:rPr>
        <w:tab/>
        <w:t xml:space="preserve">uwzględniając rozporządzenie Parlamentu Europejskiego i Rady (UE, </w:t>
      </w:r>
      <w:proofErr w:type="spellStart"/>
      <w:r w:rsidRPr="00562587">
        <w:rPr>
          <w:color w:val="000000"/>
        </w:rPr>
        <w:t>Euratom</w:t>
      </w:r>
      <w:proofErr w:type="spellEnd"/>
      <w:r w:rsidRPr="00562587">
        <w:rPr>
          <w:color w:val="000000"/>
        </w:rPr>
        <w:t>) 2024/2509 z dnia 23 września 2024 r. w sprawie zasad finansowych mających zastosowanie do budżetu ogólnego Unii (wersja przekształcona</w:t>
      </w:r>
      <w:proofErr w:type="gramStart"/>
      <w:r w:rsidRPr="00562587">
        <w:rPr>
          <w:color w:val="000000"/>
        </w:rPr>
        <w:t>)</w:t>
      </w:r>
      <w:r w:rsidRPr="00562587">
        <w:rPr>
          <w:color w:val="000000"/>
          <w:vertAlign w:val="superscript"/>
        </w:rPr>
        <w:footnoteReference w:id="10"/>
      </w:r>
      <w:r w:rsidRPr="00562587">
        <w:rPr>
          <w:color w:val="000000"/>
        </w:rPr>
        <w:t xml:space="preserve"> (rozporządzenie</w:t>
      </w:r>
      <w:proofErr w:type="gramEnd"/>
      <w:r w:rsidRPr="00562587">
        <w:rPr>
          <w:color w:val="000000"/>
        </w:rPr>
        <w:t xml:space="preserve"> finansowe),</w:t>
      </w:r>
    </w:p>
    <w:p w:rsidR="005A1FAE" w:rsidRPr="00562587" w:rsidRDefault="005A1FAE" w:rsidP="005B61EB">
      <w:pPr>
        <w:spacing w:after="240"/>
        <w:ind w:left="567" w:hanging="567"/>
        <w:rPr>
          <w:color w:val="000000"/>
        </w:rPr>
      </w:pPr>
      <w:r w:rsidRPr="00562587">
        <w:rPr>
          <w:color w:val="000000"/>
        </w:rPr>
        <w:t>–</w:t>
      </w:r>
      <w:r w:rsidRPr="00562587">
        <w:rPr>
          <w:color w:val="000000"/>
        </w:rPr>
        <w:tab/>
        <w:t>uwzględniając Porozumienie międzyinstytucjonalne z dnia 16 grudnia 2020 r. między Parlamentem Europejskim, Radą Unii Europejskiej i Komisją Europejską w sprawie dyscypliny budżetowej, współpracy w kwestiach budżetowych i należytego zarządzania finansami oraz w sprawie nowych zasobów własnych, w tym również harmonogramu wprowadzania nowych zasobów własnych</w:t>
      </w:r>
      <w:r w:rsidRPr="00562587">
        <w:rPr>
          <w:color w:val="000000"/>
          <w:vertAlign w:val="superscript"/>
        </w:rPr>
        <w:footnoteReference w:id="11"/>
      </w:r>
      <w:r w:rsidRPr="00562587">
        <w:rPr>
          <w:color w:val="000000"/>
        </w:rPr>
        <w:t>,</w:t>
      </w:r>
    </w:p>
    <w:p w:rsidR="005A1FAE" w:rsidRPr="00562587" w:rsidRDefault="005A1FAE" w:rsidP="005B61EB">
      <w:pPr>
        <w:spacing w:after="240"/>
        <w:ind w:left="567" w:hanging="567"/>
        <w:rPr>
          <w:color w:val="000000"/>
        </w:rPr>
      </w:pPr>
      <w:r w:rsidRPr="00562587">
        <w:rPr>
          <w:color w:val="000000"/>
        </w:rPr>
        <w:t>–</w:t>
      </w:r>
      <w:r w:rsidRPr="00562587">
        <w:rPr>
          <w:color w:val="000000"/>
        </w:rPr>
        <w:tab/>
        <w:t>uwzględniając budżet ogólny Unii Europejskiej na rok budżetowy 2025</w:t>
      </w:r>
      <w:r w:rsidRPr="00562587">
        <w:rPr>
          <w:color w:val="000000"/>
          <w:vertAlign w:val="superscript"/>
        </w:rPr>
        <w:footnoteReference w:id="12"/>
      </w:r>
      <w:r w:rsidRPr="00562587">
        <w:rPr>
          <w:color w:val="000000"/>
        </w:rPr>
        <w:t xml:space="preserve"> i wspólne oświadczenia uzgodnione między Parlamentem, Radą i Komisją, które zostały do niego załączone,</w:t>
      </w:r>
    </w:p>
    <w:p w:rsidR="005A1FAE" w:rsidRPr="00562587" w:rsidRDefault="005A1FAE" w:rsidP="005B61EB">
      <w:pPr>
        <w:spacing w:after="240"/>
        <w:ind w:left="567" w:hanging="567"/>
        <w:rPr>
          <w:color w:val="000000"/>
        </w:rPr>
      </w:pPr>
      <w:r w:rsidRPr="00562587">
        <w:rPr>
          <w:color w:val="000000"/>
        </w:rPr>
        <w:t>–</w:t>
      </w:r>
      <w:r w:rsidRPr="00562587">
        <w:rPr>
          <w:color w:val="000000"/>
        </w:rPr>
        <w:tab/>
        <w:t>uwzględniając sprawozdanie sekretarza generalnego dla Prezydium dotyczące sporządzenia wstępnego projektu preliminarza budżetowego Parlamentu na rok budżetowy 2026,</w:t>
      </w:r>
    </w:p>
    <w:p w:rsidR="005A1FAE" w:rsidRPr="00562587" w:rsidRDefault="005A1FAE" w:rsidP="005B61EB">
      <w:pPr>
        <w:tabs>
          <w:tab w:val="left" w:pos="357"/>
        </w:tabs>
        <w:spacing w:after="240"/>
        <w:ind w:left="567" w:hanging="567"/>
        <w:rPr>
          <w:color w:val="000000"/>
        </w:rPr>
      </w:pPr>
      <w:r w:rsidRPr="00562587">
        <w:rPr>
          <w:color w:val="000000"/>
        </w:rPr>
        <w:t>–</w:t>
      </w:r>
      <w:r w:rsidRPr="00562587">
        <w:rPr>
          <w:color w:val="000000"/>
        </w:rPr>
        <w:tab/>
      </w:r>
      <w:r w:rsidRPr="00562587">
        <w:rPr>
          <w:color w:val="000000"/>
        </w:rPr>
        <w:tab/>
        <w:t>uwzględniając wstępny projekt preliminarza budżetowego sporządzony przez Prezydium 10 marca 2025 r. zgodnie z art. 25 ust. 7 oraz art. 104 ust. 1 Regulaminu,</w:t>
      </w:r>
    </w:p>
    <w:p w:rsidR="005A1FAE" w:rsidRPr="00562587" w:rsidRDefault="005A1FAE" w:rsidP="005B61EB">
      <w:pPr>
        <w:tabs>
          <w:tab w:val="left" w:pos="357"/>
        </w:tabs>
        <w:spacing w:after="240"/>
        <w:ind w:left="567" w:hanging="567"/>
        <w:rPr>
          <w:color w:val="000000"/>
        </w:rPr>
      </w:pPr>
      <w:r w:rsidRPr="00562587">
        <w:rPr>
          <w:color w:val="000000"/>
        </w:rPr>
        <w:t>–</w:t>
      </w:r>
      <w:r w:rsidRPr="00562587">
        <w:rPr>
          <w:color w:val="000000"/>
        </w:rPr>
        <w:tab/>
      </w:r>
      <w:r w:rsidRPr="00562587">
        <w:rPr>
          <w:color w:val="000000"/>
        </w:rPr>
        <w:tab/>
        <w:t>uwzględniając projekt preliminarza budżetowego sporządzony przez Komisję Budżetową zgodnie z art. 104 ust. 2 Regulaminu,</w:t>
      </w:r>
    </w:p>
    <w:p w:rsidR="005A1FAE" w:rsidRPr="00562587" w:rsidRDefault="005A1FAE" w:rsidP="005B61EB">
      <w:pPr>
        <w:tabs>
          <w:tab w:val="left" w:pos="357"/>
        </w:tabs>
        <w:spacing w:after="240"/>
        <w:ind w:left="567" w:hanging="567"/>
        <w:rPr>
          <w:color w:val="000000"/>
        </w:rPr>
      </w:pPr>
      <w:r w:rsidRPr="00562587">
        <w:rPr>
          <w:color w:val="000000"/>
        </w:rPr>
        <w:t>–</w:t>
      </w:r>
      <w:r w:rsidRPr="00562587">
        <w:rPr>
          <w:color w:val="000000"/>
        </w:rPr>
        <w:tab/>
      </w:r>
      <w:r w:rsidRPr="00562587">
        <w:rPr>
          <w:color w:val="000000"/>
        </w:rPr>
        <w:tab/>
        <w:t>uwzględniając art. 104 Regulaminu,</w:t>
      </w:r>
    </w:p>
    <w:p w:rsidR="005A1FAE" w:rsidRPr="00562587" w:rsidRDefault="005A1FAE" w:rsidP="005B61EB">
      <w:pPr>
        <w:tabs>
          <w:tab w:val="left" w:pos="357"/>
        </w:tabs>
        <w:spacing w:after="240"/>
        <w:ind w:left="567" w:hanging="567"/>
        <w:rPr>
          <w:color w:val="000000"/>
        </w:rPr>
      </w:pPr>
      <w:r w:rsidRPr="00562587">
        <w:rPr>
          <w:color w:val="000000"/>
        </w:rPr>
        <w:t>–</w:t>
      </w:r>
      <w:r w:rsidRPr="00562587">
        <w:rPr>
          <w:color w:val="000000"/>
        </w:rPr>
        <w:tab/>
      </w:r>
      <w:r w:rsidRPr="00562587">
        <w:rPr>
          <w:color w:val="000000"/>
        </w:rPr>
        <w:tab/>
        <w:t>uwzględniając sprawozdanie Komisji Budżetowej (A10-0048/2025),</w:t>
      </w:r>
    </w:p>
    <w:p w:rsidR="005A1FAE" w:rsidRPr="00562587" w:rsidRDefault="005A1FAE" w:rsidP="005B61EB">
      <w:pPr>
        <w:widowControl/>
        <w:tabs>
          <w:tab w:val="left" w:pos="357"/>
        </w:tabs>
        <w:spacing w:after="240"/>
        <w:ind w:left="567" w:hanging="567"/>
        <w:rPr>
          <w:color w:val="000000"/>
        </w:rPr>
      </w:pPr>
      <w:r w:rsidRPr="00562587">
        <w:rPr>
          <w:color w:val="000000"/>
        </w:rPr>
        <w:t>A.</w:t>
      </w:r>
      <w:r w:rsidRPr="00562587">
        <w:rPr>
          <w:color w:val="000000"/>
        </w:rPr>
        <w:tab/>
      </w:r>
      <w:r w:rsidRPr="00562587">
        <w:rPr>
          <w:color w:val="000000"/>
        </w:rPr>
        <w:tab/>
      </w:r>
      <w:proofErr w:type="gramStart"/>
      <w:r w:rsidRPr="00562587">
        <w:rPr>
          <w:color w:val="000000"/>
        </w:rPr>
        <w:t>mając</w:t>
      </w:r>
      <w:proofErr w:type="gramEnd"/>
      <w:r w:rsidRPr="00562587">
        <w:rPr>
          <w:color w:val="000000"/>
        </w:rPr>
        <w:t xml:space="preserve"> na uwadze, że budżet zaproponowany 10 lutego 2025 r. przez sekretarza generalnego we wstępnym projekcie preliminarza budżetowego Parlamentu na 2026 r. </w:t>
      </w:r>
      <w:r w:rsidRPr="00562587">
        <w:rPr>
          <w:color w:val="000000"/>
        </w:rPr>
        <w:lastRenderedPageBreak/>
        <w:t xml:space="preserve">wynosi 2 641 609 620 EUR, co oznacza wzrost o 4,30 % lub 108 914 512 EUR w porównaniu z budżetem na 2025 r.; </w:t>
      </w:r>
    </w:p>
    <w:p w:rsidR="005A1FAE" w:rsidRPr="00562587" w:rsidRDefault="005A1FAE" w:rsidP="005B61EB">
      <w:pPr>
        <w:widowControl/>
        <w:tabs>
          <w:tab w:val="left" w:pos="357"/>
        </w:tabs>
        <w:spacing w:after="240"/>
        <w:ind w:left="567" w:hanging="567"/>
        <w:rPr>
          <w:color w:val="000000"/>
        </w:rPr>
      </w:pPr>
      <w:r w:rsidRPr="00562587">
        <w:rPr>
          <w:color w:val="000000"/>
        </w:rPr>
        <w:t>B.</w:t>
      </w:r>
      <w:r w:rsidRPr="00562587">
        <w:rPr>
          <w:color w:val="000000"/>
        </w:rPr>
        <w:tab/>
      </w:r>
      <w:r w:rsidRPr="00562587">
        <w:rPr>
          <w:color w:val="000000"/>
        </w:rPr>
        <w:tab/>
        <w:t>mając na uwadze, że według Eurostatu roczna inflacja w Unii wyniosła 2,8 % w styczniu 2025 r., co oznacza wzrost o 2,7 % w porównaniu z grudniem 2024 r.; mając na uwadze, że poziom wydatków w dziale 7 wieloletnich ram finansowych (WRF) na lata 2021–2027 opiera się na rocznym wzroście o 2 %;</w:t>
      </w:r>
    </w:p>
    <w:p w:rsidR="005A1FAE" w:rsidRPr="00562587" w:rsidRDefault="005A1FAE" w:rsidP="005B61EB">
      <w:pPr>
        <w:widowControl/>
        <w:tabs>
          <w:tab w:val="left" w:pos="357"/>
        </w:tabs>
        <w:spacing w:after="240"/>
        <w:ind w:left="567" w:hanging="567"/>
        <w:rPr>
          <w:color w:val="000000"/>
        </w:rPr>
      </w:pPr>
      <w:r w:rsidRPr="00562587">
        <w:rPr>
          <w:color w:val="000000"/>
        </w:rPr>
        <w:t>C.</w:t>
      </w:r>
      <w:r w:rsidRPr="00562587">
        <w:rPr>
          <w:color w:val="000000"/>
        </w:rPr>
        <w:tab/>
      </w:r>
      <w:r w:rsidRPr="00562587">
        <w:rPr>
          <w:color w:val="000000"/>
        </w:rPr>
        <w:tab/>
      </w:r>
      <w:proofErr w:type="gramStart"/>
      <w:r w:rsidRPr="00562587">
        <w:rPr>
          <w:color w:val="000000"/>
        </w:rPr>
        <w:t>mając</w:t>
      </w:r>
      <w:proofErr w:type="gramEnd"/>
      <w:r w:rsidRPr="00562587">
        <w:rPr>
          <w:color w:val="000000"/>
        </w:rPr>
        <w:t xml:space="preserve"> na uwadze, że wiarygodność Parlamentu zależy od jego zdolności do realizacji podstawowych zadań budżetowych, ustawodawczych i kontrolnych na najwyższym poziomie, przy jednoczesnym dawaniu przykładu innym instytucjom Unii poprzez ostrożne i skuteczne planowanie i realizowanie wydatków oraz odzwierciedlanie panujących realiów gospodarczych; </w:t>
      </w:r>
    </w:p>
    <w:p w:rsidR="005A1FAE" w:rsidRPr="00562587" w:rsidRDefault="005A1FAE" w:rsidP="005B61EB">
      <w:pPr>
        <w:widowControl/>
        <w:spacing w:after="240"/>
        <w:ind w:left="567" w:hanging="567"/>
        <w:rPr>
          <w:b/>
          <w:i/>
          <w:color w:val="000000"/>
        </w:rPr>
      </w:pPr>
      <w:r w:rsidRPr="00562587">
        <w:rPr>
          <w:b/>
          <w:i/>
          <w:color w:val="000000"/>
        </w:rPr>
        <w:t>Ogólne ramy</w:t>
      </w:r>
    </w:p>
    <w:p w:rsidR="005A1FAE" w:rsidRPr="00562587" w:rsidRDefault="005A1FAE" w:rsidP="005B61EB">
      <w:pPr>
        <w:widowControl/>
        <w:spacing w:after="240"/>
        <w:ind w:left="567" w:hanging="567"/>
        <w:rPr>
          <w:color w:val="000000"/>
        </w:rPr>
      </w:pPr>
      <w:r w:rsidRPr="00562587">
        <w:rPr>
          <w:color w:val="000000"/>
        </w:rPr>
        <w:t>1.</w:t>
      </w:r>
      <w:r w:rsidRPr="00562587">
        <w:rPr>
          <w:color w:val="000000"/>
        </w:rPr>
        <w:tab/>
      </w:r>
      <w:proofErr w:type="gramStart"/>
      <w:r w:rsidRPr="00562587">
        <w:rPr>
          <w:color w:val="000000"/>
        </w:rPr>
        <w:t>jest</w:t>
      </w:r>
      <w:proofErr w:type="gramEnd"/>
      <w:r w:rsidRPr="00562587">
        <w:rPr>
          <w:color w:val="000000"/>
        </w:rPr>
        <w:t xml:space="preserve"> zaniepokojony sytuacją działu 7 w obecnych WRF; przypomina, że ograniczenia są wynikiem cięć dokonanych przez Radę w stosunku do już bardzo niskiego poziomu środków w pierwotnym wniosku Komisji przy uzgadnianiu obecnych WRF na lata 2021–2027; wyraża ubolewanie z powodu sprzeciwu Rady wobec propozycji Komisji dotyczącej podwyższenia od 2024 r. pułapu działu 7 w ramach rewizji WRF; zwraca uwagę, że podczas rewizji WRF nie rozwiązano kwestii pułapu działu 7; podkreśla, że przewidywany ujemny margines na 2026 r. zakłada wykorzystanie w tym celu instrumentów szczególnych w dziale 7;</w:t>
      </w:r>
    </w:p>
    <w:p w:rsidR="005A1FAE" w:rsidRPr="00562587" w:rsidRDefault="005A1FAE" w:rsidP="005B61EB">
      <w:pPr>
        <w:widowControl/>
        <w:spacing w:after="240"/>
        <w:ind w:left="567" w:hanging="567"/>
        <w:rPr>
          <w:color w:val="000000"/>
        </w:rPr>
      </w:pPr>
      <w:r w:rsidRPr="00562587">
        <w:rPr>
          <w:color w:val="000000"/>
        </w:rPr>
        <w:t>2.</w:t>
      </w:r>
      <w:r w:rsidRPr="00562587">
        <w:rPr>
          <w:color w:val="000000"/>
        </w:rPr>
        <w:tab/>
      </w:r>
      <w:proofErr w:type="gramStart"/>
      <w:r w:rsidRPr="00562587">
        <w:rPr>
          <w:color w:val="000000"/>
        </w:rPr>
        <w:t>zatwierdza</w:t>
      </w:r>
      <w:proofErr w:type="gramEnd"/>
      <w:r w:rsidRPr="00562587">
        <w:rPr>
          <w:color w:val="000000"/>
        </w:rPr>
        <w:t xml:space="preserve"> porozumienie osiągnięte 18 marca 2025 r. w ramach procedury pojednawczej między Prezydium a Komisją Budżetową, zakładające zwiększenie budżetu o 4,09 % w stosunku do 2025 r., co odpowiada ogólnemu poziomowi środków w preliminarzu w wysokości 2 636 241 620 EUR na 2026 r., oraz odpowiednie zmniejszenie środków zaproponowanych w następujących liniach budżetowych o łączną kwotę 12 378 000 EUR:</w:t>
      </w:r>
    </w:p>
    <w:p w:rsidR="005A1FAE" w:rsidRPr="00562587" w:rsidRDefault="005A1FAE" w:rsidP="005B61EB">
      <w:pPr>
        <w:widowControl/>
        <w:spacing w:after="240"/>
        <w:ind w:left="567"/>
        <w:rPr>
          <w:color w:val="000000"/>
        </w:rPr>
      </w:pPr>
      <w:r w:rsidRPr="00562587">
        <w:rPr>
          <w:color w:val="000000"/>
        </w:rPr>
        <w:t>1 0 0 6 – Zwrot kosztów ogólnych, 1 4 2 – Zewnętrzne usługi tłumaczeniowe, 2 0 0 0 – Czynsze, 2 0 0 7 – Budowa budynków i zagospodarowanie pomieszczeń służbowych, 2 0 2 4 – Zużycie energii, 2 1 0 1 – Zarządzanie aplikacjami biznesowymi, 3 2 0 – Pozyskiwanie opinii ekspertów, 3 2 4 3 – Centra dla zwiedzających Parlamentu Europejskiego, 3 2 4 8 – Wydatki na informację audiowizualną, 4 4 – Posiedzenia i inna działalność posłów oraz byłych posłów;</w:t>
      </w:r>
    </w:p>
    <w:p w:rsidR="005A1FAE" w:rsidRPr="00562587" w:rsidRDefault="005A1FAE" w:rsidP="005B61EB">
      <w:pPr>
        <w:widowControl/>
        <w:spacing w:after="240"/>
        <w:ind w:left="567"/>
        <w:rPr>
          <w:color w:val="000000"/>
        </w:rPr>
      </w:pPr>
      <w:proofErr w:type="gramStart"/>
      <w:r w:rsidRPr="00562587">
        <w:rPr>
          <w:color w:val="000000"/>
        </w:rPr>
        <w:t>ponadto</w:t>
      </w:r>
      <w:proofErr w:type="gramEnd"/>
      <w:r w:rsidRPr="00562587">
        <w:rPr>
          <w:color w:val="000000"/>
        </w:rPr>
        <w:t xml:space="preserve"> postanowiono zwiększyć poziom wydatków we wstępnym projekcie preliminarza budżetowego zatwierdzonym przez Prezydium 10 marca 2025 r. o 7 010 000 EUR oraz odpowiednio zwiększyć środki zaproponowane w następujących liniach budżetowych:</w:t>
      </w:r>
    </w:p>
    <w:p w:rsidR="005A1FAE" w:rsidRPr="00562587" w:rsidRDefault="005A1FAE" w:rsidP="005B61EB">
      <w:pPr>
        <w:widowControl/>
        <w:spacing w:after="240"/>
        <w:ind w:left="567"/>
        <w:rPr>
          <w:color w:val="000000"/>
        </w:rPr>
      </w:pPr>
      <w:r w:rsidRPr="00562587">
        <w:rPr>
          <w:color w:val="000000"/>
        </w:rPr>
        <w:t>1 2 0 0 – Wynagrodzenia i dodatki, 1 6 3 0 – Świadczenia socjalne, 4 0 0 – Wydatki administracyjne związane z działalnością polityczną i informacyjną grup politycznych i posłów niezrzeszonych, oraz 4 0 3 – Finansowanie europejskich fundacji politycznych</w:t>
      </w:r>
    </w:p>
    <w:p w:rsidR="005A1FAE" w:rsidRPr="00562587" w:rsidRDefault="005A1FAE" w:rsidP="005B61EB">
      <w:pPr>
        <w:widowControl/>
        <w:spacing w:after="240"/>
        <w:ind w:left="567"/>
        <w:rPr>
          <w:color w:val="000000"/>
        </w:rPr>
      </w:pPr>
      <w:proofErr w:type="gramStart"/>
      <w:r w:rsidRPr="00562587">
        <w:rPr>
          <w:color w:val="000000"/>
        </w:rPr>
        <w:t>uzgodniono</w:t>
      </w:r>
      <w:proofErr w:type="gramEnd"/>
      <w:r w:rsidRPr="00562587">
        <w:rPr>
          <w:color w:val="000000"/>
        </w:rPr>
        <w:t xml:space="preserve"> również zmianę uwag do budżetu w pozycji 1 6 3 0 – Świadczenia socjalne w celu uwzględnienia odniesienia do Komitetu Akredytowanych Asystentów Parlamentarnych;</w:t>
      </w:r>
    </w:p>
    <w:p w:rsidR="005A1FAE" w:rsidRPr="00562587" w:rsidRDefault="005A1FAE" w:rsidP="005B61EB">
      <w:pPr>
        <w:widowControl/>
        <w:spacing w:after="240"/>
        <w:ind w:left="567" w:hanging="567"/>
        <w:rPr>
          <w:color w:val="000000"/>
        </w:rPr>
      </w:pPr>
      <w:r w:rsidRPr="00562587">
        <w:rPr>
          <w:color w:val="000000"/>
        </w:rPr>
        <w:lastRenderedPageBreak/>
        <w:t>3.</w:t>
      </w:r>
      <w:r w:rsidRPr="00562587">
        <w:rPr>
          <w:color w:val="000000"/>
        </w:rPr>
        <w:tab/>
      </w:r>
      <w:proofErr w:type="gramStart"/>
      <w:r w:rsidRPr="00562587">
        <w:rPr>
          <w:color w:val="000000"/>
        </w:rPr>
        <w:t>przypomina</w:t>
      </w:r>
      <w:proofErr w:type="gramEnd"/>
      <w:r w:rsidRPr="00562587">
        <w:rPr>
          <w:color w:val="000000"/>
        </w:rPr>
        <w:t>, że prawie dwie trzecie budżetu jest ustalane przez zobowiązania statutowe; zauważa, że w ramach wzrostu o 103,5 mln EUR w porównaniu z budżetem na 2025 r. wzrost o 85,3 mln EUR jest związany ze statutowymi zobowiązaniami finansowymi, głównie z aktualizacją wynagrodzeń urzędników i pracowników zatrudnionych na czas określony (52,7 mln EUR), pracowników kontraktowych (9,2 mln EUR) i akredytowanych asystentów parlamentarnych (15,1 mln EUR); przypomina, że według obecnych prognoz Komisji indeksacja wynagrodzeń, zgodnie z regulaminem pracowniczym i Statutem posła do Parlamentu Europejskiego, wyniesie odpowiednio 1,2 % na kwiecień 2025 r., 4,6 % na lipiec 2025 r., 0,6 % na kwiecień 2026 r. i 3,4 % na lipiec 2026 r.;</w:t>
      </w:r>
    </w:p>
    <w:p w:rsidR="005A1FAE" w:rsidRPr="00562587" w:rsidRDefault="005A1FAE" w:rsidP="005B61EB">
      <w:pPr>
        <w:widowControl/>
        <w:spacing w:after="240"/>
        <w:ind w:left="567" w:hanging="567"/>
        <w:rPr>
          <w:color w:val="000000"/>
        </w:rPr>
      </w:pPr>
      <w:r w:rsidRPr="00562587">
        <w:rPr>
          <w:color w:val="000000"/>
        </w:rPr>
        <w:t>4.</w:t>
      </w:r>
      <w:r w:rsidRPr="00562587">
        <w:rPr>
          <w:color w:val="000000"/>
        </w:rPr>
        <w:tab/>
      </w:r>
      <w:proofErr w:type="gramStart"/>
      <w:r w:rsidRPr="00562587">
        <w:rPr>
          <w:color w:val="000000"/>
        </w:rPr>
        <w:t>zauważa</w:t>
      </w:r>
      <w:proofErr w:type="gramEnd"/>
      <w:r w:rsidRPr="00562587">
        <w:rPr>
          <w:color w:val="000000"/>
        </w:rPr>
        <w:t>, że Parlament nie wnioskuje o żadne dodatkowe stanowiska na 2026 r., trzeci rok z rzędu;</w:t>
      </w:r>
    </w:p>
    <w:p w:rsidR="005A1FAE" w:rsidRPr="00562587" w:rsidRDefault="005A1FAE" w:rsidP="005B61EB">
      <w:pPr>
        <w:widowControl/>
        <w:spacing w:after="240"/>
        <w:ind w:left="567" w:hanging="567"/>
        <w:rPr>
          <w:color w:val="000000"/>
        </w:rPr>
      </w:pPr>
      <w:r w:rsidRPr="00562587">
        <w:rPr>
          <w:color w:val="000000"/>
        </w:rPr>
        <w:t>5.</w:t>
      </w:r>
      <w:r w:rsidRPr="00562587">
        <w:rPr>
          <w:color w:val="000000"/>
        </w:rPr>
        <w:tab/>
      </w:r>
      <w:proofErr w:type="gramStart"/>
      <w:r w:rsidRPr="00562587">
        <w:rPr>
          <w:color w:val="000000"/>
        </w:rPr>
        <w:t>zauważa</w:t>
      </w:r>
      <w:proofErr w:type="gramEnd"/>
      <w:r w:rsidRPr="00562587">
        <w:rPr>
          <w:color w:val="000000"/>
        </w:rPr>
        <w:t>, że wzrost wydatków pozaustawowych w latach 2025–2026 wynosi 1,96 %;</w:t>
      </w:r>
    </w:p>
    <w:p w:rsidR="005A1FAE" w:rsidRPr="00562587" w:rsidRDefault="005A1FAE" w:rsidP="005B61EB">
      <w:pPr>
        <w:widowControl/>
        <w:spacing w:after="240"/>
        <w:ind w:left="567" w:hanging="567"/>
        <w:rPr>
          <w:color w:val="000000"/>
        </w:rPr>
      </w:pPr>
      <w:r w:rsidRPr="00562587">
        <w:rPr>
          <w:color w:val="000000"/>
        </w:rPr>
        <w:t>6.</w:t>
      </w:r>
      <w:r w:rsidRPr="00562587">
        <w:rPr>
          <w:color w:val="000000"/>
        </w:rPr>
        <w:tab/>
      </w:r>
      <w:proofErr w:type="gramStart"/>
      <w:r w:rsidRPr="00562587">
        <w:rPr>
          <w:color w:val="000000"/>
        </w:rPr>
        <w:t>z</w:t>
      </w:r>
      <w:proofErr w:type="gramEnd"/>
      <w:r w:rsidRPr="00562587">
        <w:rPr>
          <w:color w:val="000000"/>
        </w:rPr>
        <w:t xml:space="preserve"> zadowoleniem przyjmuje inicjatywę sekretarza generalnego dotyczącą przeprowadzenia szeroko zakrojonej analizy mającej na celu określenie możliwości uproszczenia procedur administracyjnych, wyeliminowanie nieefektywności i zapewnienie wymiernej redukcji kosztów, co zwiększy wydajność i zapewni bardziej inteligentne wykorzystanie zasobów; zwraca się do sekretarza generalnego o przekazywanie co pół roku Komisji Budżetowej aktualnych informacji na temat podjętych działań i planu działania na rzecz uproszczenia oraz ich wpływu na budżet i personel; podkreśla, że procedury administracyjne i zarządzanie zasobami ludzkimi stanowią duże obciążenie dla posłów, w szczególności przy zatrudnianiu asystentów krajowych, i wzywa do uproszczenia w tym względzie;</w:t>
      </w:r>
    </w:p>
    <w:p w:rsidR="005A1FAE" w:rsidRPr="00562587" w:rsidRDefault="005A1FAE" w:rsidP="005B61EB">
      <w:pPr>
        <w:pStyle w:val="NormalHanging12a"/>
      </w:pPr>
      <w:r w:rsidRPr="00562587">
        <w:t>7.</w:t>
      </w:r>
      <w:r w:rsidRPr="00562587">
        <w:tab/>
      </w:r>
      <w:proofErr w:type="gramStart"/>
      <w:r w:rsidRPr="00562587">
        <w:t>zauważa</w:t>
      </w:r>
      <w:proofErr w:type="gramEnd"/>
      <w:r w:rsidRPr="00562587">
        <w:t>, że budżet Parlamentu powinien być ustalany w oparciu o realistyczne przesłanki, zgodnie z zasadą dyscypliny budżetowej i należytego zarządzania finansami; podkreśla, że zasadnicze znaczenie ma zapewnienie, aby ostrożność finansowa i bezpieczeństwo pozostały kluczowymi priorytetami, przy jednoczesnym zagwarantowaniu, że środki te nie będą ograniczać efektywności, skuteczności i zdolności operacyjnej instytucji i jej kluczowych pracowników w skutecznym wykonywaniu ich obowiązków; podkreśla, że biorąc pod uwagę kontekst geopolityczny i inwestycje, jakie Unia będzie musiała poczynić na rzecz swojej strategicznej autonomii, Parlament musi dawać przykład w zarządzaniu swoim budżetem;</w:t>
      </w:r>
    </w:p>
    <w:p w:rsidR="005A1FAE" w:rsidRPr="00562587" w:rsidRDefault="005A1FAE" w:rsidP="005B61EB">
      <w:pPr>
        <w:pStyle w:val="NormalHanging12a"/>
      </w:pPr>
      <w:r w:rsidRPr="00562587">
        <w:t>8.</w:t>
      </w:r>
      <w:r w:rsidRPr="00562587">
        <w:tab/>
      </w:r>
      <w:proofErr w:type="gramStart"/>
      <w:r w:rsidRPr="00562587">
        <w:t>podkreśla</w:t>
      </w:r>
      <w:proofErr w:type="gramEnd"/>
      <w:r w:rsidRPr="00562587">
        <w:t xml:space="preserve"> rolę Parlamentu w budowaniu europejskiej świadomości politycznej i propagowaniu unijnych wartości i polityk, takich jak transformacja cyfrowa i ekologiczna; podkreśla, że przejrzystość, odpowiedzialność, równouprawnieni płci i uczciwość to podstawowe zasady obowiązujące w instytucjach Unii, w szczególności w Parlamencie, który jest ośrodkiem europejskiej demokracji;</w:t>
      </w:r>
    </w:p>
    <w:p w:rsidR="005A1FAE" w:rsidRPr="00562587" w:rsidRDefault="005A1FAE" w:rsidP="005B61EB">
      <w:pPr>
        <w:widowControl/>
        <w:spacing w:after="240"/>
        <w:rPr>
          <w:b/>
          <w:i/>
          <w:color w:val="000000"/>
        </w:rPr>
      </w:pPr>
      <w:r w:rsidRPr="00562587">
        <w:rPr>
          <w:b/>
          <w:i/>
          <w:color w:val="000000"/>
        </w:rPr>
        <w:t>Wzmocnienie podstawowych funkcji Parlamentu</w:t>
      </w:r>
    </w:p>
    <w:p w:rsidR="005A1FAE" w:rsidRPr="00562587" w:rsidRDefault="005A1FAE" w:rsidP="005B61EB">
      <w:pPr>
        <w:pStyle w:val="NormalHanging12a"/>
      </w:pPr>
      <w:r w:rsidRPr="00562587">
        <w:t>9.</w:t>
      </w:r>
      <w:r w:rsidRPr="00562587">
        <w:tab/>
      </w:r>
      <w:proofErr w:type="gramStart"/>
      <w:r w:rsidRPr="00562587">
        <w:t>odnotowuje</w:t>
      </w:r>
      <w:proofErr w:type="gramEnd"/>
      <w:r w:rsidRPr="00562587">
        <w:t xml:space="preserve"> utworzenie we wrześniu 2024 r. czterech nowych tematycznych dyrekcji generalnych (DG), odpowiedzialnych za działania ustawodawcze, budżetowe i kontrolne, z poprzedniej Dyrekcji Generalnej ds. Polityki Wewnętrznej, w celu poprawy funkcjonowania Parlamentu jako </w:t>
      </w:r>
      <w:proofErr w:type="spellStart"/>
      <w:r w:rsidRPr="00562587">
        <w:t>współprawodawcy</w:t>
      </w:r>
      <w:proofErr w:type="spellEnd"/>
      <w:r w:rsidRPr="00562587">
        <w:t xml:space="preserve">, jednego z organów władzy budżetowej i organu udzielającego absolutorium; zwraca się do sekretarza generalnego o regularne przekazywanie Komisji Budżetowej aktualnych informacji na temat </w:t>
      </w:r>
      <w:r w:rsidRPr="00562587">
        <w:lastRenderedPageBreak/>
        <w:t>postępów w pracach i zmian kadrowych w tych dyrekcjach generalnych;</w:t>
      </w:r>
    </w:p>
    <w:p w:rsidR="005A1FAE" w:rsidRPr="00562587" w:rsidRDefault="005A1FAE" w:rsidP="005B61EB">
      <w:pPr>
        <w:pStyle w:val="NormalHanging12a"/>
        <w:spacing w:after="0"/>
      </w:pPr>
      <w:r w:rsidRPr="00562587">
        <w:t>10.</w:t>
      </w:r>
      <w:r w:rsidRPr="00562587">
        <w:tab/>
      </w:r>
      <w:proofErr w:type="gramStart"/>
      <w:r w:rsidRPr="00562587">
        <w:t>uznaje</w:t>
      </w:r>
      <w:proofErr w:type="gramEnd"/>
      <w:r w:rsidRPr="00562587">
        <w:t xml:space="preserve"> potrzebę podejmowania decyzji politycznych w większym stopniu w oparciu o dowody i fakty; odnotowuje budżet w wysokości 16,75 mln EUR przeznaczony na wzmocnienie zdolności administracyjnych Parlamentu w zakresie wspierania posłów w ich pracach parlamentarnych i wzmacniania jego zdolności do radzenia sobie ze złożonością i niepewnością;</w:t>
      </w:r>
    </w:p>
    <w:p w:rsidR="005A1FAE" w:rsidRPr="00562587" w:rsidRDefault="005A1FAE" w:rsidP="005B61EB">
      <w:pPr>
        <w:widowControl/>
        <w:ind w:left="567" w:hanging="567"/>
        <w:rPr>
          <w:color w:val="000000"/>
        </w:rPr>
      </w:pPr>
    </w:p>
    <w:p w:rsidR="005A1FAE" w:rsidRPr="00562587" w:rsidRDefault="005A1FAE" w:rsidP="005B61EB">
      <w:pPr>
        <w:widowControl/>
        <w:spacing w:after="240"/>
        <w:ind w:left="567" w:hanging="567"/>
        <w:rPr>
          <w:color w:val="000000"/>
        </w:rPr>
      </w:pPr>
      <w:r w:rsidRPr="00562587">
        <w:rPr>
          <w:color w:val="000000"/>
        </w:rPr>
        <w:t>11.</w:t>
      </w:r>
      <w:r w:rsidRPr="00562587">
        <w:rPr>
          <w:color w:val="000000"/>
        </w:rPr>
        <w:tab/>
      </w:r>
      <w:proofErr w:type="gramStart"/>
      <w:r w:rsidRPr="00562587">
        <w:rPr>
          <w:color w:val="000000"/>
        </w:rPr>
        <w:t>podkreśla</w:t>
      </w:r>
      <w:proofErr w:type="gramEnd"/>
      <w:r w:rsidRPr="00562587">
        <w:rPr>
          <w:color w:val="000000"/>
        </w:rPr>
        <w:t xml:space="preserve"> kluczową rolę grup politycznych w zapewnianiu posłom wiedzy fachowej i wsparcia politycznego w ich pracach legislacyjnych i parlamentarnych; podkreśla potrzebę zadbania o ważny cel, jakim jest wzmocnienie zdolności Parlamentu do wspierania pracy posłów;</w:t>
      </w:r>
    </w:p>
    <w:p w:rsidR="005A1FAE" w:rsidRPr="00562587" w:rsidRDefault="005A1FAE" w:rsidP="005B61EB">
      <w:pPr>
        <w:widowControl/>
        <w:spacing w:after="240"/>
        <w:ind w:left="567" w:hanging="567"/>
        <w:rPr>
          <w:b/>
          <w:i/>
          <w:color w:val="000000"/>
        </w:rPr>
      </w:pPr>
      <w:r w:rsidRPr="00562587">
        <w:rPr>
          <w:b/>
          <w:i/>
          <w:color w:val="000000"/>
        </w:rPr>
        <w:t xml:space="preserve">Transformacja cyfrowa </w:t>
      </w:r>
    </w:p>
    <w:p w:rsidR="005A1FAE" w:rsidRPr="00562587" w:rsidRDefault="005A1FAE" w:rsidP="005B61EB">
      <w:pPr>
        <w:widowControl/>
        <w:spacing w:after="240"/>
        <w:ind w:left="567" w:hanging="567"/>
        <w:rPr>
          <w:color w:val="000000"/>
        </w:rPr>
      </w:pPr>
      <w:r w:rsidRPr="00562587">
        <w:rPr>
          <w:color w:val="000000"/>
        </w:rPr>
        <w:t>12.</w:t>
      </w:r>
      <w:r w:rsidRPr="00562587">
        <w:rPr>
          <w:color w:val="000000"/>
        </w:rPr>
        <w:tab/>
      </w:r>
      <w:proofErr w:type="gramStart"/>
      <w:r w:rsidRPr="00562587">
        <w:rPr>
          <w:color w:val="000000"/>
        </w:rPr>
        <w:t>podkreśla</w:t>
      </w:r>
      <w:proofErr w:type="gramEnd"/>
      <w:r w:rsidRPr="00562587">
        <w:rPr>
          <w:color w:val="000000"/>
        </w:rPr>
        <w:t xml:space="preserve">, że </w:t>
      </w:r>
      <w:proofErr w:type="spellStart"/>
      <w:r w:rsidRPr="00562587">
        <w:rPr>
          <w:color w:val="000000"/>
        </w:rPr>
        <w:t>cyberbezpieczeństwo</w:t>
      </w:r>
      <w:proofErr w:type="spellEnd"/>
      <w:r w:rsidRPr="00562587">
        <w:rPr>
          <w:color w:val="000000"/>
        </w:rPr>
        <w:t xml:space="preserve"> Parlamentu jest kluczowym priorytetem; zauważa, że całkowity budżet na IT stanowi 7,40 % całkowitego budżetu w preliminarzu na 2026 r.; podkreśla znaczenie solidnej infrastruktury </w:t>
      </w:r>
      <w:proofErr w:type="spellStart"/>
      <w:r w:rsidRPr="00562587">
        <w:rPr>
          <w:color w:val="000000"/>
        </w:rPr>
        <w:t>cyberbezpieczeństwa</w:t>
      </w:r>
      <w:proofErr w:type="spellEnd"/>
      <w:r w:rsidRPr="00562587">
        <w:rPr>
          <w:color w:val="000000"/>
        </w:rPr>
        <w:t xml:space="preserve"> w burzliwych geopolitycznie czasach i z zadowoleniem przyjmuje zwiększenie środków przeznaczonych na </w:t>
      </w:r>
      <w:proofErr w:type="spellStart"/>
      <w:r w:rsidRPr="00562587">
        <w:rPr>
          <w:color w:val="000000"/>
        </w:rPr>
        <w:t>cyberbezpieczeństwo</w:t>
      </w:r>
      <w:proofErr w:type="spellEnd"/>
      <w:r w:rsidRPr="00562587">
        <w:rPr>
          <w:color w:val="000000"/>
        </w:rPr>
        <w:t xml:space="preserve">; popiera planowane stopniowe zwiększanie środków finansowych na </w:t>
      </w:r>
      <w:proofErr w:type="spellStart"/>
      <w:r w:rsidRPr="00562587">
        <w:rPr>
          <w:color w:val="000000"/>
        </w:rPr>
        <w:t>cyberbezpieczeństwo</w:t>
      </w:r>
      <w:proofErr w:type="spellEnd"/>
      <w:r w:rsidRPr="00562587">
        <w:rPr>
          <w:color w:val="000000"/>
        </w:rPr>
        <w:t xml:space="preserve"> do 10 % budżetu Parlamentu na ICT do 2027 r.;</w:t>
      </w:r>
    </w:p>
    <w:p w:rsidR="005A1FAE" w:rsidRPr="00562587" w:rsidRDefault="005A1FAE" w:rsidP="005B61EB">
      <w:pPr>
        <w:widowControl/>
        <w:spacing w:after="240"/>
        <w:ind w:left="567" w:hanging="567"/>
        <w:rPr>
          <w:color w:val="000000"/>
        </w:rPr>
      </w:pPr>
      <w:r w:rsidRPr="00562587">
        <w:rPr>
          <w:color w:val="000000"/>
        </w:rPr>
        <w:t>13.</w:t>
      </w:r>
      <w:r w:rsidRPr="00562587">
        <w:rPr>
          <w:color w:val="000000"/>
        </w:rPr>
        <w:tab/>
      </w:r>
      <w:proofErr w:type="gramStart"/>
      <w:r w:rsidRPr="00562587">
        <w:rPr>
          <w:color w:val="000000"/>
        </w:rPr>
        <w:t>z</w:t>
      </w:r>
      <w:proofErr w:type="gramEnd"/>
      <w:r w:rsidRPr="00562587">
        <w:rPr>
          <w:color w:val="000000"/>
        </w:rPr>
        <w:t xml:space="preserve"> zadowoleniem przyjmuje przyjęcie przez Prezydium 10 lutego 2025 r. ram wewnętrznego zarządzania ryzykiem w cyberprzestrzeni, jego nadzorowania i kontroli; przypomina, że inwestycje w </w:t>
      </w:r>
      <w:proofErr w:type="spellStart"/>
      <w:r w:rsidRPr="00562587">
        <w:rPr>
          <w:color w:val="000000"/>
        </w:rPr>
        <w:t>cyberbezpieczeństwo</w:t>
      </w:r>
      <w:proofErr w:type="spellEnd"/>
      <w:r w:rsidRPr="00562587">
        <w:rPr>
          <w:color w:val="000000"/>
        </w:rPr>
        <w:t xml:space="preserve"> mają kluczowe znaczenie dla ochrony demokratycznego głosu Parlamentu i Unii; </w:t>
      </w:r>
    </w:p>
    <w:p w:rsidR="005A1FAE" w:rsidRPr="00562587" w:rsidRDefault="005A1FAE" w:rsidP="005B61EB">
      <w:pPr>
        <w:widowControl/>
        <w:spacing w:after="240"/>
        <w:ind w:left="567" w:hanging="567"/>
        <w:rPr>
          <w:color w:val="000000"/>
        </w:rPr>
      </w:pPr>
      <w:r w:rsidRPr="00562587">
        <w:rPr>
          <w:color w:val="000000"/>
        </w:rPr>
        <w:t>14.</w:t>
      </w:r>
      <w:r w:rsidRPr="00562587">
        <w:rPr>
          <w:color w:val="000000"/>
        </w:rPr>
        <w:tab/>
      </w:r>
      <w:proofErr w:type="gramStart"/>
      <w:r w:rsidRPr="00562587">
        <w:rPr>
          <w:color w:val="000000"/>
        </w:rPr>
        <w:t>z</w:t>
      </w:r>
      <w:proofErr w:type="gramEnd"/>
      <w:r w:rsidRPr="00562587">
        <w:rPr>
          <w:color w:val="000000"/>
        </w:rPr>
        <w:t xml:space="preserve"> zadowoleniem przyjmuje inwestycje w sztuczną inteligencję (AI) w wysokości 1 mln EUR; wzywa do zwiększenia wykorzystania sztucznej inteligencji w celu podniesienia wydajności, przy jednoczesnym uwzględnieniu powiązanych zagrożeń, w tym związanych z etyką i ochroną danych; podkreśla potencjał sztucznej inteligencji w zakresie usprawnienia procesów administracyjnych; podkreśla, że wdrażanie sztucznej inteligencji musi równoważyć innowacje z niezbędnymi zabezpieczeniami; zauważa, że rozwój sztucznej inteligencji będzie ściśle monitorowany zgodnie z zasadami ustanowionymi przez Prezydium, które obejmują m.in. dogłębną ocenę ryzyka z wykorzystaniem nowych technologii; wzywa Sekretariat do jak najszybszego zapewnienia rozwiązań, takich jak aplikacje i narzędzia, które zostaną udostępnione posłom do PE i pracownikom;</w:t>
      </w:r>
    </w:p>
    <w:p w:rsidR="005A1FAE" w:rsidRPr="00562587" w:rsidRDefault="005A1FAE" w:rsidP="005B61EB">
      <w:pPr>
        <w:keepNext/>
        <w:widowControl/>
        <w:ind w:left="357" w:hanging="357"/>
        <w:rPr>
          <w:b/>
          <w:i/>
          <w:color w:val="000000"/>
        </w:rPr>
      </w:pPr>
      <w:r w:rsidRPr="00562587">
        <w:rPr>
          <w:b/>
          <w:i/>
          <w:color w:val="000000"/>
        </w:rPr>
        <w:t>Transformacja ekologiczna</w:t>
      </w:r>
    </w:p>
    <w:p w:rsidR="005A1FAE" w:rsidRPr="00562587" w:rsidRDefault="005A1FAE" w:rsidP="005B61EB">
      <w:pPr>
        <w:widowControl/>
        <w:ind w:left="567" w:hanging="567"/>
        <w:rPr>
          <w:color w:val="000000"/>
        </w:rPr>
      </w:pPr>
    </w:p>
    <w:p w:rsidR="005A1FAE" w:rsidRPr="00562587" w:rsidRDefault="005A1FAE" w:rsidP="005B61EB">
      <w:pPr>
        <w:widowControl/>
        <w:ind w:left="567" w:hanging="567"/>
        <w:rPr>
          <w:color w:val="000000"/>
        </w:rPr>
      </w:pPr>
      <w:r w:rsidRPr="00562587">
        <w:rPr>
          <w:color w:val="000000"/>
        </w:rPr>
        <w:t>15.</w:t>
      </w:r>
      <w:r w:rsidRPr="00562587">
        <w:rPr>
          <w:color w:val="000000"/>
        </w:rPr>
        <w:tab/>
      </w:r>
      <w:proofErr w:type="gramStart"/>
      <w:r w:rsidRPr="00562587">
        <w:rPr>
          <w:color w:val="000000"/>
        </w:rPr>
        <w:t>z</w:t>
      </w:r>
      <w:proofErr w:type="gramEnd"/>
      <w:r w:rsidRPr="00562587">
        <w:rPr>
          <w:color w:val="000000"/>
        </w:rPr>
        <w:t xml:space="preserve"> zadowoleniem przyjmuje cele systemu </w:t>
      </w:r>
      <w:proofErr w:type="spellStart"/>
      <w:r w:rsidRPr="00562587">
        <w:rPr>
          <w:color w:val="000000"/>
        </w:rPr>
        <w:t>ekozarządzania</w:t>
      </w:r>
      <w:proofErr w:type="spellEnd"/>
      <w:r w:rsidRPr="00562587">
        <w:rPr>
          <w:color w:val="000000"/>
        </w:rPr>
        <w:t xml:space="preserve"> (EMAS) Parlamentu na lata 2025-2029; przypomina, że inwestycje w efektywność energetyczną są dobrą metodą osiągania optymalnego stosunku wartości do ceny; odnotowuje budżet w wysokości 8,45 mln EUR na inwestycje w efektywność energetyczną i środowisko w preliminarzu na 2026 r. w celu dalszej poprawy efektywności środowiskowej budynków; zauważa, że oznacza to wzrost o 74 % w porównaniu z budżetem na 2025 r.; przyznaje jednak, że te działania na rzecz ochrony środowiska są częścią linii budżetowej „Budowa budynków i zagospodarowanie pomieszczeń służbowych” z 2007 r., której całkowita suma zmniejszyła się w 2026 r. o 3,7 mln EUR w porównaniu z 2025 r.;</w:t>
      </w:r>
    </w:p>
    <w:p w:rsidR="005A1FAE" w:rsidRPr="00562587" w:rsidRDefault="005A1FAE" w:rsidP="005B61EB">
      <w:pPr>
        <w:widowControl/>
        <w:ind w:left="567" w:hanging="567"/>
        <w:rPr>
          <w:color w:val="000000"/>
        </w:rPr>
      </w:pPr>
    </w:p>
    <w:p w:rsidR="005A1FAE" w:rsidRPr="00562587" w:rsidRDefault="005A1FAE" w:rsidP="005B61EB">
      <w:pPr>
        <w:widowControl/>
        <w:ind w:left="567" w:hanging="567"/>
        <w:rPr>
          <w:color w:val="000000"/>
        </w:rPr>
      </w:pPr>
      <w:r w:rsidRPr="00562587">
        <w:rPr>
          <w:color w:val="000000"/>
        </w:rPr>
        <w:t>16.</w:t>
      </w:r>
      <w:r w:rsidRPr="00562587">
        <w:rPr>
          <w:color w:val="000000"/>
        </w:rPr>
        <w:tab/>
      </w:r>
      <w:proofErr w:type="gramStart"/>
      <w:r w:rsidRPr="00562587">
        <w:rPr>
          <w:color w:val="000000"/>
        </w:rPr>
        <w:t>przypomina</w:t>
      </w:r>
      <w:proofErr w:type="gramEnd"/>
      <w:r w:rsidRPr="00562587">
        <w:rPr>
          <w:color w:val="000000"/>
        </w:rPr>
        <w:t>, że prawie dwie trzecie emisji dwutlenku węgla przez Parlament pochodzi z transportu osób; wzywa do rozsądnego ograniczenia liczby podróży na posiedzenia, które można skutecznie odbyć zdalnie lub w trybie hybrydowym, oraz do promowania przejścia na niskoemisyjne alternatywy w przypadku wszystkich pozostałych podróży, o ile nie ma to wpływu na jakość działalności legislacyjnej i politycznej;</w:t>
      </w:r>
    </w:p>
    <w:p w:rsidR="005A1FAE" w:rsidRPr="00562587" w:rsidRDefault="005A1FAE" w:rsidP="005B61EB">
      <w:pPr>
        <w:widowControl/>
        <w:ind w:left="567" w:hanging="567"/>
        <w:rPr>
          <w:color w:val="000000"/>
        </w:rPr>
      </w:pPr>
      <w:r w:rsidRPr="00562587">
        <w:rPr>
          <w:color w:val="000000"/>
        </w:rPr>
        <w:t xml:space="preserve"> </w:t>
      </w:r>
    </w:p>
    <w:p w:rsidR="005A1FAE" w:rsidRPr="00562587" w:rsidRDefault="005A1FAE" w:rsidP="005B61EB">
      <w:pPr>
        <w:widowControl/>
        <w:ind w:left="567" w:hanging="567"/>
        <w:rPr>
          <w:color w:val="000000"/>
        </w:rPr>
      </w:pPr>
      <w:r w:rsidRPr="00562587">
        <w:rPr>
          <w:color w:val="000000"/>
        </w:rPr>
        <w:t>17.</w:t>
      </w:r>
      <w:r w:rsidRPr="00562587">
        <w:rPr>
          <w:color w:val="000000"/>
        </w:rPr>
        <w:tab/>
      </w:r>
      <w:proofErr w:type="gramStart"/>
      <w:r w:rsidRPr="00562587">
        <w:rPr>
          <w:color w:val="000000"/>
        </w:rPr>
        <w:t>odnotowuje</w:t>
      </w:r>
      <w:proofErr w:type="gramEnd"/>
      <w:r w:rsidRPr="00562587">
        <w:rPr>
          <w:color w:val="000000"/>
        </w:rPr>
        <w:t xml:space="preserve"> przewidywany wzrost cen jednostek emisji dwutlenku węgla, które przy obecnych poziomach emisji wymagałyby szacunkowo 900 000 EUR na 2026 r.; wzywa administrację do dalszego zmniejszania, zgodnie z należytym zarządzaniem finansami, emisji Parlamentu zamiast kupowania jednostek emisji dwutlenku węgla; z zadowoleniem przyjmuje wprowadzenie od lipca 2025 r. zwiększonej oferty kolejowej na podróże służbowe do Strasburga, co stanowi pozytywny krok w kierunku zmniejszenia emisji CO2;</w:t>
      </w:r>
    </w:p>
    <w:p w:rsidR="005A1FAE" w:rsidRPr="00562587" w:rsidRDefault="005A1FAE" w:rsidP="005B61EB">
      <w:pPr>
        <w:widowControl/>
        <w:ind w:left="567" w:hanging="567"/>
        <w:rPr>
          <w:color w:val="000000"/>
        </w:rPr>
      </w:pPr>
    </w:p>
    <w:p w:rsidR="005A1FAE" w:rsidRPr="00562587" w:rsidRDefault="005A1FAE" w:rsidP="005B61EB">
      <w:pPr>
        <w:widowControl/>
        <w:spacing w:after="240"/>
        <w:ind w:left="567" w:hanging="567"/>
        <w:rPr>
          <w:color w:val="000000"/>
        </w:rPr>
      </w:pPr>
      <w:r w:rsidRPr="00562587">
        <w:rPr>
          <w:color w:val="000000"/>
        </w:rPr>
        <w:t>18.</w:t>
      </w:r>
      <w:r w:rsidRPr="00562587">
        <w:rPr>
          <w:color w:val="000000"/>
        </w:rPr>
        <w:tab/>
      </w:r>
      <w:proofErr w:type="gramStart"/>
      <w:r w:rsidRPr="00562587">
        <w:rPr>
          <w:color w:val="000000"/>
        </w:rPr>
        <w:t>odnotowuje</w:t>
      </w:r>
      <w:proofErr w:type="gramEnd"/>
      <w:r w:rsidRPr="00562587">
        <w:rPr>
          <w:color w:val="000000"/>
        </w:rPr>
        <w:t>, że Parlament zainstalował i nadal instaluje panele fotowoltaiczne, aby jeszcze bardziej zwiększyć udział energii ze źródeł odnawialnych produkowanej na miejscu, tak aby osiągnąć cel 25 %; odnotowuje odpowiedzi udzielone przez sekretarza generalnego w sprawie preliminarza dochodów i wydatków Parlamentu na rok budżetowy 2024 r., w których wskazano, że badanie dotyczące wykorzystania paneli fotowoltaicznych w budynkach w Strasburgu zostało przeprowadzone w 2022 i zakończone w 2023 r., a także że w 2024 r. przeprowadzone zostaną dalsze badania dotyczące wykonalnych rozwiązań, w szczególności dla budynku WEISS;</w:t>
      </w:r>
    </w:p>
    <w:p w:rsidR="005A1FAE" w:rsidRPr="00562587" w:rsidRDefault="005A1FAE" w:rsidP="005B61EB">
      <w:pPr>
        <w:rPr>
          <w:b/>
          <w:i/>
          <w:color w:val="000000"/>
        </w:rPr>
      </w:pPr>
      <w:r w:rsidRPr="00562587">
        <w:rPr>
          <w:b/>
          <w:i/>
          <w:color w:val="000000"/>
        </w:rPr>
        <w:t>Wielojęzyczność, komunikacja i dezinformacja</w:t>
      </w:r>
    </w:p>
    <w:p w:rsidR="005A1FAE" w:rsidRPr="00562587" w:rsidRDefault="005A1FAE" w:rsidP="005B61EB">
      <w:pPr>
        <w:widowControl/>
        <w:ind w:left="567" w:hanging="567"/>
        <w:rPr>
          <w:color w:val="000000"/>
        </w:rPr>
      </w:pPr>
    </w:p>
    <w:p w:rsidR="005A1FAE" w:rsidRPr="00562587" w:rsidRDefault="005A1FAE" w:rsidP="005B61EB">
      <w:pPr>
        <w:widowControl/>
        <w:ind w:left="567" w:hanging="567"/>
        <w:rPr>
          <w:color w:val="000000"/>
        </w:rPr>
      </w:pPr>
      <w:r w:rsidRPr="00562587">
        <w:rPr>
          <w:color w:val="000000"/>
        </w:rPr>
        <w:t>19.</w:t>
      </w:r>
      <w:r w:rsidRPr="00562587">
        <w:rPr>
          <w:color w:val="000000"/>
        </w:rPr>
        <w:tab/>
      </w:r>
      <w:proofErr w:type="gramStart"/>
      <w:r w:rsidRPr="00562587">
        <w:rPr>
          <w:color w:val="000000"/>
        </w:rPr>
        <w:t>podkreśla</w:t>
      </w:r>
      <w:proofErr w:type="gramEnd"/>
      <w:r w:rsidRPr="00562587">
        <w:rPr>
          <w:color w:val="000000"/>
        </w:rPr>
        <w:t>, że wielojęzyczność jest kluczową zasadą, na której opiera się praca Parlamentu; przyjmuje do wiadomości przegląd Kodeksu postępowania w kwestii wielojęzyczności zaplanowany na wiosnę 2025 r.; zwraca się do Parlamentu, aby w stosownych przypadkach wykorzystał istotne zmiany technologiczne w usługach związanych z wielojęzycznością, w tym rozwój i wykorzystanie sztucznej inteligencji; zwraca się do sekretarza generalnego o terminowe informowanie Komisji Budżetowej o wszelkich skutkach budżetowych wynikających z tego przeglądu;</w:t>
      </w:r>
    </w:p>
    <w:p w:rsidR="005A1FAE" w:rsidRPr="00562587" w:rsidRDefault="005A1FAE" w:rsidP="005B61EB">
      <w:pPr>
        <w:widowControl/>
        <w:ind w:left="567" w:hanging="567"/>
        <w:rPr>
          <w:color w:val="000000"/>
        </w:rPr>
      </w:pPr>
    </w:p>
    <w:p w:rsidR="005A1FAE" w:rsidRPr="00562587" w:rsidRDefault="005A1FAE" w:rsidP="005B61EB">
      <w:pPr>
        <w:widowControl/>
        <w:ind w:left="567" w:hanging="567"/>
        <w:rPr>
          <w:color w:val="000000"/>
        </w:rPr>
      </w:pPr>
      <w:r w:rsidRPr="00562587">
        <w:rPr>
          <w:color w:val="000000"/>
        </w:rPr>
        <w:t>20.</w:t>
      </w:r>
      <w:r w:rsidRPr="00562587">
        <w:rPr>
          <w:color w:val="000000"/>
        </w:rPr>
        <w:tab/>
      </w:r>
      <w:proofErr w:type="gramStart"/>
      <w:r w:rsidRPr="00562587">
        <w:rPr>
          <w:color w:val="000000"/>
        </w:rPr>
        <w:t>podkreśla</w:t>
      </w:r>
      <w:proofErr w:type="gramEnd"/>
      <w:r w:rsidRPr="00562587">
        <w:rPr>
          <w:color w:val="000000"/>
        </w:rPr>
        <w:t xml:space="preserve"> rolę biur kontaktowych Parlamentu Europejskiego w przeciwdziałaniu obcym ingerencjom i dezinformacji; w związku z tym odnotowuje działania biur kontaktowych PE aktywnie promujących pracę Parlamentu w ich językach lokalnych za pośrednictwem wielu kanałów; podkreśla rolę biur kontaktowych PE w Zjednoczonym Królestwie jako głównego punktu kontaktowego dla obywateli Unii mieszkających w Zjednoczonym Królestwie, przekazującego im informacje na temat Parlamentu i zachęcającego ich do głosowania w wyborach europejskich; zwraca się do Prezydium o rozszerzenie produkcji i rozpowszechniania materiałów komunikacyjnych w sposób dostępny i sprzyjający włączeniu społecznemu;</w:t>
      </w:r>
    </w:p>
    <w:p w:rsidR="005A1FAE" w:rsidRPr="00562587" w:rsidRDefault="005A1FAE" w:rsidP="005B61EB">
      <w:pPr>
        <w:widowControl/>
        <w:ind w:left="567" w:hanging="567"/>
        <w:rPr>
          <w:color w:val="000000"/>
        </w:rPr>
      </w:pPr>
    </w:p>
    <w:p w:rsidR="005A1FAE" w:rsidRPr="00562587" w:rsidRDefault="005A1FAE" w:rsidP="005B61EB">
      <w:pPr>
        <w:widowControl/>
        <w:ind w:left="567" w:hanging="567"/>
        <w:rPr>
          <w:color w:val="000000"/>
        </w:rPr>
      </w:pPr>
      <w:r w:rsidRPr="00562587">
        <w:rPr>
          <w:color w:val="000000"/>
        </w:rPr>
        <w:t>21.</w:t>
      </w:r>
      <w:r w:rsidRPr="00562587">
        <w:rPr>
          <w:color w:val="000000"/>
        </w:rPr>
        <w:tab/>
      </w:r>
      <w:proofErr w:type="gramStart"/>
      <w:r w:rsidRPr="00562587">
        <w:rPr>
          <w:color w:val="000000"/>
        </w:rPr>
        <w:t>podkreśla</w:t>
      </w:r>
      <w:proofErr w:type="gramEnd"/>
      <w:r w:rsidRPr="00562587">
        <w:rPr>
          <w:color w:val="000000"/>
        </w:rPr>
        <w:t xml:space="preserve"> niski wskaźnik udziału młodych ludzi w ostatnich wyborach europejskich w niektórych regionach Unii oraz rolę Parlamentu we wzmacnianiu edukacji obywatelskiej UE;</w:t>
      </w:r>
    </w:p>
    <w:p w:rsidR="005A1FAE" w:rsidRPr="00562587" w:rsidRDefault="005A1FAE" w:rsidP="005B61EB">
      <w:pPr>
        <w:widowControl/>
        <w:ind w:left="567" w:hanging="567"/>
        <w:rPr>
          <w:color w:val="000000"/>
        </w:rPr>
      </w:pPr>
    </w:p>
    <w:p w:rsidR="005A1FAE" w:rsidRPr="00562587" w:rsidRDefault="005A1FAE" w:rsidP="005B61EB">
      <w:pPr>
        <w:widowControl/>
        <w:ind w:left="567" w:hanging="567"/>
        <w:rPr>
          <w:color w:val="000000"/>
        </w:rPr>
      </w:pPr>
      <w:r w:rsidRPr="00562587">
        <w:rPr>
          <w:color w:val="000000"/>
        </w:rPr>
        <w:t>22.</w:t>
      </w:r>
      <w:r w:rsidRPr="00562587">
        <w:rPr>
          <w:color w:val="000000"/>
        </w:rPr>
        <w:tab/>
      </w:r>
      <w:proofErr w:type="gramStart"/>
      <w:r w:rsidRPr="00562587">
        <w:rPr>
          <w:color w:val="000000"/>
        </w:rPr>
        <w:t>przypomina</w:t>
      </w:r>
      <w:proofErr w:type="gramEnd"/>
      <w:r w:rsidRPr="00562587">
        <w:rPr>
          <w:color w:val="000000"/>
        </w:rPr>
        <w:t xml:space="preserve"> o znaczeniu programu Parlamentu Europejskiego „Szkoła-Ambasador” dla promowania aktywnego zaangażowania młodych Europejczyków oraz programu </w:t>
      </w:r>
      <w:r w:rsidRPr="00562587">
        <w:rPr>
          <w:color w:val="000000"/>
        </w:rPr>
        <w:lastRenderedPageBreak/>
        <w:t xml:space="preserve">szkoleniowego dla młodych dziennikarzy nazwanego na cześć Davida </w:t>
      </w:r>
      <w:proofErr w:type="spellStart"/>
      <w:r w:rsidRPr="00562587">
        <w:rPr>
          <w:color w:val="000000"/>
        </w:rPr>
        <w:t>Sassolego</w:t>
      </w:r>
      <w:proofErr w:type="spellEnd"/>
      <w:r w:rsidRPr="00562587">
        <w:rPr>
          <w:color w:val="000000"/>
        </w:rPr>
        <w:t xml:space="preserve"> w celu zwiększenia zrozumienia Unii i jej funkcjonowania wśród dziennikarzy, jako najlepszego antidotum na dezinformację, w świetle ostatnich tendencji wskazujących na niepokojący spadek wolności i niezależności mediów w całej Unii;</w:t>
      </w:r>
    </w:p>
    <w:p w:rsidR="005A1FAE" w:rsidRPr="00562587" w:rsidRDefault="005A1FAE" w:rsidP="005B61EB">
      <w:pPr>
        <w:widowControl/>
        <w:ind w:left="567" w:hanging="567"/>
        <w:rPr>
          <w:color w:val="000000"/>
        </w:rPr>
      </w:pPr>
    </w:p>
    <w:p w:rsidR="005A1FAE" w:rsidRPr="00562587" w:rsidRDefault="005A1FAE" w:rsidP="005B61EB">
      <w:pPr>
        <w:widowControl/>
        <w:ind w:left="567" w:hanging="567"/>
        <w:rPr>
          <w:color w:val="000000"/>
        </w:rPr>
      </w:pPr>
      <w:r w:rsidRPr="00562587">
        <w:rPr>
          <w:color w:val="000000"/>
        </w:rPr>
        <w:t>23.</w:t>
      </w:r>
      <w:r w:rsidRPr="00562587">
        <w:rPr>
          <w:color w:val="000000"/>
        </w:rPr>
        <w:tab/>
      </w:r>
      <w:proofErr w:type="gramStart"/>
      <w:r w:rsidRPr="00562587">
        <w:rPr>
          <w:color w:val="000000"/>
        </w:rPr>
        <w:t>uznaje</w:t>
      </w:r>
      <w:proofErr w:type="gramEnd"/>
      <w:r w:rsidRPr="00562587">
        <w:rPr>
          <w:color w:val="000000"/>
        </w:rPr>
        <w:t xml:space="preserve"> znaczenie grup odwiedzających jako ważnego narzędzia łączącego obywateli z pracą posłów; w związku z tym z zadowoleniem przyjmuje podwyższenie pułapów i wskaźników kosztowych na potrzeby obliczania wkładu finansowego dla zaproszonych odwiedzających od 1 stycznia 2025 r.;</w:t>
      </w:r>
      <w:r w:rsidRPr="00562587">
        <w:t xml:space="preserve"> </w:t>
      </w:r>
      <w:r w:rsidRPr="00562587">
        <w:rPr>
          <w:color w:val="000000"/>
        </w:rPr>
        <w:t>zwraca się do Prezydium o ocenę wpływu zmienionych przepisów dotyczących grup odwiedzających w odniesieniu do kosztów podróży, z uwzględnieniem wahań rynkowych, oraz o unikanie pośredniej dyskryminacji geograficznej odwiedzających; zauważa, że w przeszłości posłowie nie wykorzystywali około 15 % limitu odwiedzających; wzywa sekretarza generalnego do zaproponowania Prezydium udostępnienia niewykorzystanego limitu zainteresowanym posłom; zauważa, że budżet przeznaczony na grupy odwiedzających stanowi 22 % całkowitego budżetu Dyrekcji Generalnej ds. Komunikacji;</w:t>
      </w:r>
    </w:p>
    <w:p w:rsidR="005A1FAE" w:rsidRPr="00562587" w:rsidRDefault="005A1FAE" w:rsidP="005B61EB">
      <w:pPr>
        <w:widowControl/>
        <w:ind w:left="567" w:hanging="567"/>
        <w:rPr>
          <w:color w:val="000000"/>
        </w:rPr>
      </w:pPr>
    </w:p>
    <w:p w:rsidR="005A1FAE" w:rsidRPr="00562587" w:rsidRDefault="005A1FAE" w:rsidP="005B61EB">
      <w:pPr>
        <w:widowControl/>
        <w:spacing w:after="240"/>
        <w:ind w:left="567" w:hanging="567"/>
        <w:rPr>
          <w:color w:val="000000"/>
        </w:rPr>
      </w:pPr>
      <w:r w:rsidRPr="00562587">
        <w:rPr>
          <w:color w:val="000000"/>
        </w:rPr>
        <w:t>24.</w:t>
      </w:r>
      <w:r w:rsidRPr="00562587">
        <w:rPr>
          <w:color w:val="000000"/>
        </w:rPr>
        <w:tab/>
      </w:r>
      <w:proofErr w:type="gramStart"/>
      <w:r w:rsidRPr="00562587">
        <w:rPr>
          <w:color w:val="000000"/>
        </w:rPr>
        <w:t>z</w:t>
      </w:r>
      <w:proofErr w:type="gramEnd"/>
      <w:r w:rsidRPr="00562587">
        <w:rPr>
          <w:color w:val="000000"/>
        </w:rPr>
        <w:t xml:space="preserve"> zaniepokojeniem odnotowuje przepisy wewnętrzne dotyczące grup odwiedzających posłów do PE, ponieważ zgodnie z tymi przepisami w pewnych okolicznościach 30 % kosztów początkowych muszą ponosić akredytowani asystenci parlamentarni; zwraca uwagę na niewykonalność tych przepisów w praktyce i na obciążenie finansowe, jakie stanowią one dla akredytowanych asystentów parlamentarnych; przyjmuje do wiadomości odpowiedzi udzielone przez sekretarza generalnego w sprawie preliminarza dochodów i wydatków Parlamentu na rok budżetowy 2024 w odniesieniu do uzasadnienia podejścia dwuetapowego; rozumie uzasadnienie, ale podkreśla rosnące wyzwania dla akredytowanych asystentów parlamentarnych, w szczególności obliczu ciągłych zmian w kierunku bardziej rygorystycznych przepisów;</w:t>
      </w:r>
    </w:p>
    <w:p w:rsidR="005A1FAE" w:rsidRPr="00562587" w:rsidRDefault="005A1FAE" w:rsidP="005B61EB">
      <w:pPr>
        <w:widowControl/>
        <w:spacing w:after="240"/>
        <w:ind w:left="567" w:hanging="567"/>
        <w:rPr>
          <w:color w:val="000000"/>
        </w:rPr>
      </w:pPr>
      <w:r w:rsidRPr="00562587">
        <w:rPr>
          <w:color w:val="000000"/>
        </w:rPr>
        <w:t>25.</w:t>
      </w:r>
      <w:r w:rsidRPr="00562587">
        <w:rPr>
          <w:color w:val="000000"/>
        </w:rPr>
        <w:tab/>
      </w:r>
      <w:proofErr w:type="gramStart"/>
      <w:r w:rsidRPr="00562587">
        <w:rPr>
          <w:color w:val="000000"/>
        </w:rPr>
        <w:t>podkreśla</w:t>
      </w:r>
      <w:proofErr w:type="gramEnd"/>
      <w:r w:rsidRPr="00562587">
        <w:rPr>
          <w:color w:val="000000"/>
        </w:rPr>
        <w:t xml:space="preserve"> coraz trudniejszy krajobraz komunikacji i wielorakie sposoby prowadzenia komunikacji politycznej, w tym poprzez angażowanie się w różne platformy mediów społecznościowych i inne media; podkreśla, że grupy polityczne muszą przekazywać i komunikować swoje przesłanie we wszystkich państwach członkowskich jako kluczową zasadę dobrze funkcjonującej demokracji europejskiej;</w:t>
      </w:r>
    </w:p>
    <w:p w:rsidR="005A1FAE" w:rsidRPr="00562587" w:rsidRDefault="005A1FAE" w:rsidP="005B61EB">
      <w:pPr>
        <w:rPr>
          <w:b/>
          <w:i/>
          <w:color w:val="000000"/>
        </w:rPr>
      </w:pPr>
      <w:r w:rsidRPr="00562587">
        <w:rPr>
          <w:b/>
          <w:i/>
          <w:color w:val="000000"/>
        </w:rPr>
        <w:t>Infrastruktura</w:t>
      </w:r>
    </w:p>
    <w:p w:rsidR="005A1FAE" w:rsidRPr="00562587" w:rsidRDefault="005A1FAE" w:rsidP="005B61EB">
      <w:pPr>
        <w:widowControl/>
        <w:ind w:left="567" w:hanging="567"/>
        <w:rPr>
          <w:color w:val="000000"/>
        </w:rPr>
      </w:pPr>
      <w:r w:rsidRPr="00562587">
        <w:rPr>
          <w:color w:val="000000"/>
        </w:rPr>
        <w:t xml:space="preserve"> </w:t>
      </w:r>
    </w:p>
    <w:p w:rsidR="005A1FAE" w:rsidRPr="00562587" w:rsidRDefault="005A1FAE" w:rsidP="005B61EB">
      <w:pPr>
        <w:widowControl/>
        <w:ind w:left="567" w:hanging="567"/>
        <w:rPr>
          <w:color w:val="000000"/>
        </w:rPr>
      </w:pPr>
      <w:r w:rsidRPr="00562587">
        <w:rPr>
          <w:color w:val="000000"/>
        </w:rPr>
        <w:t>26.</w:t>
      </w:r>
      <w:r w:rsidRPr="00562587">
        <w:rPr>
          <w:color w:val="000000"/>
        </w:rPr>
        <w:tab/>
      </w:r>
      <w:proofErr w:type="gramStart"/>
      <w:r w:rsidRPr="00562587">
        <w:rPr>
          <w:color w:val="000000"/>
        </w:rPr>
        <w:t>odnotowuje</w:t>
      </w:r>
      <w:proofErr w:type="gramEnd"/>
      <w:r w:rsidRPr="00562587">
        <w:rPr>
          <w:color w:val="000000"/>
        </w:rPr>
        <w:t xml:space="preserve"> nowe podejście związane z budynkami, gdzie po okresie zakupów Parlament wkroczył w erę konsolidacji budynków, biorąc pod uwagę zrównoważony rozwój, dostępność i mobilność posłów oraz pracowników;</w:t>
      </w:r>
    </w:p>
    <w:p w:rsidR="005A1FAE" w:rsidRPr="00562587" w:rsidRDefault="005A1FAE" w:rsidP="005B61EB">
      <w:pPr>
        <w:widowControl/>
        <w:ind w:left="567" w:hanging="567"/>
        <w:rPr>
          <w:color w:val="000000"/>
        </w:rPr>
      </w:pPr>
    </w:p>
    <w:p w:rsidR="005A1FAE" w:rsidRPr="00562587" w:rsidRDefault="005A1FAE" w:rsidP="005B61EB">
      <w:pPr>
        <w:widowControl/>
        <w:ind w:left="567" w:hanging="567"/>
        <w:rPr>
          <w:color w:val="000000"/>
        </w:rPr>
      </w:pPr>
      <w:r w:rsidRPr="00562587">
        <w:rPr>
          <w:color w:val="000000"/>
        </w:rPr>
        <w:t>27.</w:t>
      </w:r>
      <w:r w:rsidRPr="00562587">
        <w:rPr>
          <w:color w:val="000000"/>
        </w:rPr>
        <w:tab/>
      </w:r>
      <w:proofErr w:type="gramStart"/>
      <w:r w:rsidRPr="00562587">
        <w:rPr>
          <w:color w:val="000000"/>
        </w:rPr>
        <w:t>zauważa</w:t>
      </w:r>
      <w:proofErr w:type="gramEnd"/>
      <w:r w:rsidRPr="00562587">
        <w:rPr>
          <w:color w:val="000000"/>
        </w:rPr>
        <w:t xml:space="preserve">, że w preliminarzu na 2026 r. uwzględniono 4 mln EUR na badania i prace przygotowawcze wykonawcy związane z renowacją budynku SPAAK, podczas gdy ogólne koszty szacuje się na 36 mln EUR; zauważa w związku z tym, że w preliminarzu na 2026 r. nie uwzględniono 32 mln EUR kosztów związanych z renowacją budynku SPAAK; zauważa, że sekretarz generalny zamierza pokryć te koszty przez przesunięcie zbiorcze lub wykorzystanie pożyczki; zwraca się do sekretarza generalnego o jak najszybsze przekazanie Komisji Budżetowej szczegółowych informacji na temat ewentualnej pożyczki na pokrycie tych kosztów, zgodnie z art. 272 ust. 6 rozporządzenia finansowego, a także pełnego planu prac, w tym planu kosztów; nalega, </w:t>
      </w:r>
      <w:proofErr w:type="gramStart"/>
      <w:r w:rsidRPr="00562587">
        <w:rPr>
          <w:color w:val="000000"/>
        </w:rPr>
        <w:t>aby</w:t>
      </w:r>
      <w:proofErr w:type="gramEnd"/>
      <w:r w:rsidRPr="00562587">
        <w:rPr>
          <w:color w:val="000000"/>
        </w:rPr>
        <w:t xml:space="preserve"> koszty niezwiązane bezpośrednio z pracami remontowymi były również jasno </w:t>
      </w:r>
      <w:r w:rsidRPr="00562587">
        <w:rPr>
          <w:color w:val="000000"/>
        </w:rPr>
        <w:lastRenderedPageBreak/>
        <w:t>wyszczególnione i ujęte w budżecie; zauważa, że według stanu na grudzień 2024 r. koszty bezpośrednie projektu SPAAK wynoszą 14,12 mln EUR;</w:t>
      </w:r>
    </w:p>
    <w:p w:rsidR="005A1FAE" w:rsidRPr="00562587" w:rsidRDefault="005A1FAE" w:rsidP="005B61EB">
      <w:pPr>
        <w:widowControl/>
        <w:ind w:left="567" w:hanging="567"/>
        <w:rPr>
          <w:color w:val="000000"/>
        </w:rPr>
      </w:pPr>
    </w:p>
    <w:p w:rsidR="005A1FAE" w:rsidRPr="00562587" w:rsidRDefault="005A1FAE" w:rsidP="005B61EB">
      <w:pPr>
        <w:widowControl/>
        <w:ind w:left="567" w:hanging="567"/>
        <w:rPr>
          <w:color w:val="000000"/>
        </w:rPr>
      </w:pPr>
      <w:r w:rsidRPr="00562587">
        <w:rPr>
          <w:color w:val="000000"/>
        </w:rPr>
        <w:t>28.</w:t>
      </w:r>
      <w:r w:rsidRPr="00562587">
        <w:rPr>
          <w:color w:val="000000"/>
        </w:rPr>
        <w:tab/>
      </w:r>
      <w:proofErr w:type="gramStart"/>
      <w:r w:rsidRPr="00562587">
        <w:rPr>
          <w:color w:val="000000"/>
        </w:rPr>
        <w:t>z</w:t>
      </w:r>
      <w:proofErr w:type="gramEnd"/>
      <w:r w:rsidRPr="00562587">
        <w:rPr>
          <w:color w:val="000000"/>
        </w:rPr>
        <w:t xml:space="preserve"> zadowoleniem przyjmuje projekt pilotażowy DG INLO mający na celu usunięcie </w:t>
      </w:r>
      <w:proofErr w:type="spellStart"/>
      <w:r w:rsidRPr="00562587">
        <w:rPr>
          <w:color w:val="000000"/>
        </w:rPr>
        <w:t>legionelli</w:t>
      </w:r>
      <w:proofErr w:type="spellEnd"/>
      <w:r w:rsidRPr="00562587">
        <w:rPr>
          <w:color w:val="000000"/>
        </w:rPr>
        <w:t xml:space="preserve"> z systemu sanitarnego instalacji wodociągowej Parlamentu i podkreśla, że jedynym skutecznym sposobem walki z dalszym rozprzestrzenianiem się </w:t>
      </w:r>
      <w:proofErr w:type="spellStart"/>
      <w:r w:rsidRPr="00562587">
        <w:rPr>
          <w:color w:val="000000"/>
        </w:rPr>
        <w:t>legionelli</w:t>
      </w:r>
      <w:proofErr w:type="spellEnd"/>
      <w:r w:rsidRPr="00562587">
        <w:rPr>
          <w:color w:val="000000"/>
        </w:rPr>
        <w:t xml:space="preserve"> jest doprowadzenie temperatury wody wewnątrz rur do 55 °C przez ograniczony czas;</w:t>
      </w:r>
    </w:p>
    <w:p w:rsidR="005A1FAE" w:rsidRPr="00562587" w:rsidRDefault="005A1FAE" w:rsidP="005B61EB">
      <w:pPr>
        <w:widowControl/>
        <w:ind w:left="567" w:hanging="567"/>
        <w:rPr>
          <w:color w:val="000000"/>
        </w:rPr>
      </w:pPr>
      <w:bookmarkStart w:id="8" w:name="_heading=h.30j0zll"/>
      <w:bookmarkEnd w:id="8"/>
    </w:p>
    <w:p w:rsidR="005A1FAE" w:rsidRPr="00562587" w:rsidRDefault="005A1FAE" w:rsidP="005B61EB">
      <w:pPr>
        <w:widowControl/>
        <w:ind w:left="567" w:hanging="567"/>
        <w:rPr>
          <w:color w:val="000000"/>
        </w:rPr>
      </w:pPr>
      <w:r w:rsidRPr="00562587">
        <w:rPr>
          <w:color w:val="000000"/>
        </w:rPr>
        <w:t>29.</w:t>
      </w:r>
      <w:r w:rsidRPr="00562587">
        <w:rPr>
          <w:color w:val="000000"/>
        </w:rPr>
        <w:tab/>
      </w:r>
      <w:proofErr w:type="gramStart"/>
      <w:r w:rsidRPr="00562587">
        <w:rPr>
          <w:color w:val="000000"/>
        </w:rPr>
        <w:t>zauważa</w:t>
      </w:r>
      <w:proofErr w:type="gramEnd"/>
      <w:r w:rsidRPr="00562587">
        <w:rPr>
          <w:color w:val="000000"/>
        </w:rPr>
        <w:t xml:space="preserve">, że w 2026 r. planowane jest zainwestowanie 11,45 mln EUR w centra Europa </w:t>
      </w:r>
      <w:proofErr w:type="spellStart"/>
      <w:r w:rsidRPr="00562587">
        <w:rPr>
          <w:color w:val="000000"/>
        </w:rPr>
        <w:t>Experience</w:t>
      </w:r>
      <w:proofErr w:type="spellEnd"/>
      <w:r w:rsidRPr="00562587">
        <w:rPr>
          <w:color w:val="000000"/>
        </w:rPr>
        <w:t xml:space="preserve">; przyjmuje do wiadomości decyzję Prezydium z listopada 2024 r. o zmianie koncepcji Europa </w:t>
      </w:r>
      <w:proofErr w:type="spellStart"/>
      <w:r w:rsidRPr="00562587">
        <w:rPr>
          <w:color w:val="000000"/>
        </w:rPr>
        <w:t>Experience</w:t>
      </w:r>
      <w:proofErr w:type="spellEnd"/>
      <w:r w:rsidRPr="00562587">
        <w:rPr>
          <w:color w:val="000000"/>
        </w:rPr>
        <w:t xml:space="preserve"> i oczekuje, że zmieniona koncepcja będzie bardziej opłacalna i atrakcyjna dla odwiedzających; ubolewa, że nadal nie ma centrów Europa </w:t>
      </w:r>
      <w:proofErr w:type="spellStart"/>
      <w:r w:rsidRPr="00562587">
        <w:rPr>
          <w:color w:val="000000"/>
        </w:rPr>
        <w:t>Experience</w:t>
      </w:r>
      <w:proofErr w:type="spellEnd"/>
      <w:r w:rsidRPr="00562587">
        <w:rPr>
          <w:color w:val="000000"/>
        </w:rPr>
        <w:t xml:space="preserve"> w Bukareszcie, Rydze, Madrycie, Lizbonie, Nikozji, Valletcie lub Wilnie; wzywa do utworzenia centrów Europa </w:t>
      </w:r>
      <w:proofErr w:type="spellStart"/>
      <w:r w:rsidRPr="00562587">
        <w:rPr>
          <w:color w:val="000000"/>
        </w:rPr>
        <w:t>Experience</w:t>
      </w:r>
      <w:proofErr w:type="spellEnd"/>
      <w:r w:rsidRPr="00562587">
        <w:rPr>
          <w:color w:val="000000"/>
        </w:rPr>
        <w:t xml:space="preserve"> we wszystkich państwach członkowskich niezwłocznie po ustanowieniu zmienionej koncepcji; przypomina, że centra Europa </w:t>
      </w:r>
      <w:proofErr w:type="spellStart"/>
      <w:r w:rsidRPr="00562587">
        <w:rPr>
          <w:color w:val="000000"/>
        </w:rPr>
        <w:t>Experience</w:t>
      </w:r>
      <w:proofErr w:type="spellEnd"/>
      <w:r w:rsidRPr="00562587">
        <w:rPr>
          <w:color w:val="000000"/>
        </w:rPr>
        <w:t xml:space="preserve"> powinny umożliwić wszystkim obywatelom lepsze zrozumienie funkcjonowania Unii i nauczać o naszych wspólnych wartościach; przypomina w związku z tym, że centra Europa </w:t>
      </w:r>
      <w:proofErr w:type="spellStart"/>
      <w:r w:rsidRPr="00562587">
        <w:rPr>
          <w:color w:val="000000"/>
        </w:rPr>
        <w:t>Experience</w:t>
      </w:r>
      <w:proofErr w:type="spellEnd"/>
      <w:r w:rsidRPr="00562587">
        <w:rPr>
          <w:color w:val="000000"/>
        </w:rPr>
        <w:t xml:space="preserve"> stanowią integralną </w:t>
      </w:r>
      <w:proofErr w:type="gramStart"/>
      <w:r w:rsidRPr="00562587">
        <w:rPr>
          <w:color w:val="000000"/>
        </w:rPr>
        <w:t>część</w:t>
      </w:r>
      <w:proofErr w:type="gramEnd"/>
      <w:r w:rsidRPr="00562587">
        <w:rPr>
          <w:color w:val="000000"/>
        </w:rPr>
        <w:t xml:space="preserve"> stałego zaangażowania Parlamentu w kontakty z obywatelami Unii;</w:t>
      </w:r>
    </w:p>
    <w:p w:rsidR="005A1FAE" w:rsidRPr="00562587" w:rsidRDefault="005A1FAE" w:rsidP="005B61EB">
      <w:pPr>
        <w:widowControl/>
        <w:ind w:left="567" w:hanging="567"/>
        <w:rPr>
          <w:color w:val="000000"/>
        </w:rPr>
      </w:pPr>
    </w:p>
    <w:p w:rsidR="005A1FAE" w:rsidRPr="00562587" w:rsidRDefault="005A1FAE" w:rsidP="005B61EB">
      <w:pPr>
        <w:widowControl/>
        <w:ind w:left="567" w:hanging="567"/>
        <w:rPr>
          <w:color w:val="000000"/>
        </w:rPr>
      </w:pPr>
      <w:r w:rsidRPr="00562587">
        <w:rPr>
          <w:color w:val="000000"/>
        </w:rPr>
        <w:t>30.</w:t>
      </w:r>
      <w:r w:rsidRPr="00562587">
        <w:rPr>
          <w:color w:val="000000"/>
        </w:rPr>
        <w:tab/>
      </w:r>
      <w:proofErr w:type="gramStart"/>
      <w:r w:rsidRPr="00562587">
        <w:rPr>
          <w:color w:val="000000"/>
        </w:rPr>
        <w:t>zauważa</w:t>
      </w:r>
      <w:proofErr w:type="gramEnd"/>
      <w:r w:rsidRPr="00562587">
        <w:rPr>
          <w:color w:val="000000"/>
        </w:rPr>
        <w:t>, że nie jest potrzebne dodatkowe finansowanie na otwarcie biur Parlamentu w Mołdawii i na Bałkanach Zachodnich, ponieważ biura te zostaną utworzone w budynkach ESDZ; podkreśla znaczenie obecności Parlamentu w tych krajach jako oznaki europejskiej solidarności i zaangażowania Parlamentu w proces akcesyjny;</w:t>
      </w:r>
    </w:p>
    <w:p w:rsidR="005A1FAE" w:rsidRPr="00562587" w:rsidRDefault="005A1FAE" w:rsidP="005B61EB">
      <w:pPr>
        <w:widowControl/>
        <w:ind w:left="567" w:hanging="567"/>
        <w:rPr>
          <w:color w:val="000000"/>
        </w:rPr>
      </w:pPr>
      <w:r w:rsidRPr="00562587">
        <w:rPr>
          <w:color w:val="000000"/>
        </w:rPr>
        <w:t xml:space="preserve"> </w:t>
      </w:r>
    </w:p>
    <w:p w:rsidR="005A1FAE" w:rsidRPr="00562587" w:rsidRDefault="005A1FAE" w:rsidP="005B61EB">
      <w:pPr>
        <w:widowControl/>
        <w:ind w:left="567" w:hanging="567"/>
        <w:rPr>
          <w:color w:val="000000"/>
        </w:rPr>
      </w:pPr>
      <w:r w:rsidRPr="00562587">
        <w:rPr>
          <w:color w:val="000000"/>
        </w:rPr>
        <w:t>31.</w:t>
      </w:r>
      <w:r w:rsidRPr="00562587">
        <w:rPr>
          <w:color w:val="000000"/>
        </w:rPr>
        <w:tab/>
      </w:r>
      <w:proofErr w:type="gramStart"/>
      <w:r w:rsidRPr="00562587">
        <w:rPr>
          <w:color w:val="000000"/>
        </w:rPr>
        <w:t>odnotowuje</w:t>
      </w:r>
      <w:proofErr w:type="gramEnd"/>
      <w:r w:rsidRPr="00562587">
        <w:rPr>
          <w:color w:val="000000"/>
        </w:rPr>
        <w:t xml:space="preserve"> wcześniejsze rozwiązanie umowy z poprzednim operatorem żłobka </w:t>
      </w:r>
      <w:proofErr w:type="spellStart"/>
      <w:r w:rsidRPr="00562587">
        <w:rPr>
          <w:color w:val="000000"/>
        </w:rPr>
        <w:t>Wayenberg</w:t>
      </w:r>
      <w:proofErr w:type="spellEnd"/>
      <w:r w:rsidRPr="00562587">
        <w:rPr>
          <w:color w:val="000000"/>
        </w:rPr>
        <w:t xml:space="preserve"> po szeregu poważnych zarzutów wobec usługodawcy; z zadowoleniem przyjmuje porozumienie z nowym usługodawcą, które przewiduje lepsze warunki pracy personelu żłobka i lepszą jakość usług dla dzieci; przyznaje jednak, że skutkuje to zwiększeniem budżetu niezbędnego na ten cel, ale podkreśla, że godne warunki pracy dla pracowników zewnętrznych powinny, w stosownych przypadkach, być co do zasady priorytetem w zamówieniach publicznych Parlamentu;</w:t>
      </w:r>
    </w:p>
    <w:p w:rsidR="005A1FAE" w:rsidRPr="00562587" w:rsidRDefault="005A1FAE" w:rsidP="005B61EB">
      <w:pPr>
        <w:widowControl/>
        <w:ind w:left="567" w:hanging="567"/>
        <w:rPr>
          <w:color w:val="000000"/>
        </w:rPr>
      </w:pPr>
    </w:p>
    <w:p w:rsidR="005A1FAE" w:rsidRPr="00562587" w:rsidRDefault="005A1FAE" w:rsidP="005B61EB">
      <w:pPr>
        <w:widowControl/>
        <w:spacing w:after="240"/>
        <w:ind w:left="567" w:hanging="567"/>
        <w:rPr>
          <w:color w:val="000000"/>
        </w:rPr>
      </w:pPr>
      <w:r w:rsidRPr="00562587">
        <w:rPr>
          <w:color w:val="000000"/>
        </w:rPr>
        <w:t>32.</w:t>
      </w:r>
      <w:r w:rsidRPr="00562587">
        <w:rPr>
          <w:color w:val="000000"/>
        </w:rPr>
        <w:tab/>
      </w:r>
      <w:proofErr w:type="gramStart"/>
      <w:r w:rsidRPr="00562587">
        <w:rPr>
          <w:color w:val="000000"/>
        </w:rPr>
        <w:t>ponownie</w:t>
      </w:r>
      <w:proofErr w:type="gramEnd"/>
      <w:r w:rsidRPr="00562587">
        <w:rPr>
          <w:color w:val="000000"/>
        </w:rPr>
        <w:t xml:space="preserve"> podkreśla potrzebę wysokiej jakości pomieszczeń do karmienia niemowląt w budynkach Parlamentu i wzywa właściwe służby do modernizacji obecnej infrastruktury pod względem wyposażenia, przestrzeni i dostępności, tak aby były one przyjazne dla dzieci; wzywa do przeprowadzenia oceny skutków w odniesieniu do potrzeby utworzenia sali rodzinnej w budynkach siedziby Parlamentu w Brukseli dla dzieci posłów nieposiadających stałego miejsca zamieszkania w Brukseli, na wzór rozwiązania zastosowanego w Strasburgu;</w:t>
      </w:r>
    </w:p>
    <w:p w:rsidR="005A1FAE" w:rsidRPr="00562587" w:rsidRDefault="005A1FAE" w:rsidP="005B61EB">
      <w:pPr>
        <w:spacing w:after="240"/>
        <w:rPr>
          <w:b/>
          <w:i/>
          <w:color w:val="000000"/>
        </w:rPr>
      </w:pPr>
      <w:r w:rsidRPr="00562587">
        <w:rPr>
          <w:b/>
          <w:i/>
          <w:color w:val="000000"/>
        </w:rPr>
        <w:t>Pozostałe kwestie</w:t>
      </w:r>
    </w:p>
    <w:p w:rsidR="005A1FAE" w:rsidRPr="00562587" w:rsidRDefault="005A1FAE" w:rsidP="005B61EB">
      <w:pPr>
        <w:spacing w:after="240"/>
        <w:ind w:left="567" w:hanging="567"/>
        <w:rPr>
          <w:color w:val="000000"/>
        </w:rPr>
      </w:pPr>
      <w:r w:rsidRPr="00562587">
        <w:rPr>
          <w:color w:val="000000"/>
        </w:rPr>
        <w:t>33.</w:t>
      </w:r>
      <w:r w:rsidRPr="00562587">
        <w:rPr>
          <w:color w:val="000000"/>
        </w:rPr>
        <w:tab/>
      </w:r>
      <w:proofErr w:type="gramStart"/>
      <w:r w:rsidRPr="00562587">
        <w:rPr>
          <w:color w:val="000000"/>
        </w:rPr>
        <w:t>ponawia</w:t>
      </w:r>
      <w:proofErr w:type="gramEnd"/>
      <w:r w:rsidRPr="00562587">
        <w:rPr>
          <w:color w:val="000000"/>
        </w:rPr>
        <w:t xml:space="preserve"> swój wniosek, wielokrotnie przyjęty na posiedzeniu plenarnym, aby odpowiednie organy zastanowiły się nad rozwiązaniem umożliwiającym posłom korzystanie z prawa do głosowania zdalnego podczas urlopu macierzyńskiego lub ojcowskiego, w przypadku poświadczonej długotrwałej choroby, z wykorzystaniem doświadczeń zdobytych podczas pandemii w zakresie technicznych aspektów tej metody głosowania;</w:t>
      </w:r>
    </w:p>
    <w:p w:rsidR="005A1FAE" w:rsidRPr="00562587" w:rsidRDefault="005A1FAE" w:rsidP="005B61EB">
      <w:pPr>
        <w:spacing w:after="240"/>
        <w:ind w:left="567" w:hanging="567"/>
        <w:rPr>
          <w:color w:val="000000"/>
        </w:rPr>
      </w:pPr>
      <w:r w:rsidRPr="00562587">
        <w:rPr>
          <w:color w:val="000000"/>
        </w:rPr>
        <w:t>34.</w:t>
      </w:r>
      <w:r w:rsidRPr="00562587">
        <w:rPr>
          <w:color w:val="000000"/>
        </w:rPr>
        <w:tab/>
      </w:r>
      <w:proofErr w:type="gramStart"/>
      <w:r w:rsidRPr="00562587">
        <w:rPr>
          <w:color w:val="000000"/>
        </w:rPr>
        <w:t>ponawia</w:t>
      </w:r>
      <w:proofErr w:type="gramEnd"/>
      <w:r w:rsidRPr="00562587">
        <w:rPr>
          <w:color w:val="000000"/>
        </w:rPr>
        <w:t xml:space="preserve"> swój apel do sekretarza generalnego o podkreślenie podstawowej zasady, </w:t>
      </w:r>
      <w:r w:rsidRPr="00562587">
        <w:rPr>
          <w:color w:val="000000"/>
        </w:rPr>
        <w:lastRenderedPageBreak/>
        <w:t xml:space="preserve">zgodnie z którą rekrutacja powinna opierać się na kompetencjach, przy jednoczesnym zapewnieniu równowagi geograficznej między wszystkimi państwami członkowskimi na każdym szczeblu personelu; wzywa Parlament do budowania własnych zdolności w zakresie kontaktów zewnętrznych w celu przyciągania do konkursów wysokiej jakości kandydatów, których Parlament potrzebuje, jeśli chodzi o profil, wiek, płeć i narodowość, zwłaszcza z krajów słabo reprezentowanych; podkreśla, że osiągnięcie sprawiedliwej reprezentacji geograficznej ma zasadnicze znaczenie dla wspierania prawdziwie europejskiej służby publicznej; zauważa, że Parlament konsekwentnie podejmował działania wspierające ten cel, w tym organizował konkursy dla poszczególnych narodowości, przy jednoczesnym utrzymaniu </w:t>
      </w:r>
      <w:proofErr w:type="gramStart"/>
      <w:r w:rsidRPr="00562587">
        <w:rPr>
          <w:color w:val="000000"/>
        </w:rPr>
        <w:t>rygorystycznego</w:t>
      </w:r>
      <w:proofErr w:type="gramEnd"/>
      <w:r w:rsidRPr="00562587">
        <w:rPr>
          <w:color w:val="000000"/>
        </w:rPr>
        <w:t xml:space="preserve"> podejścia do naboru opartego na kryteriach merytorycznych;</w:t>
      </w:r>
    </w:p>
    <w:p w:rsidR="005A1FAE" w:rsidRPr="00562587" w:rsidRDefault="005A1FAE" w:rsidP="005B61EB">
      <w:pPr>
        <w:ind w:left="567" w:hanging="567"/>
        <w:rPr>
          <w:color w:val="000000"/>
        </w:rPr>
      </w:pPr>
      <w:r w:rsidRPr="00562587">
        <w:rPr>
          <w:color w:val="000000"/>
        </w:rPr>
        <w:t>35.</w:t>
      </w:r>
      <w:r w:rsidRPr="00562587">
        <w:rPr>
          <w:color w:val="000000"/>
        </w:rPr>
        <w:tab/>
      </w:r>
      <w:proofErr w:type="gramStart"/>
      <w:r w:rsidRPr="00562587">
        <w:rPr>
          <w:color w:val="000000"/>
        </w:rPr>
        <w:t>uważa</w:t>
      </w:r>
      <w:proofErr w:type="gramEnd"/>
      <w:r w:rsidRPr="00562587">
        <w:rPr>
          <w:color w:val="000000"/>
        </w:rPr>
        <w:t>, że Parlament powinien dawać przykład w zakresie praw osób niepełnosprawnych, zarówno jako pracodawca, jak i instytucja publiczna; z zadowoleniem przyjmuje politykę Parlamentu mającą na celu umożliwienie osobom z niepełnosprawnościami w pełni niezależnego korzystania z budynków Parlamentu i popiera dalsze środki i dostosowania, które będą konieczne w tym zakresie; zauważa, że w budżecie przewidziano na ten cel 3,7 mln EUR;</w:t>
      </w:r>
    </w:p>
    <w:p w:rsidR="005A1FAE" w:rsidRPr="00562587" w:rsidRDefault="005A1FAE" w:rsidP="005B61EB">
      <w:pPr>
        <w:ind w:left="567" w:hanging="567"/>
        <w:rPr>
          <w:color w:val="000000"/>
        </w:rPr>
      </w:pPr>
    </w:p>
    <w:p w:rsidR="005A1FAE" w:rsidRPr="00562587" w:rsidRDefault="005A1FAE" w:rsidP="005B61EB">
      <w:pPr>
        <w:ind w:left="567" w:hanging="567"/>
        <w:rPr>
          <w:color w:val="000000"/>
        </w:rPr>
      </w:pPr>
      <w:r w:rsidRPr="00562587">
        <w:rPr>
          <w:color w:val="000000"/>
        </w:rPr>
        <w:t>36.</w:t>
      </w:r>
      <w:r w:rsidRPr="00562587">
        <w:rPr>
          <w:color w:val="000000"/>
        </w:rPr>
        <w:tab/>
      </w:r>
      <w:proofErr w:type="gramStart"/>
      <w:r w:rsidRPr="00562587">
        <w:rPr>
          <w:color w:val="000000"/>
        </w:rPr>
        <w:t>podkreśla</w:t>
      </w:r>
      <w:proofErr w:type="gramEnd"/>
      <w:r w:rsidRPr="00562587">
        <w:rPr>
          <w:color w:val="000000"/>
        </w:rPr>
        <w:t>, że posiadanie przez Parlament jednej siedziby może zmniejszyć koszty finansowe i środowiskowe; przypomina, że zgodnie z Traktatem o Unii Europejskiej Parlament ma mieć siedzibę w Strasburgu; zauważa, że trwałe zmiany wymagałyby zmiany Traktatu, do czego potrzebna jest jednomyślność;</w:t>
      </w:r>
    </w:p>
    <w:p w:rsidR="005A1FAE" w:rsidRPr="00562587" w:rsidRDefault="005A1FAE" w:rsidP="005B61EB">
      <w:pPr>
        <w:ind w:left="567" w:hanging="567"/>
        <w:rPr>
          <w:color w:val="000000"/>
        </w:rPr>
      </w:pPr>
    </w:p>
    <w:p w:rsidR="005A1FAE" w:rsidRPr="00562587" w:rsidRDefault="005A1FAE" w:rsidP="005B61EB">
      <w:pPr>
        <w:ind w:left="567" w:hanging="567"/>
        <w:rPr>
          <w:color w:val="000000"/>
        </w:rPr>
      </w:pPr>
      <w:r w:rsidRPr="00562587">
        <w:t>37.</w:t>
      </w:r>
      <w:r w:rsidRPr="00562587">
        <w:tab/>
      </w:r>
      <w:proofErr w:type="gramStart"/>
      <w:r w:rsidRPr="00562587">
        <w:rPr>
          <w:color w:val="000000"/>
        </w:rPr>
        <w:t>zauważa</w:t>
      </w:r>
      <w:proofErr w:type="gramEnd"/>
      <w:r w:rsidRPr="00562587">
        <w:rPr>
          <w:color w:val="000000"/>
        </w:rPr>
        <w:t xml:space="preserve">, że koszty podróży służbowych posłów i pracowników wynoszą 116 mln EUR w budżecie Parlamentu; apeluje do organów Parlamentu o zastanowienie się nad praktykami związanymi z podróżami służbowymi oraz o przegląd zasad i praktyk dotyczących podróży służbowych w celu dalszego usprawnienia charakteru podróży służbowych oraz zmniejszenia związanych z nimi kosztów finansowych i środowiskowych; </w:t>
      </w:r>
      <w:r w:rsidRPr="00562587">
        <w:t>zachęca posłów do korzystania z niskoemisyjnych alternatyw transportowych i opowiada się za odpowiedzialnym i przemyślanym korzystaniem z najbardziej opłacalnych opcji lotów oraz preferowaniem podróży pociągami tam, gdzie stanowi to realną opcję;</w:t>
      </w:r>
    </w:p>
    <w:p w:rsidR="005A1FAE" w:rsidRPr="00562587" w:rsidRDefault="005A1FAE" w:rsidP="005B61EB">
      <w:pPr>
        <w:rPr>
          <w:color w:val="000000"/>
        </w:rPr>
      </w:pPr>
    </w:p>
    <w:p w:rsidR="005A1FAE" w:rsidRPr="00562587" w:rsidRDefault="005A1FAE" w:rsidP="005B61EB">
      <w:pPr>
        <w:ind w:left="567" w:hanging="567"/>
        <w:rPr>
          <w:color w:val="000000"/>
        </w:rPr>
      </w:pPr>
      <w:r w:rsidRPr="00562587">
        <w:rPr>
          <w:color w:val="000000"/>
        </w:rPr>
        <w:t>38.</w:t>
      </w:r>
      <w:r w:rsidRPr="00562587">
        <w:rPr>
          <w:color w:val="000000"/>
        </w:rPr>
        <w:tab/>
      </w:r>
      <w:proofErr w:type="gramStart"/>
      <w:r w:rsidRPr="00562587">
        <w:rPr>
          <w:color w:val="000000"/>
        </w:rPr>
        <w:t>odnotowuje</w:t>
      </w:r>
      <w:proofErr w:type="gramEnd"/>
      <w:r w:rsidRPr="00562587">
        <w:rPr>
          <w:color w:val="000000"/>
        </w:rPr>
        <w:t>, że art. 46 ust. 2 przepisów wykonawczych do Statutu posła do Parlamentu Europejskiego przewiduje możliwość finansowania dodatkowych kosztów związanych z budżetami pomocy parlamentarnej ze środków na dodatek z tytułu kosztów ogólnych; wzywa administrację Parlamentu do podjęcia niezbędnych środków, aby umożliwić posłom, którzy sobie tego życzą, wykorzystanie dodatku z tytułu kosztów ogólnych na pokrycie kosztów podróży służbowych akredytowanych asystentów parlamentarnych; podkreśla, że taki środek rozwiązałby kwestię rosnących kosztów w biurach posłów, a jednocześnie byłby neutralny dla budżetu;</w:t>
      </w:r>
    </w:p>
    <w:p w:rsidR="005A1FAE" w:rsidRPr="00562587" w:rsidRDefault="005A1FAE" w:rsidP="005B61EB">
      <w:pPr>
        <w:ind w:left="567" w:hanging="567"/>
        <w:rPr>
          <w:color w:val="000000"/>
        </w:rPr>
      </w:pPr>
    </w:p>
    <w:p w:rsidR="005A1FAE" w:rsidRDefault="005A1FAE" w:rsidP="005B61EB">
      <w:pPr>
        <w:ind w:left="567" w:hanging="567"/>
        <w:rPr>
          <w:color w:val="000000"/>
        </w:rPr>
      </w:pPr>
      <w:r w:rsidRPr="00562587">
        <w:rPr>
          <w:color w:val="000000"/>
        </w:rPr>
        <w:t>39.</w:t>
      </w:r>
      <w:r w:rsidRPr="00562587">
        <w:rPr>
          <w:color w:val="000000"/>
        </w:rPr>
        <w:tab/>
      </w:r>
      <w:proofErr w:type="gramStart"/>
      <w:r w:rsidRPr="00562587">
        <w:rPr>
          <w:color w:val="000000"/>
        </w:rPr>
        <w:t>wzywa</w:t>
      </w:r>
      <w:proofErr w:type="gramEnd"/>
      <w:r w:rsidRPr="00562587">
        <w:rPr>
          <w:color w:val="000000"/>
        </w:rPr>
        <w:t xml:space="preserve"> Prezydium do rezygnacji z indeksacji dodatku z tytułu kosztów ogólnych i nieprzyznawania byłym posłom dodatku z tytułu kosztów ogólnych, co pozwoli na znaczne oszczędności w kosztach statutowych;</w:t>
      </w:r>
    </w:p>
    <w:p w:rsidR="00CA32BE" w:rsidRDefault="00CA32BE" w:rsidP="005B61EB">
      <w:pPr>
        <w:ind w:left="567" w:hanging="567"/>
        <w:rPr>
          <w:color w:val="000000"/>
        </w:rPr>
      </w:pPr>
    </w:p>
    <w:p w:rsidR="00CA32BE" w:rsidRPr="00CA32BE" w:rsidRDefault="00CA32BE" w:rsidP="005B61EB">
      <w:pPr>
        <w:ind w:left="567" w:hanging="567"/>
        <w:rPr>
          <w:color w:val="000000"/>
        </w:rPr>
      </w:pPr>
      <w:r w:rsidRPr="00CA32BE">
        <w:t>40</w:t>
      </w:r>
      <w:r w:rsidRPr="004D6C87">
        <w:t>.</w:t>
      </w:r>
      <w:r w:rsidRPr="004D6C87">
        <w:tab/>
      </w:r>
      <w:proofErr w:type="gramStart"/>
      <w:r w:rsidRPr="004D6C87">
        <w:t>wzywa</w:t>
      </w:r>
      <w:proofErr w:type="gramEnd"/>
      <w:r w:rsidRPr="004D6C87">
        <w:t xml:space="preserve"> Prezydium do zmiany przepisów i do wprowadzenia okresu przejściowego dla byłych posłów, w którym nie mogą oni angażować się w działalność lobbingową lub reprezentacyjną w Parlamencie, równego okresowi, przez który posłowie otrzymują </w:t>
      </w:r>
      <w:r w:rsidRPr="004D6C87">
        <w:lastRenderedPageBreak/>
        <w:t>odprawę przejściową;</w:t>
      </w:r>
    </w:p>
    <w:p w:rsidR="005A1FAE" w:rsidRPr="00562587" w:rsidRDefault="005A1FAE" w:rsidP="005B61EB">
      <w:pPr>
        <w:ind w:left="567" w:hanging="567"/>
        <w:rPr>
          <w:color w:val="000000"/>
        </w:rPr>
      </w:pPr>
    </w:p>
    <w:p w:rsidR="005A1FAE" w:rsidRPr="00562587" w:rsidRDefault="005A1FAE" w:rsidP="005B61EB">
      <w:pPr>
        <w:spacing w:after="240"/>
        <w:ind w:left="567" w:hanging="567"/>
        <w:rPr>
          <w:color w:val="000000"/>
        </w:rPr>
      </w:pPr>
      <w:r w:rsidRPr="00562587">
        <w:rPr>
          <w:color w:val="000000"/>
        </w:rPr>
        <w:t>4</w:t>
      </w:r>
      <w:r w:rsidR="00CA32BE">
        <w:rPr>
          <w:color w:val="000000"/>
        </w:rPr>
        <w:t>1</w:t>
      </w:r>
      <w:r w:rsidRPr="00562587">
        <w:rPr>
          <w:color w:val="000000"/>
        </w:rPr>
        <w:t>.</w:t>
      </w:r>
      <w:r w:rsidRPr="00562587">
        <w:rPr>
          <w:color w:val="000000"/>
        </w:rPr>
        <w:tab/>
      </w:r>
      <w:proofErr w:type="gramStart"/>
      <w:r w:rsidR="00CA32BE" w:rsidRPr="004D6C87">
        <w:rPr>
          <w:sz w:val="23"/>
        </w:rPr>
        <w:t>przypomina</w:t>
      </w:r>
      <w:proofErr w:type="gramEnd"/>
      <w:r w:rsidR="00CA32BE" w:rsidRPr="004D6C87">
        <w:rPr>
          <w:sz w:val="23"/>
        </w:rPr>
        <w:t>, że od 2018 r. Parlament konsekwentnie głosował na posiedzeniu plenarnym za rozważeniem zniesienia ogólnego zakazu udziału akredytowanych asystentów parlamentarnych w oficjalnych delegacjach i misjach; ubolewa, że</w:t>
      </w:r>
      <w:r w:rsidR="00CA32BE" w:rsidRPr="00313B2C">
        <w:rPr>
          <w:sz w:val="23"/>
        </w:rPr>
        <w:t xml:space="preserve"> </w:t>
      </w:r>
      <w:r w:rsidRPr="00562587">
        <w:rPr>
          <w:color w:val="000000"/>
        </w:rPr>
        <w:t>decyzje Konferencji Przewodniczących z marca 2025 r. w sprawie przepisów wykonawczych dotyczących wyjazdów poza trzy miejsca pracy Parlamentu Europejskiego</w:t>
      </w:r>
      <w:r w:rsidR="00CA32BE">
        <w:rPr>
          <w:color w:val="000000"/>
        </w:rPr>
        <w:t xml:space="preserve"> </w:t>
      </w:r>
      <w:r w:rsidR="00CA32BE" w:rsidRPr="004D6C87">
        <w:rPr>
          <w:sz w:val="23"/>
        </w:rPr>
        <w:t>nie były zgodne z postulatem wyrażonym na posiedzeniu plenarnym</w:t>
      </w:r>
      <w:r w:rsidR="00CA32BE" w:rsidRPr="00CA32BE">
        <w:rPr>
          <w:sz w:val="23"/>
        </w:rPr>
        <w:t>;</w:t>
      </w:r>
      <w:r w:rsidR="00CA32BE" w:rsidRPr="004D6C87">
        <w:rPr>
          <w:sz w:val="23"/>
        </w:rPr>
        <w:t xml:space="preserve"> podtrzymuje swoje stanowisko, że akredytowani asystenci parlamentarni powinni mieć możliwość, pod pewnymi warunkami, towarzyszenia posłom w oficjalnych delegacjach i misjach; wzywa właściwe organy do zmiany odpowiednich artykułów przepisów wewnętrznych, aby bez dalszej zwłoki umożliwić akredytowanym asystentom parlamentarnym udział w oficjalnych misjach i delegacjach poza trzy miejsca pracy Parlamentu;</w:t>
      </w:r>
    </w:p>
    <w:p w:rsidR="005A1FAE" w:rsidRPr="00562587" w:rsidRDefault="005A1FAE" w:rsidP="005B61EB">
      <w:pPr>
        <w:spacing w:after="240"/>
        <w:ind w:left="567" w:hanging="567"/>
        <w:rPr>
          <w:color w:val="000000"/>
        </w:rPr>
      </w:pPr>
      <w:r w:rsidRPr="00562587">
        <w:rPr>
          <w:color w:val="000000"/>
        </w:rPr>
        <w:t>4</w:t>
      </w:r>
      <w:r w:rsidR="00CA32BE">
        <w:rPr>
          <w:color w:val="000000"/>
        </w:rPr>
        <w:t>2</w:t>
      </w:r>
      <w:r w:rsidRPr="00562587">
        <w:rPr>
          <w:color w:val="000000"/>
        </w:rPr>
        <w:t>.</w:t>
      </w:r>
      <w:r w:rsidRPr="00562587">
        <w:rPr>
          <w:color w:val="000000"/>
        </w:rPr>
        <w:tab/>
      </w:r>
      <w:proofErr w:type="gramStart"/>
      <w:r w:rsidRPr="00562587">
        <w:rPr>
          <w:color w:val="000000"/>
        </w:rPr>
        <w:t>z</w:t>
      </w:r>
      <w:proofErr w:type="gramEnd"/>
      <w:r w:rsidRPr="00562587">
        <w:rPr>
          <w:color w:val="000000"/>
        </w:rPr>
        <w:t xml:space="preserve"> zadowoleniem przyjmuje pracę Komitetu Akredytowanych Asystentów Parlamentarnych, reprezentującego około 2 000 asystentów parlamentarnych, których praca ma kluczowe znaczenie dla sprawnego funkcjonowania codziennej działalności posłów do PE; odnotowuje przeznaczenie 10 000 EUR, aby Komitet Akredytowanych Asystentów Parlamentarnych mógł wypełniać swoją rolę i zapewnić wystarczające zasoby do skutecznego wspierania i odpowiedniego reprezentowania akredytowanych asystentów parlamentarnych;</w:t>
      </w:r>
    </w:p>
    <w:p w:rsidR="005A1FAE" w:rsidRPr="00562587" w:rsidRDefault="005A1FAE" w:rsidP="005B61EB">
      <w:pPr>
        <w:widowControl/>
        <w:spacing w:after="240"/>
        <w:ind w:left="567" w:hanging="567"/>
        <w:rPr>
          <w:color w:val="000000"/>
        </w:rPr>
      </w:pPr>
      <w:r w:rsidRPr="00562587">
        <w:rPr>
          <w:color w:val="000000"/>
        </w:rPr>
        <w:t>4</w:t>
      </w:r>
      <w:r w:rsidR="00CA32BE">
        <w:rPr>
          <w:color w:val="000000"/>
        </w:rPr>
        <w:t>3</w:t>
      </w:r>
      <w:r w:rsidRPr="00562587">
        <w:rPr>
          <w:color w:val="000000"/>
        </w:rPr>
        <w:t>.</w:t>
      </w:r>
      <w:r w:rsidRPr="00562587">
        <w:rPr>
          <w:color w:val="000000"/>
        </w:rPr>
        <w:tab/>
      </w:r>
      <w:proofErr w:type="gramStart"/>
      <w:r w:rsidRPr="00562587">
        <w:rPr>
          <w:color w:val="000000"/>
        </w:rPr>
        <w:t>z</w:t>
      </w:r>
      <w:proofErr w:type="gramEnd"/>
      <w:r w:rsidRPr="00562587">
        <w:rPr>
          <w:color w:val="000000"/>
        </w:rPr>
        <w:t xml:space="preserve"> zadowoleniem przyjmuje wyjątkowy 10 % wzrost stypendiów dla każdego stażysty w 2026 r., przewidziany w budżecie w wysokości 1 mln EUR w 2026 r., aby pomóc im w radzeniu sobie z rosnącymi kosztami mieszkaniowymi w Brukseli i Luksemburgu;</w:t>
      </w:r>
    </w:p>
    <w:p w:rsidR="005A1FAE" w:rsidRDefault="005A1FAE" w:rsidP="005B61EB">
      <w:pPr>
        <w:widowControl/>
        <w:spacing w:after="240"/>
        <w:ind w:left="567" w:hanging="567"/>
        <w:rPr>
          <w:color w:val="000000"/>
        </w:rPr>
      </w:pPr>
      <w:r w:rsidRPr="00562587">
        <w:rPr>
          <w:color w:val="000000"/>
        </w:rPr>
        <w:t>4</w:t>
      </w:r>
      <w:r w:rsidR="00CA32BE">
        <w:rPr>
          <w:color w:val="000000"/>
        </w:rPr>
        <w:t>4</w:t>
      </w:r>
      <w:r w:rsidRPr="00562587">
        <w:rPr>
          <w:color w:val="000000"/>
        </w:rPr>
        <w:t>.</w:t>
      </w:r>
      <w:r w:rsidRPr="00562587">
        <w:rPr>
          <w:color w:val="000000"/>
        </w:rPr>
        <w:tab/>
      </w:r>
      <w:proofErr w:type="gramStart"/>
      <w:r w:rsidRPr="00562587">
        <w:rPr>
          <w:color w:val="000000"/>
        </w:rPr>
        <w:t>oczekuje</w:t>
      </w:r>
      <w:proofErr w:type="gramEnd"/>
      <w:r w:rsidRPr="00562587">
        <w:rPr>
          <w:color w:val="000000"/>
        </w:rPr>
        <w:t>, że wnioski przegłosowane na posiedzeniu plenarnym będą realizowane przez właściwe organy w trybie priorytetowym;</w:t>
      </w:r>
    </w:p>
    <w:p w:rsidR="00B67F3C" w:rsidRDefault="00B67F3C" w:rsidP="00B67F3C">
      <w:pPr>
        <w:widowControl/>
        <w:spacing w:after="240"/>
        <w:jc w:val="center"/>
        <w:rPr>
          <w:color w:val="000000"/>
        </w:rPr>
      </w:pPr>
      <w:r>
        <w:rPr>
          <w:color w:val="000000"/>
        </w:rPr>
        <w:t>°</w:t>
      </w:r>
    </w:p>
    <w:p w:rsidR="00B67F3C" w:rsidRDefault="00B67F3C" w:rsidP="00B67F3C">
      <w:pPr>
        <w:widowControl/>
        <w:spacing w:after="240"/>
        <w:jc w:val="center"/>
        <w:rPr>
          <w:color w:val="000000"/>
        </w:rPr>
      </w:pPr>
      <w:r>
        <w:rPr>
          <w:color w:val="000000"/>
        </w:rPr>
        <w:t>°     °</w:t>
      </w:r>
    </w:p>
    <w:p w:rsidR="005A1FAE" w:rsidRPr="00562587" w:rsidRDefault="005A1FAE" w:rsidP="005B61EB">
      <w:pPr>
        <w:tabs>
          <w:tab w:val="left" w:pos="357"/>
        </w:tabs>
        <w:spacing w:after="240"/>
        <w:ind w:left="567" w:hanging="567"/>
        <w:rPr>
          <w:color w:val="000000"/>
        </w:rPr>
      </w:pPr>
      <w:r w:rsidRPr="00562587">
        <w:rPr>
          <w:color w:val="000000"/>
        </w:rPr>
        <w:t>4</w:t>
      </w:r>
      <w:r w:rsidR="00CA32BE">
        <w:rPr>
          <w:color w:val="000000"/>
        </w:rPr>
        <w:t>5</w:t>
      </w:r>
      <w:r w:rsidRPr="00562587">
        <w:rPr>
          <w:color w:val="000000"/>
        </w:rPr>
        <w:t>.</w:t>
      </w:r>
      <w:r w:rsidRPr="00562587">
        <w:rPr>
          <w:color w:val="000000"/>
        </w:rPr>
        <w:tab/>
      </w:r>
      <w:r w:rsidRPr="00562587">
        <w:rPr>
          <w:color w:val="000000"/>
        </w:rPr>
        <w:tab/>
      </w:r>
      <w:proofErr w:type="gramStart"/>
      <w:r w:rsidRPr="00562587">
        <w:rPr>
          <w:color w:val="000000"/>
        </w:rPr>
        <w:t>przyjmuje</w:t>
      </w:r>
      <w:proofErr w:type="gramEnd"/>
      <w:r w:rsidRPr="00562587">
        <w:rPr>
          <w:color w:val="000000"/>
        </w:rPr>
        <w:t xml:space="preserve"> preliminarz na rok budżetowy 2026;</w:t>
      </w:r>
    </w:p>
    <w:p w:rsidR="00E365E1" w:rsidRPr="00562587" w:rsidRDefault="005A1FAE" w:rsidP="00B67F3C">
      <w:pPr>
        <w:tabs>
          <w:tab w:val="left" w:pos="357"/>
        </w:tabs>
        <w:spacing w:after="240"/>
        <w:ind w:left="567" w:hanging="567"/>
      </w:pPr>
      <w:r w:rsidRPr="00562587">
        <w:rPr>
          <w:color w:val="000000"/>
        </w:rPr>
        <w:t>4</w:t>
      </w:r>
      <w:r w:rsidR="00CA32BE">
        <w:rPr>
          <w:color w:val="000000"/>
        </w:rPr>
        <w:t>6</w:t>
      </w:r>
      <w:r w:rsidRPr="00562587">
        <w:rPr>
          <w:color w:val="000000"/>
        </w:rPr>
        <w:t>.</w:t>
      </w:r>
      <w:r w:rsidRPr="00562587">
        <w:rPr>
          <w:color w:val="000000"/>
        </w:rPr>
        <w:tab/>
      </w:r>
      <w:r w:rsidRPr="00562587">
        <w:rPr>
          <w:color w:val="000000"/>
        </w:rPr>
        <w:tab/>
      </w:r>
      <w:proofErr w:type="gramStart"/>
      <w:r w:rsidRPr="00562587">
        <w:rPr>
          <w:color w:val="000000"/>
        </w:rPr>
        <w:t>zobowiązuje</w:t>
      </w:r>
      <w:proofErr w:type="gramEnd"/>
      <w:r w:rsidRPr="00562587">
        <w:rPr>
          <w:color w:val="000000"/>
        </w:rPr>
        <w:t xml:space="preserve"> swoją przewodniczącą do przekazania niniejszej rezolucji i preliminarza budżetowego Radzie i Komisji.</w:t>
      </w:r>
    </w:p>
    <w:sectPr w:rsidR="00E365E1" w:rsidRPr="00562587" w:rsidSect="0056258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769" w:rsidRPr="00562587" w:rsidRDefault="00D73769">
      <w:r w:rsidRPr="00562587">
        <w:separator/>
      </w:r>
    </w:p>
  </w:endnote>
  <w:endnote w:type="continuationSeparator" w:id="0">
    <w:p w:rsidR="00D73769" w:rsidRPr="00562587" w:rsidRDefault="00D73769">
      <w:r w:rsidRPr="0056258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258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258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258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769" w:rsidRPr="00562587" w:rsidRDefault="00D73769">
      <w:r w:rsidRPr="00562587">
        <w:separator/>
      </w:r>
    </w:p>
  </w:footnote>
  <w:footnote w:type="continuationSeparator" w:id="0">
    <w:p w:rsidR="00D73769" w:rsidRPr="00562587" w:rsidRDefault="00D73769">
      <w:r w:rsidRPr="00562587">
        <w:continuationSeparator/>
      </w:r>
    </w:p>
  </w:footnote>
  <w:footnote w:id="1">
    <w:p w:rsidR="005A1FAE" w:rsidRPr="00562587" w:rsidRDefault="005A1FAE" w:rsidP="00562587">
      <w:pPr>
        <w:ind w:left="567" w:hanging="567"/>
        <w:rPr>
          <w:color w:val="000000"/>
        </w:rPr>
      </w:pPr>
      <w:r w:rsidRPr="00562587">
        <w:rPr>
          <w:rStyle w:val="FootnoteReference"/>
        </w:rPr>
        <w:footnoteRef/>
      </w:r>
      <w:r w:rsidR="00562587" w:rsidRPr="00562587">
        <w:t xml:space="preserve"> </w:t>
      </w:r>
      <w:r w:rsidR="00562587" w:rsidRPr="00562587">
        <w:tab/>
      </w:r>
      <w:r w:rsidRPr="00562587">
        <w:t xml:space="preserve">Dz.U. L 433 I z 22.12.2020, </w:t>
      </w:r>
      <w:proofErr w:type="gramStart"/>
      <w:r w:rsidRPr="00562587">
        <w:t>s</w:t>
      </w:r>
      <w:proofErr w:type="gramEnd"/>
      <w:r w:rsidRPr="00562587">
        <w:t>. 11, ELI:</w:t>
      </w:r>
      <w:r w:rsidRPr="00562587">
        <w:rPr>
          <w:color w:val="000000"/>
        </w:rPr>
        <w:t xml:space="preserve"> </w:t>
      </w:r>
      <w:hyperlink r:id="rId1" w:history="1">
        <w:r w:rsidRPr="00562587">
          <w:rPr>
            <w:rStyle w:val="Hyperlink"/>
          </w:rPr>
          <w:t>http://data.europa.eu/eli/reg/2020/2093/oj</w:t>
        </w:r>
      </w:hyperlink>
      <w:r w:rsidRPr="00562587">
        <w:rPr>
          <w:color w:val="000000"/>
        </w:rPr>
        <w:t>.</w:t>
      </w:r>
    </w:p>
  </w:footnote>
  <w:footnote w:id="2">
    <w:p w:rsidR="005A1FAE" w:rsidRPr="00562587" w:rsidRDefault="005A1FAE" w:rsidP="00562587">
      <w:pPr>
        <w:ind w:left="567" w:hanging="567"/>
        <w:rPr>
          <w:color w:val="000000"/>
        </w:rPr>
      </w:pPr>
      <w:r w:rsidRPr="00562587">
        <w:rPr>
          <w:rStyle w:val="FootnoteReference"/>
        </w:rPr>
        <w:footnoteRef/>
      </w:r>
      <w:r w:rsidR="00562587" w:rsidRPr="00562587">
        <w:t xml:space="preserve"> </w:t>
      </w:r>
      <w:r w:rsidR="00562587" w:rsidRPr="00562587">
        <w:tab/>
      </w:r>
      <w:r w:rsidRPr="00562587">
        <w:t xml:space="preserve">Dz.U. C 444 I z 22.12.2020, </w:t>
      </w:r>
      <w:proofErr w:type="gramStart"/>
      <w:r w:rsidRPr="00562587">
        <w:t>s</w:t>
      </w:r>
      <w:proofErr w:type="gramEnd"/>
      <w:r w:rsidRPr="00562587">
        <w:t>. 4.</w:t>
      </w:r>
    </w:p>
  </w:footnote>
  <w:footnote w:id="3">
    <w:p w:rsidR="005A1FAE" w:rsidRPr="00562587" w:rsidRDefault="005A1FAE" w:rsidP="00562587">
      <w:pPr>
        <w:ind w:left="567" w:hanging="567"/>
        <w:rPr>
          <w:color w:val="000000"/>
        </w:rPr>
      </w:pPr>
      <w:r w:rsidRPr="00562587">
        <w:rPr>
          <w:rStyle w:val="FootnoteReference"/>
        </w:rPr>
        <w:footnoteRef/>
      </w:r>
      <w:r w:rsidR="00562587" w:rsidRPr="00562587">
        <w:t xml:space="preserve"> </w:t>
      </w:r>
      <w:r w:rsidR="00562587" w:rsidRPr="00562587">
        <w:tab/>
      </w:r>
      <w:r w:rsidRPr="00562587">
        <w:t xml:space="preserve">Dz.U. C 445 z 29.10.2021, </w:t>
      </w:r>
      <w:proofErr w:type="gramStart"/>
      <w:r w:rsidRPr="00562587">
        <w:t>s</w:t>
      </w:r>
      <w:proofErr w:type="gramEnd"/>
      <w:r w:rsidRPr="00562587">
        <w:t>. 252.</w:t>
      </w:r>
    </w:p>
  </w:footnote>
  <w:footnote w:id="4">
    <w:p w:rsidR="005A1FAE" w:rsidRPr="00562587" w:rsidRDefault="005A1FAE" w:rsidP="00562587">
      <w:pPr>
        <w:ind w:left="567" w:hanging="567"/>
      </w:pPr>
      <w:r w:rsidRPr="00562587">
        <w:rPr>
          <w:rStyle w:val="FootnoteReference"/>
          <w:rFonts w:eastAsiaTheme="majorEastAsia"/>
        </w:rPr>
        <w:footnoteRef/>
      </w:r>
      <w:r w:rsidR="00562587" w:rsidRPr="00562587">
        <w:t xml:space="preserve"> </w:t>
      </w:r>
      <w:r w:rsidR="00562587" w:rsidRPr="00562587">
        <w:tab/>
      </w:r>
      <w:r w:rsidRPr="00562587">
        <w:t xml:space="preserve">Dz.U. L 325 z 20.12.2022, </w:t>
      </w:r>
      <w:proofErr w:type="gramStart"/>
      <w:r w:rsidRPr="00562587">
        <w:t>s</w:t>
      </w:r>
      <w:proofErr w:type="gramEnd"/>
      <w:r w:rsidRPr="00562587">
        <w:t xml:space="preserve">. 11, ELI: </w:t>
      </w:r>
      <w:hyperlink r:id="rId2" w:history="1">
        <w:r w:rsidRPr="00562587">
          <w:rPr>
            <w:rStyle w:val="Hyperlink"/>
          </w:rPr>
          <w:t>http://data.europa.eu/eli/reg/2022/2496/oj</w:t>
        </w:r>
      </w:hyperlink>
      <w:r w:rsidRPr="00562587">
        <w:t>.</w:t>
      </w:r>
    </w:p>
  </w:footnote>
  <w:footnote w:id="5">
    <w:p w:rsidR="005A1FAE" w:rsidRPr="005B61EB" w:rsidRDefault="005A1FAE" w:rsidP="00562587">
      <w:pPr>
        <w:ind w:left="567" w:hanging="567"/>
        <w:rPr>
          <w:lang w:val="fi-FI"/>
        </w:rPr>
      </w:pPr>
      <w:r w:rsidRPr="00562587">
        <w:rPr>
          <w:rStyle w:val="FootnoteReference"/>
        </w:rPr>
        <w:footnoteRef/>
      </w:r>
      <w:r w:rsidR="00562587" w:rsidRPr="005B61EB">
        <w:rPr>
          <w:lang w:val="fi-FI"/>
        </w:rPr>
        <w:t xml:space="preserve"> </w:t>
      </w:r>
      <w:r w:rsidR="00562587" w:rsidRPr="005B61EB">
        <w:rPr>
          <w:lang w:val="fi-FI"/>
        </w:rPr>
        <w:tab/>
      </w:r>
      <w:proofErr w:type="spellStart"/>
      <w:r w:rsidRPr="005B61EB">
        <w:rPr>
          <w:lang w:val="fi-FI"/>
        </w:rPr>
        <w:t>Dz.U</w:t>
      </w:r>
      <w:proofErr w:type="spellEnd"/>
      <w:r w:rsidRPr="005B61EB">
        <w:rPr>
          <w:lang w:val="fi-FI"/>
        </w:rPr>
        <w:t xml:space="preserve">. L, 2024/765, 29.2.2024, ELI: </w:t>
      </w:r>
      <w:hyperlink r:id="rId3" w:history="1">
        <w:r w:rsidRPr="005B61EB">
          <w:rPr>
            <w:rStyle w:val="Hyperlink"/>
            <w:lang w:val="fi-FI"/>
          </w:rPr>
          <w:t>http://data.europa.eu/eli/reg/2024/765/oj</w:t>
        </w:r>
      </w:hyperlink>
      <w:r w:rsidRPr="005B61EB">
        <w:rPr>
          <w:lang w:val="fi-FI"/>
        </w:rPr>
        <w:t>.</w:t>
      </w:r>
    </w:p>
  </w:footnote>
  <w:footnote w:id="6">
    <w:p w:rsidR="005A1FAE" w:rsidRPr="00562587" w:rsidRDefault="005A1FAE" w:rsidP="00562587">
      <w:pPr>
        <w:ind w:left="567" w:hanging="567"/>
        <w:rPr>
          <w:color w:val="000000"/>
        </w:rPr>
      </w:pPr>
      <w:r w:rsidRPr="00562587">
        <w:rPr>
          <w:rStyle w:val="FootnoteReference"/>
        </w:rPr>
        <w:footnoteRef/>
      </w:r>
      <w:r w:rsidR="00562587" w:rsidRPr="00562587">
        <w:t xml:space="preserve"> </w:t>
      </w:r>
      <w:r w:rsidR="00562587" w:rsidRPr="00562587">
        <w:tab/>
      </w:r>
      <w:r w:rsidRPr="00562587">
        <w:t xml:space="preserve">Dz.U. C 445 z 29.10.2021, </w:t>
      </w:r>
      <w:proofErr w:type="gramStart"/>
      <w:r w:rsidRPr="00562587">
        <w:t>s</w:t>
      </w:r>
      <w:proofErr w:type="gramEnd"/>
      <w:r w:rsidRPr="00562587">
        <w:t>. 240.</w:t>
      </w:r>
    </w:p>
  </w:footnote>
  <w:footnote w:id="7">
    <w:p w:rsidR="005A1FAE" w:rsidRPr="00562587" w:rsidRDefault="005A1FAE" w:rsidP="00562587">
      <w:pPr>
        <w:ind w:left="567" w:hanging="567"/>
        <w:rPr>
          <w:color w:val="000000"/>
        </w:rPr>
      </w:pPr>
      <w:r w:rsidRPr="00562587">
        <w:rPr>
          <w:rStyle w:val="FootnoteReference"/>
        </w:rPr>
        <w:footnoteRef/>
      </w:r>
      <w:r w:rsidR="00562587" w:rsidRPr="00562587">
        <w:t xml:space="preserve"> </w:t>
      </w:r>
      <w:r w:rsidR="00562587" w:rsidRPr="00562587">
        <w:tab/>
      </w:r>
      <w:r w:rsidRPr="00562587">
        <w:t xml:space="preserve">Dz.U. C 177 z 17.5.2023, </w:t>
      </w:r>
      <w:proofErr w:type="gramStart"/>
      <w:r w:rsidRPr="00562587">
        <w:t>s</w:t>
      </w:r>
      <w:proofErr w:type="gramEnd"/>
      <w:r w:rsidRPr="00562587">
        <w:t>. 115.</w:t>
      </w:r>
    </w:p>
  </w:footnote>
  <w:footnote w:id="8">
    <w:p w:rsidR="005A1FAE" w:rsidRPr="005B61EB" w:rsidRDefault="005A1FAE" w:rsidP="00562587">
      <w:pPr>
        <w:ind w:left="567" w:hanging="567"/>
        <w:rPr>
          <w:color w:val="000000"/>
          <w:lang w:val="fi-FI"/>
        </w:rPr>
      </w:pPr>
      <w:r w:rsidRPr="00562587">
        <w:rPr>
          <w:rStyle w:val="FootnoteReference"/>
        </w:rPr>
        <w:footnoteRef/>
      </w:r>
      <w:r w:rsidR="00562587" w:rsidRPr="005B61EB">
        <w:rPr>
          <w:lang w:val="fi-FI"/>
        </w:rPr>
        <w:t xml:space="preserve"> </w:t>
      </w:r>
      <w:r w:rsidR="00562587" w:rsidRPr="005B61EB">
        <w:rPr>
          <w:lang w:val="fi-FI"/>
        </w:rPr>
        <w:tab/>
      </w:r>
      <w:proofErr w:type="spellStart"/>
      <w:r w:rsidRPr="005B61EB">
        <w:rPr>
          <w:lang w:val="fi-FI"/>
        </w:rPr>
        <w:t>Dz.U</w:t>
      </w:r>
      <w:proofErr w:type="spellEnd"/>
      <w:r w:rsidRPr="005B61EB">
        <w:rPr>
          <w:lang w:val="fi-FI"/>
        </w:rPr>
        <w:t>. C, C/2024/1195, 23.2.2024, ELI:</w:t>
      </w:r>
      <w:r w:rsidRPr="005B61EB">
        <w:rPr>
          <w:color w:val="000000"/>
          <w:lang w:val="fi-FI"/>
        </w:rPr>
        <w:t xml:space="preserve"> </w:t>
      </w:r>
      <w:hyperlink r:id="rId4" w:history="1">
        <w:r w:rsidRPr="005B61EB">
          <w:rPr>
            <w:rStyle w:val="Hyperlink"/>
            <w:lang w:val="fi-FI"/>
          </w:rPr>
          <w:t>http://data.europa.eu/eli/C/2024/1195/oj</w:t>
        </w:r>
      </w:hyperlink>
      <w:r w:rsidRPr="005B61EB">
        <w:rPr>
          <w:color w:val="000000"/>
          <w:lang w:val="fi-FI"/>
        </w:rPr>
        <w:t>.</w:t>
      </w:r>
    </w:p>
  </w:footnote>
  <w:footnote w:id="9">
    <w:p w:rsidR="005A1FAE" w:rsidRPr="005B61EB" w:rsidRDefault="005A1FAE" w:rsidP="00562587">
      <w:pPr>
        <w:ind w:left="567" w:hanging="567"/>
        <w:rPr>
          <w:color w:val="000000"/>
          <w:lang w:val="fi-FI"/>
        </w:rPr>
      </w:pPr>
      <w:r w:rsidRPr="00562587">
        <w:rPr>
          <w:rStyle w:val="FootnoteReference"/>
        </w:rPr>
        <w:footnoteRef/>
      </w:r>
      <w:r w:rsidR="00562587" w:rsidRPr="005B61EB">
        <w:rPr>
          <w:lang w:val="fi-FI"/>
        </w:rPr>
        <w:t xml:space="preserve"> </w:t>
      </w:r>
      <w:r w:rsidR="00562587" w:rsidRPr="005B61EB">
        <w:rPr>
          <w:lang w:val="fi-FI"/>
        </w:rPr>
        <w:tab/>
      </w:r>
      <w:proofErr w:type="spellStart"/>
      <w:r w:rsidRPr="005B61EB">
        <w:rPr>
          <w:lang w:val="fi-FI"/>
        </w:rPr>
        <w:t>Dz.U</w:t>
      </w:r>
      <w:proofErr w:type="spellEnd"/>
      <w:r w:rsidRPr="005B61EB">
        <w:rPr>
          <w:lang w:val="fi-FI"/>
        </w:rPr>
        <w:t>. C, C/2024/6751, 26.11.2024, ELI:</w:t>
      </w:r>
      <w:r w:rsidRPr="005B61EB">
        <w:rPr>
          <w:color w:val="000000"/>
          <w:lang w:val="fi-FI"/>
        </w:rPr>
        <w:t xml:space="preserve"> </w:t>
      </w:r>
      <w:hyperlink r:id="rId5" w:history="1">
        <w:r w:rsidRPr="005B61EB">
          <w:rPr>
            <w:rStyle w:val="Hyperlink"/>
            <w:lang w:val="fi-FI"/>
          </w:rPr>
          <w:t>http://data.europa.eu/eli/C/2024/6751/oj</w:t>
        </w:r>
      </w:hyperlink>
      <w:r w:rsidRPr="005B61EB">
        <w:rPr>
          <w:color w:val="000000"/>
          <w:lang w:val="fi-FI"/>
        </w:rPr>
        <w:t>.</w:t>
      </w:r>
    </w:p>
  </w:footnote>
  <w:footnote w:id="10">
    <w:p w:rsidR="005A1FAE" w:rsidRPr="005B61EB" w:rsidRDefault="005A1FAE" w:rsidP="00562587">
      <w:pPr>
        <w:ind w:left="567" w:hanging="567"/>
        <w:rPr>
          <w:color w:val="000000"/>
          <w:lang w:val="fi-FI"/>
        </w:rPr>
      </w:pPr>
      <w:r w:rsidRPr="00562587">
        <w:rPr>
          <w:rStyle w:val="FootnoteReference"/>
        </w:rPr>
        <w:footnoteRef/>
      </w:r>
      <w:r w:rsidR="00562587" w:rsidRPr="005B61EB">
        <w:rPr>
          <w:color w:val="000000"/>
          <w:lang w:val="fi-FI"/>
        </w:rPr>
        <w:t xml:space="preserve"> </w:t>
      </w:r>
      <w:r w:rsidR="00562587" w:rsidRPr="005B61EB">
        <w:rPr>
          <w:color w:val="000000"/>
          <w:lang w:val="fi-FI"/>
        </w:rPr>
        <w:tab/>
      </w:r>
      <w:proofErr w:type="spellStart"/>
      <w:r w:rsidRPr="005B61EB">
        <w:rPr>
          <w:color w:val="000000"/>
          <w:lang w:val="fi-FI"/>
        </w:rPr>
        <w:t>Dz.U</w:t>
      </w:r>
      <w:proofErr w:type="spellEnd"/>
      <w:r w:rsidRPr="005B61EB">
        <w:rPr>
          <w:color w:val="000000"/>
          <w:lang w:val="fi-FI"/>
        </w:rPr>
        <w:t>. L</w:t>
      </w:r>
      <w:r w:rsidR="00F76779">
        <w:rPr>
          <w:color w:val="000000"/>
          <w:lang w:val="fi-FI"/>
        </w:rPr>
        <w:t>,</w:t>
      </w:r>
      <w:r w:rsidRPr="005B61EB">
        <w:rPr>
          <w:color w:val="000000"/>
          <w:lang w:val="fi-FI"/>
        </w:rPr>
        <w:t xml:space="preserve"> 2024/2509, 26.9.2024, ELI: </w:t>
      </w:r>
      <w:r w:rsidRPr="005B61EB">
        <w:rPr>
          <w:color w:val="337AB7"/>
          <w:u w:val="single"/>
          <w:lang w:val="fi-FI"/>
        </w:rPr>
        <w:t>http://data.europa.eu/eli/reg/2024/2509/oj.</w:t>
      </w:r>
    </w:p>
  </w:footnote>
  <w:footnote w:id="11">
    <w:p w:rsidR="005A1FAE" w:rsidRPr="00562587" w:rsidRDefault="005A1FAE" w:rsidP="00562587">
      <w:pPr>
        <w:ind w:left="567" w:hanging="567"/>
        <w:rPr>
          <w:color w:val="000000"/>
        </w:rPr>
      </w:pPr>
      <w:r w:rsidRPr="00562587">
        <w:rPr>
          <w:rStyle w:val="FootnoteReference"/>
        </w:rPr>
        <w:footnoteRef/>
      </w:r>
      <w:r w:rsidR="00562587" w:rsidRPr="00562587">
        <w:t xml:space="preserve"> </w:t>
      </w:r>
      <w:r w:rsidR="00562587" w:rsidRPr="00562587">
        <w:tab/>
      </w:r>
      <w:r w:rsidRPr="00562587">
        <w:t xml:space="preserve">Dz.U. L 433 I z 22.12.2020, </w:t>
      </w:r>
      <w:proofErr w:type="gramStart"/>
      <w:r w:rsidRPr="00562587">
        <w:t>s</w:t>
      </w:r>
      <w:proofErr w:type="gramEnd"/>
      <w:r w:rsidRPr="00562587">
        <w:t>. 28, ELI:</w:t>
      </w:r>
      <w:r w:rsidRPr="00562587">
        <w:rPr>
          <w:color w:val="000000"/>
        </w:rPr>
        <w:t xml:space="preserve"> </w:t>
      </w:r>
      <w:hyperlink r:id="rId6" w:history="1">
        <w:r w:rsidRPr="00562587">
          <w:rPr>
            <w:rStyle w:val="Hyperlink"/>
          </w:rPr>
          <w:t>http://data.europa.eu/eli/agree_interinstit/2020/1222/oj</w:t>
        </w:r>
      </w:hyperlink>
      <w:r w:rsidRPr="00562587">
        <w:rPr>
          <w:color w:val="000000"/>
        </w:rPr>
        <w:t>.</w:t>
      </w:r>
    </w:p>
  </w:footnote>
  <w:footnote w:id="12">
    <w:p w:rsidR="005A1FAE" w:rsidRPr="005B61EB" w:rsidRDefault="005A1FAE" w:rsidP="00562587">
      <w:pPr>
        <w:ind w:left="567" w:hanging="567"/>
        <w:rPr>
          <w:color w:val="000000"/>
          <w:lang w:val="fi-FI"/>
        </w:rPr>
      </w:pPr>
      <w:r w:rsidRPr="00562587">
        <w:rPr>
          <w:rStyle w:val="FootnoteReference"/>
        </w:rPr>
        <w:footnoteRef/>
      </w:r>
      <w:r w:rsidR="00562587" w:rsidRPr="005B61EB">
        <w:rPr>
          <w:lang w:val="fi-FI"/>
        </w:rPr>
        <w:t xml:space="preserve"> </w:t>
      </w:r>
      <w:r w:rsidR="00562587" w:rsidRPr="005B61EB">
        <w:rPr>
          <w:lang w:val="fi-FI"/>
        </w:rPr>
        <w:tab/>
      </w:r>
      <w:proofErr w:type="spellStart"/>
      <w:r w:rsidRPr="005B61EB">
        <w:rPr>
          <w:lang w:val="fi-FI"/>
        </w:rPr>
        <w:t>Dz.U</w:t>
      </w:r>
      <w:proofErr w:type="spellEnd"/>
      <w:r w:rsidRPr="005B61EB">
        <w:rPr>
          <w:lang w:val="fi-FI"/>
        </w:rPr>
        <w:t>. L</w:t>
      </w:r>
      <w:r w:rsidR="00F76779">
        <w:rPr>
          <w:lang w:val="fi-FI"/>
        </w:rPr>
        <w:t>,</w:t>
      </w:r>
      <w:bookmarkStart w:id="7" w:name="_GoBack"/>
      <w:bookmarkEnd w:id="7"/>
      <w:r w:rsidRPr="005B61EB">
        <w:rPr>
          <w:lang w:val="fi-FI"/>
        </w:rPr>
        <w:t xml:space="preserve"> 2025/31, 27.2.2025, ELI:</w:t>
      </w:r>
      <w:r w:rsidRPr="005B61EB">
        <w:rPr>
          <w:color w:val="000000"/>
          <w:lang w:val="fi-FI"/>
        </w:rPr>
        <w:t xml:space="preserve"> </w:t>
      </w:r>
      <w:hyperlink r:id="rId7" w:history="1">
        <w:r w:rsidRPr="005B61EB">
          <w:rPr>
            <w:rStyle w:val="Hyperlink"/>
            <w:lang w:val="fi-FI"/>
          </w:rPr>
          <w:t>http://data.europa.eu/eli/budget/2025/31/oj</w:t>
        </w:r>
      </w:hyperlink>
      <w:r w:rsidRPr="005B61EB">
        <w:rPr>
          <w:color w:val="000000"/>
          <w:lang w:val="fi-FI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258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258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258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48/2025"/>
    <w:docVar w:name="dvlangue" w:val="PL"/>
    <w:docVar w:name="dvnumam" w:val="0"/>
    <w:docVar w:name="dvpe" w:val="770.074"/>
    <w:docVar w:name="dvrapporteur" w:val="Sprawozdawca: "/>
    <w:docVar w:name="dvstar" w:val="??"/>
    <w:docVar w:name="dvtitre" w:val="Rezolucja Parlamentu Europejskiego z dnia  2025 r. w sprawie preliminarza dochodów i wydatków Parlamentu Europejskiego na rok budżetowy 2026(2024/2111(BUI))"/>
  </w:docVars>
  <w:rsids>
    <w:rsidRoot w:val="00D7376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1BE7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6C87"/>
    <w:rsid w:val="0050519A"/>
    <w:rsid w:val="005072A1"/>
    <w:rsid w:val="00514517"/>
    <w:rsid w:val="00545827"/>
    <w:rsid w:val="00560270"/>
    <w:rsid w:val="00562587"/>
    <w:rsid w:val="005A1FAE"/>
    <w:rsid w:val="005B61EB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7F3C"/>
    <w:rsid w:val="00BD48FE"/>
    <w:rsid w:val="00BD7BD8"/>
    <w:rsid w:val="00BE6ADC"/>
    <w:rsid w:val="00C05BFE"/>
    <w:rsid w:val="00C23CD4"/>
    <w:rsid w:val="00C61C0C"/>
    <w:rsid w:val="00C941CB"/>
    <w:rsid w:val="00CA32BE"/>
    <w:rsid w:val="00CC2357"/>
    <w:rsid w:val="00CF071A"/>
    <w:rsid w:val="00D058B8"/>
    <w:rsid w:val="00D56C11"/>
    <w:rsid w:val="00D73769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6779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582933"/>
  <w15:chartTrackingRefBased/>
  <w15:docId w15:val="{B7E30208-FDCB-4B99-A62F-9F9650292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Exposant 3 Point,FR,FR1,FR2,FR3,Footnote,Footnote Reference Number,Footnote number,Footnote reference number,Footnote symbol,Footnotemark,Footnotemark1,Footnotemark2,Footnotemark3,Footnotemark4,Times 10 Point,Voetnootverwijzing,fr,o"/>
    <w:link w:val="FootnoteReference1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qFormat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5A1FA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5A1FA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5A1FA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5A1FA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5A1FA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5A1FAE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uiPriority w:val="9"/>
    <w:rsid w:val="005A1FAE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uiPriority w:val="9"/>
    <w:rsid w:val="005A1FAE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uiPriority w:val="9"/>
    <w:rsid w:val="005A1FAE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5A1FA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A1FA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5A1FAE"/>
    <w:pPr>
      <w:spacing w:after="240"/>
    </w:pPr>
  </w:style>
  <w:style w:type="paragraph" w:customStyle="1" w:styleId="TOCPage">
    <w:name w:val="TOC Page"/>
    <w:basedOn w:val="Normal"/>
    <w:next w:val="TOC1"/>
    <w:rsid w:val="005A1FAE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5A1FA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5A1FAE"/>
    <w:rPr>
      <w:b/>
    </w:rPr>
  </w:style>
  <w:style w:type="paragraph" w:customStyle="1" w:styleId="NormalHanging12a">
    <w:name w:val="NormalHanging12a"/>
    <w:basedOn w:val="Normal"/>
    <w:link w:val="NormalHanging12aChar"/>
    <w:rsid w:val="005A1FA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A1FAE"/>
    <w:pPr>
      <w:spacing w:after="480"/>
      <w:ind w:left="1417"/>
    </w:pPr>
  </w:style>
  <w:style w:type="paragraph" w:customStyle="1" w:styleId="CoverNormal">
    <w:name w:val="CoverNormal"/>
    <w:basedOn w:val="Normal"/>
    <w:rsid w:val="005A1FAE"/>
    <w:pPr>
      <w:ind w:left="1418"/>
    </w:pPr>
  </w:style>
  <w:style w:type="paragraph" w:customStyle="1" w:styleId="CoverReference">
    <w:name w:val="CoverReference"/>
    <w:basedOn w:val="Normal"/>
    <w:rsid w:val="005A1FAE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5A1FA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A1FAE"/>
    <w:pPr>
      <w:spacing w:before="240" w:after="1200"/>
    </w:pPr>
  </w:style>
  <w:style w:type="paragraph" w:customStyle="1" w:styleId="EPBody">
    <w:name w:val="EPBody"/>
    <w:basedOn w:val="Normal"/>
    <w:rsid w:val="005A1FA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A1F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uiPriority w:val="99"/>
    <w:rsid w:val="005A1F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1FAE"/>
    <w:rPr>
      <w:sz w:val="24"/>
      <w:lang w:val="pl-PL"/>
    </w:rPr>
  </w:style>
  <w:style w:type="paragraph" w:customStyle="1" w:styleId="EPComma">
    <w:name w:val="EPComma"/>
    <w:basedOn w:val="Normal"/>
    <w:rsid w:val="005A1FAE"/>
    <w:pPr>
      <w:spacing w:before="480" w:after="240"/>
    </w:pPr>
  </w:style>
  <w:style w:type="character" w:styleId="Hyperlink">
    <w:name w:val="Hyperlink"/>
    <w:basedOn w:val="DefaultParagraphFont"/>
    <w:uiPriority w:val="99"/>
    <w:rsid w:val="005A1FAE"/>
    <w:rPr>
      <w:color w:val="0563C1" w:themeColor="hyperlink"/>
      <w:u w:val="single"/>
    </w:rPr>
  </w:style>
  <w:style w:type="paragraph" w:customStyle="1" w:styleId="FootnoteReference1">
    <w:name w:val="Footnote Reference1"/>
    <w:basedOn w:val="Normal"/>
    <w:link w:val="FootnoteReference"/>
    <w:rsid w:val="005A1FAE"/>
    <w:pPr>
      <w:widowControl/>
      <w:spacing w:after="160" w:line="240" w:lineRule="exact"/>
    </w:pPr>
    <w:rPr>
      <w:sz w:val="20"/>
      <w:vertAlign w:val="superscript"/>
      <w:lang w:val="en-GB"/>
    </w:rPr>
  </w:style>
  <w:style w:type="paragraph" w:styleId="Footer">
    <w:name w:val="footer"/>
    <w:basedOn w:val="Normal"/>
    <w:link w:val="FooterChar"/>
    <w:uiPriority w:val="99"/>
    <w:rsid w:val="005A1FA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1FAE"/>
    <w:rPr>
      <w:sz w:val="24"/>
      <w:lang w:val="pl-PL"/>
    </w:rPr>
  </w:style>
  <w:style w:type="paragraph" w:styleId="BalloonText">
    <w:name w:val="Balloon Text"/>
    <w:basedOn w:val="Normal"/>
    <w:link w:val="BalloonTextChar"/>
    <w:uiPriority w:val="99"/>
    <w:unhideWhenUsed/>
    <w:rsid w:val="005A1F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A1FAE"/>
    <w:rPr>
      <w:rFonts w:ascii="Segoe UI" w:hAnsi="Segoe UI" w:cs="Segoe UI"/>
      <w:sz w:val="18"/>
      <w:szCs w:val="18"/>
      <w:lang w:val="pl-PL"/>
    </w:rPr>
  </w:style>
  <w:style w:type="paragraph" w:styleId="ListParagraph">
    <w:name w:val="List Paragraph"/>
    <w:aliases w:val="1st level - Bullet List Paragraph,L,Lettre d'introduction,List Paragraph1,List1,List11,List111,List1111,List11111,List111111,List1111111,List11111111,Medium Grid 1 - Accent 21,Nad,Numbered paragraph 1,Paragrafo elenco,Paragraphe de liste1"/>
    <w:basedOn w:val="Normal"/>
    <w:link w:val="ListParagraphChar"/>
    <w:uiPriority w:val="34"/>
    <w:qFormat/>
    <w:rsid w:val="005A1FAE"/>
    <w:pPr>
      <w:ind w:left="720"/>
      <w:contextualSpacing/>
    </w:pPr>
  </w:style>
  <w:style w:type="character" w:customStyle="1" w:styleId="NormalHanging12aChar">
    <w:name w:val="NormalHanging12a Char"/>
    <w:basedOn w:val="DefaultParagraphFont"/>
    <w:link w:val="NormalHanging12a"/>
    <w:locked/>
    <w:rsid w:val="005A1FAE"/>
    <w:rPr>
      <w:sz w:val="24"/>
      <w:lang w:val="pl-PL"/>
    </w:rPr>
  </w:style>
  <w:style w:type="paragraph" w:customStyle="1" w:styleId="Normal24a">
    <w:name w:val="Normal24a"/>
    <w:basedOn w:val="Normal"/>
    <w:rsid w:val="005A1FAE"/>
    <w:pPr>
      <w:spacing w:after="480"/>
    </w:pPr>
  </w:style>
  <w:style w:type="paragraph" w:customStyle="1" w:styleId="NormalBoldCenter">
    <w:name w:val="NormalBoldCenter"/>
    <w:basedOn w:val="Normal"/>
    <w:rsid w:val="005A1FAE"/>
    <w:pPr>
      <w:jc w:val="center"/>
    </w:pPr>
    <w:rPr>
      <w:b/>
    </w:rPr>
  </w:style>
  <w:style w:type="paragraph" w:customStyle="1" w:styleId="Footprint12b">
    <w:name w:val="Footprint12b"/>
    <w:basedOn w:val="Normal"/>
    <w:rsid w:val="005A1FAE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5A1FAE"/>
    <w:rPr>
      <w:szCs w:val="24"/>
    </w:rPr>
  </w:style>
  <w:style w:type="character" w:styleId="CommentReference">
    <w:name w:val="annotation reference"/>
    <w:basedOn w:val="DefaultParagraphFont"/>
    <w:rsid w:val="005A1F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A1FA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1FAE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A1F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A1FAE"/>
    <w:rPr>
      <w:b/>
      <w:bCs/>
      <w:lang w:val="pl-PL"/>
    </w:rPr>
  </w:style>
  <w:style w:type="paragraph" w:styleId="Title">
    <w:name w:val="Title"/>
    <w:basedOn w:val="Normal"/>
    <w:next w:val="Normal"/>
    <w:link w:val="TitleChar"/>
    <w:uiPriority w:val="10"/>
    <w:qFormat/>
    <w:rsid w:val="005A1FAE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5A1FAE"/>
    <w:rPr>
      <w:rFonts w:ascii="Arial" w:eastAsiaTheme="majorEastAsia" w:hAnsi="Arial" w:cs="Arial"/>
      <w:b/>
      <w:bCs/>
      <w:kern w:val="28"/>
      <w:sz w:val="32"/>
      <w:szCs w:val="32"/>
      <w:lang w:val="pl-PL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1FAE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A1FAE"/>
    <w:rPr>
      <w:rFonts w:ascii="Arial" w:eastAsiaTheme="majorEastAsia" w:hAnsi="Arial" w:cs="Arial"/>
      <w:sz w:val="24"/>
      <w:szCs w:val="24"/>
      <w:lang w:val="pl-PL" w:eastAsia="en-US"/>
    </w:rPr>
  </w:style>
  <w:style w:type="character" w:styleId="Strong">
    <w:name w:val="Strong"/>
    <w:basedOn w:val="DefaultParagraphFont"/>
    <w:uiPriority w:val="22"/>
    <w:qFormat/>
    <w:rsid w:val="005A1FAE"/>
    <w:rPr>
      <w:b/>
      <w:bCs/>
    </w:rPr>
  </w:style>
  <w:style w:type="character" w:styleId="Emphasis">
    <w:name w:val="Emphasis"/>
    <w:basedOn w:val="DefaultParagraphFont"/>
    <w:uiPriority w:val="20"/>
    <w:qFormat/>
    <w:rsid w:val="005A1FAE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A1FAE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5A1FAE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5A1FAE"/>
    <w:rPr>
      <w:rFonts w:eastAsiaTheme="minorHAnsi"/>
      <w:i/>
      <w:sz w:val="24"/>
      <w:szCs w:val="24"/>
      <w:lang w:val="pl-PL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FAE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FAE"/>
    <w:rPr>
      <w:rFonts w:eastAsiaTheme="minorHAnsi"/>
      <w:b/>
      <w:i/>
      <w:sz w:val="24"/>
      <w:szCs w:val="22"/>
      <w:lang w:val="pl-PL" w:eastAsia="en-US"/>
    </w:rPr>
  </w:style>
  <w:style w:type="character" w:styleId="SubtleEmphasis">
    <w:name w:val="Subtle Emphasis"/>
    <w:uiPriority w:val="19"/>
    <w:qFormat/>
    <w:rsid w:val="005A1FAE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A1FAE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A1FAE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A1FAE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A1FAE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TableTitle">
    <w:name w:val="Table Title"/>
    <w:basedOn w:val="Normal"/>
    <w:uiPriority w:val="99"/>
    <w:rsid w:val="005A1FAE"/>
    <w:pPr>
      <w:keepNext/>
      <w:widowControl/>
      <w:spacing w:before="120" w:after="120"/>
    </w:pPr>
    <w:rPr>
      <w:rFonts w:eastAsiaTheme="minorEastAsia"/>
      <w:sz w:val="20"/>
    </w:rPr>
  </w:style>
  <w:style w:type="paragraph" w:customStyle="1" w:styleId="Tablesubtitle">
    <w:name w:val="Table subtitle"/>
    <w:basedOn w:val="Normal"/>
    <w:next w:val="Normal"/>
    <w:uiPriority w:val="99"/>
    <w:rsid w:val="005A1FAE"/>
    <w:pPr>
      <w:keepNext/>
      <w:widowControl/>
    </w:pPr>
    <w:rPr>
      <w:rFonts w:eastAsiaTheme="minorEastAsia"/>
      <w:sz w:val="18"/>
      <w:szCs w:val="18"/>
    </w:rPr>
  </w:style>
  <w:style w:type="paragraph" w:customStyle="1" w:styleId="NormalRight">
    <w:name w:val="Normal Right"/>
    <w:basedOn w:val="Normal"/>
    <w:next w:val="Normal"/>
    <w:uiPriority w:val="99"/>
    <w:rsid w:val="005A1FAE"/>
    <w:pPr>
      <w:widowControl/>
      <w:spacing w:before="120" w:after="120"/>
      <w:jc w:val="right"/>
    </w:pPr>
    <w:rPr>
      <w:rFonts w:eastAsiaTheme="minorEastAsia"/>
      <w:szCs w:val="24"/>
    </w:rPr>
  </w:style>
  <w:style w:type="paragraph" w:customStyle="1" w:styleId="ReusedInfo">
    <w:name w:val="ReusedInfo"/>
    <w:next w:val="Normal"/>
    <w:uiPriority w:val="99"/>
    <w:rsid w:val="005A1FAE"/>
    <w:pPr>
      <w:shd w:val="clear" w:color="auto" w:fill="C0C0C0"/>
      <w:spacing w:before="60" w:after="60"/>
    </w:pPr>
    <w:rPr>
      <w:rFonts w:eastAsiaTheme="minorEastAsia"/>
      <w:lang w:val="pl-PL"/>
    </w:rPr>
  </w:style>
  <w:style w:type="paragraph" w:customStyle="1" w:styleId="Section">
    <w:name w:val="Section"/>
    <w:basedOn w:val="Normal"/>
    <w:next w:val="Normal"/>
    <w:uiPriority w:val="99"/>
    <w:rsid w:val="005A1FAE"/>
    <w:pPr>
      <w:keepNext/>
      <w:widowControl/>
      <w:spacing w:before="480" w:after="120"/>
    </w:pPr>
    <w:rPr>
      <w:rFonts w:eastAsiaTheme="minorEastAsia"/>
      <w:b/>
      <w:bCs/>
      <w:smallCaps/>
      <w:sz w:val="44"/>
      <w:szCs w:val="44"/>
    </w:rPr>
  </w:style>
  <w:style w:type="paragraph" w:customStyle="1" w:styleId="Part">
    <w:name w:val="Part"/>
    <w:basedOn w:val="Normal"/>
    <w:next w:val="Normal"/>
    <w:uiPriority w:val="99"/>
    <w:rsid w:val="005A1FAE"/>
    <w:pPr>
      <w:keepNext/>
      <w:widowControl/>
      <w:spacing w:before="480" w:after="120"/>
    </w:pPr>
    <w:rPr>
      <w:rFonts w:eastAsiaTheme="minorEastAsia"/>
      <w:b/>
      <w:bCs/>
      <w:smallCaps/>
      <w:sz w:val="40"/>
      <w:szCs w:val="40"/>
    </w:rPr>
  </w:style>
  <w:style w:type="paragraph" w:customStyle="1" w:styleId="Revenue">
    <w:name w:val="Revenue"/>
    <w:basedOn w:val="Normal"/>
    <w:next w:val="Normal"/>
    <w:uiPriority w:val="99"/>
    <w:rsid w:val="005A1FAE"/>
    <w:pPr>
      <w:keepNext/>
      <w:widowControl/>
      <w:spacing w:before="480" w:after="120"/>
    </w:pPr>
    <w:rPr>
      <w:rFonts w:eastAsiaTheme="minorEastAsia"/>
      <w:b/>
      <w:bCs/>
      <w:smallCaps/>
      <w:sz w:val="36"/>
      <w:szCs w:val="36"/>
    </w:rPr>
  </w:style>
  <w:style w:type="paragraph" w:customStyle="1" w:styleId="Expenditure">
    <w:name w:val="Expenditure"/>
    <w:basedOn w:val="Normal"/>
    <w:next w:val="Normal"/>
    <w:uiPriority w:val="99"/>
    <w:rsid w:val="005A1FAE"/>
    <w:pPr>
      <w:keepNext/>
      <w:widowControl/>
      <w:spacing w:before="480" w:after="120"/>
    </w:pPr>
    <w:rPr>
      <w:rFonts w:eastAsiaTheme="minorEastAsia"/>
      <w:b/>
      <w:bCs/>
      <w:smallCaps/>
      <w:sz w:val="36"/>
      <w:szCs w:val="36"/>
    </w:rPr>
  </w:style>
  <w:style w:type="paragraph" w:customStyle="1" w:styleId="title2">
    <w:name w:val="title2"/>
    <w:basedOn w:val="Normal"/>
    <w:next w:val="Normal"/>
    <w:uiPriority w:val="99"/>
    <w:rsid w:val="005A1FAE"/>
    <w:pPr>
      <w:keepNext/>
      <w:widowControl/>
      <w:spacing w:before="480" w:after="120"/>
    </w:pPr>
    <w:rPr>
      <w:rFonts w:eastAsiaTheme="minorEastAsia"/>
      <w:b/>
      <w:bCs/>
      <w:smallCaps/>
      <w:sz w:val="32"/>
      <w:szCs w:val="32"/>
    </w:rPr>
  </w:style>
  <w:style w:type="paragraph" w:customStyle="1" w:styleId="Chapter">
    <w:name w:val="Chapter"/>
    <w:basedOn w:val="Normal"/>
    <w:next w:val="Normal"/>
    <w:uiPriority w:val="99"/>
    <w:rsid w:val="005A1FAE"/>
    <w:pPr>
      <w:keepNext/>
      <w:widowControl/>
      <w:spacing w:before="480" w:after="120"/>
    </w:pPr>
    <w:rPr>
      <w:rFonts w:eastAsiaTheme="minorEastAsia"/>
      <w:b/>
      <w:bCs/>
      <w:smallCaps/>
      <w:sz w:val="28"/>
      <w:szCs w:val="28"/>
    </w:rPr>
  </w:style>
  <w:style w:type="paragraph" w:customStyle="1" w:styleId="Article">
    <w:name w:val="Article"/>
    <w:basedOn w:val="Normal"/>
    <w:next w:val="Normal"/>
    <w:uiPriority w:val="99"/>
    <w:rsid w:val="005A1FAE"/>
    <w:pPr>
      <w:keepNext/>
      <w:widowControl/>
      <w:spacing w:before="480" w:after="120"/>
    </w:pPr>
    <w:rPr>
      <w:rFonts w:eastAsiaTheme="minorEastAsia"/>
      <w:b/>
      <w:bCs/>
      <w:i/>
      <w:iCs/>
      <w:szCs w:val="24"/>
    </w:rPr>
  </w:style>
  <w:style w:type="paragraph" w:customStyle="1" w:styleId="Item">
    <w:name w:val="Item"/>
    <w:basedOn w:val="Normal"/>
    <w:next w:val="Normal"/>
    <w:uiPriority w:val="99"/>
    <w:rsid w:val="005A1FAE"/>
    <w:pPr>
      <w:keepNext/>
      <w:widowControl/>
      <w:spacing w:before="480" w:after="120"/>
    </w:pPr>
    <w:rPr>
      <w:rFonts w:eastAsiaTheme="minorEastAsia"/>
      <w:sz w:val="22"/>
      <w:szCs w:val="22"/>
    </w:rPr>
  </w:style>
  <w:style w:type="paragraph" w:customStyle="1" w:styleId="SubItem">
    <w:name w:val="SubItem"/>
    <w:basedOn w:val="Normal"/>
    <w:next w:val="Normal"/>
    <w:uiPriority w:val="99"/>
    <w:rsid w:val="005A1FAE"/>
    <w:pPr>
      <w:keepNext/>
      <w:widowControl/>
      <w:spacing w:before="480" w:after="120"/>
    </w:pPr>
    <w:rPr>
      <w:rFonts w:eastAsiaTheme="minorEastAsia"/>
      <w:sz w:val="20"/>
    </w:rPr>
  </w:style>
  <w:style w:type="paragraph" w:customStyle="1" w:styleId="Annex">
    <w:name w:val="Annex"/>
    <w:basedOn w:val="Normal"/>
    <w:next w:val="Normal"/>
    <w:uiPriority w:val="99"/>
    <w:rsid w:val="005A1FAE"/>
    <w:pPr>
      <w:keepNext/>
      <w:widowControl/>
      <w:spacing w:before="480" w:after="120"/>
    </w:pPr>
    <w:rPr>
      <w:rFonts w:eastAsiaTheme="minorEastAsia"/>
      <w:b/>
      <w:bCs/>
      <w:sz w:val="32"/>
      <w:szCs w:val="32"/>
    </w:rPr>
  </w:style>
  <w:style w:type="paragraph" w:customStyle="1" w:styleId="EndofAnnex">
    <w:name w:val="End of Annex"/>
    <w:basedOn w:val="Normal"/>
    <w:next w:val="Normal"/>
    <w:uiPriority w:val="99"/>
    <w:rsid w:val="005A1FAE"/>
    <w:pPr>
      <w:widowControl/>
      <w:spacing w:before="120" w:after="120"/>
    </w:pPr>
    <w:rPr>
      <w:rFonts w:eastAsiaTheme="minorEastAsia"/>
      <w:i/>
      <w:iCs/>
      <w:sz w:val="20"/>
    </w:rPr>
  </w:style>
  <w:style w:type="paragraph" w:customStyle="1" w:styleId="Objective">
    <w:name w:val="Objective"/>
    <w:basedOn w:val="Normal"/>
    <w:next w:val="Normal"/>
    <w:uiPriority w:val="99"/>
    <w:rsid w:val="005A1FAE"/>
    <w:pPr>
      <w:keepNext/>
      <w:widowControl/>
      <w:spacing w:before="120" w:after="120"/>
    </w:pPr>
    <w:rPr>
      <w:rFonts w:eastAsiaTheme="minorEastAsia"/>
      <w:i/>
      <w:iCs/>
      <w:sz w:val="20"/>
    </w:rPr>
  </w:style>
  <w:style w:type="paragraph" w:customStyle="1" w:styleId="Figures">
    <w:name w:val="Figures"/>
    <w:basedOn w:val="Normal"/>
    <w:next w:val="Normal"/>
    <w:uiPriority w:val="99"/>
    <w:rsid w:val="005A1FAE"/>
    <w:pPr>
      <w:keepNext/>
      <w:widowControl/>
      <w:spacing w:before="120" w:after="120"/>
    </w:pPr>
    <w:rPr>
      <w:rFonts w:eastAsiaTheme="minorEastAsia"/>
      <w:i/>
      <w:iCs/>
      <w:sz w:val="20"/>
    </w:rPr>
  </w:style>
  <w:style w:type="paragraph" w:customStyle="1" w:styleId="Remarks">
    <w:name w:val="Remarks"/>
    <w:basedOn w:val="Normal"/>
    <w:next w:val="Normal"/>
    <w:uiPriority w:val="99"/>
    <w:rsid w:val="005A1FAE"/>
    <w:pPr>
      <w:keepNext/>
      <w:widowControl/>
      <w:spacing w:before="120" w:after="120"/>
    </w:pPr>
    <w:rPr>
      <w:rFonts w:eastAsiaTheme="minorEastAsia"/>
      <w:i/>
      <w:iCs/>
      <w:sz w:val="20"/>
    </w:rPr>
  </w:style>
  <w:style w:type="paragraph" w:customStyle="1" w:styleId="ReserveCond">
    <w:name w:val="ReserveCond"/>
    <w:basedOn w:val="Normal"/>
    <w:next w:val="Normal"/>
    <w:uiPriority w:val="99"/>
    <w:rsid w:val="005A1FAE"/>
    <w:pPr>
      <w:keepNext/>
      <w:widowControl/>
      <w:spacing w:before="120" w:after="120"/>
    </w:pPr>
    <w:rPr>
      <w:rFonts w:eastAsiaTheme="minorEastAsia"/>
      <w:i/>
      <w:iCs/>
      <w:sz w:val="20"/>
    </w:rPr>
  </w:style>
  <w:style w:type="paragraph" w:customStyle="1" w:styleId="Legalbasis">
    <w:name w:val="Legal basis"/>
    <w:basedOn w:val="Normal"/>
    <w:next w:val="Normal"/>
    <w:uiPriority w:val="99"/>
    <w:rsid w:val="005A1FAE"/>
    <w:pPr>
      <w:keepNext/>
      <w:widowControl/>
      <w:spacing w:before="120" w:after="120"/>
    </w:pPr>
    <w:rPr>
      <w:rFonts w:eastAsiaTheme="minorEastAsia"/>
      <w:i/>
      <w:iCs/>
      <w:sz w:val="20"/>
    </w:rPr>
  </w:style>
  <w:style w:type="paragraph" w:customStyle="1" w:styleId="Reference">
    <w:name w:val="Reference"/>
    <w:basedOn w:val="Normal"/>
    <w:next w:val="Normal"/>
    <w:uiPriority w:val="99"/>
    <w:rsid w:val="005A1FAE"/>
    <w:pPr>
      <w:keepNext/>
      <w:widowControl/>
      <w:spacing w:before="120" w:after="120"/>
    </w:pPr>
    <w:rPr>
      <w:rFonts w:eastAsiaTheme="minorEastAsia"/>
      <w:i/>
      <w:iCs/>
      <w:sz w:val="20"/>
    </w:rPr>
  </w:style>
  <w:style w:type="character" w:customStyle="1" w:styleId="tw4winExternal">
    <w:name w:val="tw4winExternal"/>
    <w:basedOn w:val="DefaultParagraphFont"/>
    <w:uiPriority w:val="99"/>
    <w:rsid w:val="005A1FAE"/>
  </w:style>
  <w:style w:type="character" w:customStyle="1" w:styleId="tw4winInternal">
    <w:name w:val="tw4winInternal"/>
    <w:basedOn w:val="DefaultParagraphFont"/>
    <w:uiPriority w:val="99"/>
    <w:rsid w:val="005A1FAE"/>
    <w:rPr>
      <w:sz w:val="16"/>
      <w:szCs w:val="16"/>
      <w:u w:val="dash"/>
      <w:shd w:val="clear" w:color="auto" w:fill="FFFF00"/>
    </w:rPr>
  </w:style>
  <w:style w:type="character" w:customStyle="1" w:styleId="ReusedInlineInfo">
    <w:name w:val="ReusedInlineInfo"/>
    <w:basedOn w:val="DefaultParagraphFont"/>
    <w:uiPriority w:val="99"/>
    <w:rsid w:val="005A1FAE"/>
    <w:rPr>
      <w:sz w:val="16"/>
      <w:szCs w:val="16"/>
      <w:u w:val="dash"/>
      <w:shd w:val="clear" w:color="auto" w:fill="FFFF00"/>
    </w:rPr>
  </w:style>
  <w:style w:type="character" w:customStyle="1" w:styleId="Error">
    <w:name w:val="Error"/>
    <w:basedOn w:val="DefaultParagraphFont"/>
    <w:uiPriority w:val="99"/>
    <w:rsid w:val="005A1FAE"/>
    <w:rPr>
      <w:shd w:val="clear" w:color="auto" w:fill="FF0000"/>
    </w:rPr>
  </w:style>
  <w:style w:type="paragraph" w:styleId="Revision">
    <w:name w:val="Revision"/>
    <w:hidden/>
    <w:uiPriority w:val="99"/>
    <w:semiHidden/>
    <w:rsid w:val="005A1FAE"/>
    <w:rPr>
      <w:rFonts w:eastAsiaTheme="minorHAnsi"/>
      <w:sz w:val="24"/>
      <w:szCs w:val="24"/>
      <w:lang w:val="pl-PL" w:eastAsia="en-US"/>
    </w:rPr>
  </w:style>
  <w:style w:type="numbering" w:customStyle="1" w:styleId="NoList1">
    <w:name w:val="No List1"/>
    <w:next w:val="NoList"/>
    <w:uiPriority w:val="99"/>
    <w:semiHidden/>
    <w:unhideWhenUsed/>
    <w:rsid w:val="005A1FAE"/>
  </w:style>
  <w:style w:type="numbering" w:customStyle="1" w:styleId="NoList2">
    <w:name w:val="No List2"/>
    <w:next w:val="NoList"/>
    <w:uiPriority w:val="99"/>
    <w:semiHidden/>
    <w:unhideWhenUsed/>
    <w:rsid w:val="005A1FAE"/>
  </w:style>
  <w:style w:type="paragraph" w:customStyle="1" w:styleId="Default">
    <w:name w:val="Default"/>
    <w:rsid w:val="005A1FAE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pl-PL" w:eastAsia="en-US"/>
    </w:rPr>
  </w:style>
  <w:style w:type="character" w:customStyle="1" w:styleId="ListParagraphChar">
    <w:name w:val="List Paragraph Char"/>
    <w:aliases w:val="1st level - Bullet List Paragraph Char,L Char,Lettre d'introduction Char,List Paragraph1 Char,List1 Char,List11 Char,List111 Char,List1111 Char,List11111 Char,List111111 Char,List1111111 Char,List11111111 Char,Nad Char"/>
    <w:basedOn w:val="DefaultParagraphFont"/>
    <w:link w:val="ListParagraph"/>
    <w:uiPriority w:val="34"/>
    <w:qFormat/>
    <w:locked/>
    <w:rsid w:val="005A1FAE"/>
    <w:rPr>
      <w:sz w:val="24"/>
      <w:lang w:val="pl-PL"/>
    </w:rPr>
  </w:style>
  <w:style w:type="paragraph" w:customStyle="1" w:styleId="RollCallVotes">
    <w:name w:val="RollCallVotes"/>
    <w:basedOn w:val="Normal"/>
    <w:rsid w:val="005A1FA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5A1FA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5A1FA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5A1FAE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7" Type="http://schemas.openxmlformats.org/officeDocument/2006/relationships/hyperlink" Target="http://data.europa.eu/eli/budget/2025/31/oj" TargetMode="External"/><Relationship Id="rId2" Type="http://schemas.openxmlformats.org/officeDocument/2006/relationships/hyperlink" Target="http://data.europa.eu/eli/reg/2022/2496/oj" TargetMode="External"/><Relationship Id="rId1" Type="http://schemas.openxmlformats.org/officeDocument/2006/relationships/hyperlink" Target="http://data.europa.eu/eli/reg/2020/2093/oj" TargetMode="External"/><Relationship Id="rId6" Type="http://schemas.openxmlformats.org/officeDocument/2006/relationships/hyperlink" Target="http://data.europa.eu/eli/agree_interinstit/2020/1222/oj" TargetMode="External"/><Relationship Id="rId5" Type="http://schemas.openxmlformats.org/officeDocument/2006/relationships/hyperlink" Target="http://data.europa.eu/eli/C/2024/6751/oj" TargetMode="External"/><Relationship Id="rId4" Type="http://schemas.openxmlformats.org/officeDocument/2006/relationships/hyperlink" Target="http://data.europa.eu/eli/C/2024/119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3414E1-0B58-4917-88B7-146E2729B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4111</Words>
  <Characters>23437</Characters>
  <Application>Microsoft Office Word</Application>
  <DocSecurity>0</DocSecurity>
  <Lines>195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2025-06-02T10:06:00Z</dcterms:created>
  <dcterms:modified xsi:type="dcterms:W3CDTF">2025-06-02T10:06:00Z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P10_TA(2025)0060_</vt:lpwstr>
  </property>
  <property fmtid="{D5CDD505-2E9C-101B-9397-08002B2CF9AE}" pid="4" name="&lt;Type&gt;">
    <vt:lpwstr>RR</vt:lpwstr>
  </property>
</Properties>
</file>