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327B" w:rsidTr="0010095E">
        <w:trPr>
          <w:trHeight w:hRule="exact" w:val="1418"/>
        </w:trPr>
        <w:tc>
          <w:tcPr>
            <w:tcW w:w="6804" w:type="dxa"/>
            <w:shd w:val="clear" w:color="auto" w:fill="auto"/>
            <w:vAlign w:val="center"/>
          </w:tcPr>
          <w:p w:rsidR="00751A4A" w:rsidRPr="004C327B" w:rsidRDefault="00F3569F" w:rsidP="0010095E">
            <w:pPr>
              <w:pStyle w:val="EPName"/>
            </w:pPr>
            <w:r w:rsidRPr="004C327B">
              <w:t>Parlamentul European</w:t>
            </w:r>
          </w:p>
          <w:p w:rsidR="00751A4A" w:rsidRPr="004C327B" w:rsidRDefault="005F1B17" w:rsidP="005F1B17">
            <w:pPr>
              <w:pStyle w:val="EPTerm"/>
              <w:rPr>
                <w:rStyle w:val="HideTWBExt"/>
                <w:noProof w:val="0"/>
                <w:vanish w:val="0"/>
                <w:color w:val="auto"/>
              </w:rPr>
            </w:pPr>
            <w:r w:rsidRPr="004C327B">
              <w:t>2024</w:t>
            </w:r>
            <w:r w:rsidR="00817416" w:rsidRPr="004C327B">
              <w:t>-202</w:t>
            </w:r>
            <w:r w:rsidRPr="004C327B">
              <w:t>9</w:t>
            </w:r>
          </w:p>
        </w:tc>
        <w:tc>
          <w:tcPr>
            <w:tcW w:w="2268" w:type="dxa"/>
            <w:shd w:val="clear" w:color="auto" w:fill="auto"/>
          </w:tcPr>
          <w:p w:rsidR="00751A4A" w:rsidRPr="004C327B" w:rsidRDefault="00187494" w:rsidP="0010095E">
            <w:pPr>
              <w:pStyle w:val="EPLogo"/>
            </w:pPr>
            <w:r w:rsidRPr="004C32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327B" w:rsidRDefault="00D058B8" w:rsidP="004C5D52">
      <w:pPr>
        <w:pStyle w:val="LineTop"/>
      </w:pPr>
    </w:p>
    <w:p w:rsidR="00680577" w:rsidRPr="004C327B" w:rsidRDefault="00F3569F" w:rsidP="00680577">
      <w:pPr>
        <w:pStyle w:val="EPBodyTA1"/>
      </w:pPr>
      <w:r w:rsidRPr="004C327B">
        <w:t>TEXTE ADOPTATE</w:t>
      </w:r>
    </w:p>
    <w:p w:rsidR="00D058B8" w:rsidRPr="004C327B" w:rsidRDefault="00D058B8" w:rsidP="00D058B8">
      <w:pPr>
        <w:pStyle w:val="LineBottom"/>
      </w:pPr>
    </w:p>
    <w:p w:rsidR="00F3569F" w:rsidRPr="004C327B" w:rsidRDefault="00F3569F" w:rsidP="00F3569F">
      <w:pPr>
        <w:pStyle w:val="ATHeading1"/>
      </w:pPr>
      <w:bookmarkStart w:id="0" w:name="TANumber"/>
      <w:r w:rsidRPr="004C327B">
        <w:t>P10_TA(2025)</w:t>
      </w:r>
      <w:bookmarkEnd w:id="0"/>
      <w:r w:rsidR="00F5192C" w:rsidRPr="004C327B">
        <w:t>0060</w:t>
      </w:r>
    </w:p>
    <w:p w:rsidR="00F3569F" w:rsidRPr="004C327B" w:rsidRDefault="00F503D1" w:rsidP="00F503D1">
      <w:pPr>
        <w:pStyle w:val="ATHeading2"/>
      </w:pPr>
      <w:bookmarkStart w:id="1" w:name="title"/>
      <w:r w:rsidRPr="004C327B">
        <w:t>Estimarea bugetului de venituri și cheltuieli pentru exercițiul financiar 2026 – Secțiunea I – Parlamentul European</w:t>
      </w:r>
      <w:bookmarkEnd w:id="1"/>
    </w:p>
    <w:p w:rsidR="00F3569F" w:rsidRPr="004C327B" w:rsidRDefault="00F3569F" w:rsidP="00F3569F">
      <w:pPr>
        <w:rPr>
          <w:i/>
          <w:vanish/>
        </w:rPr>
      </w:pPr>
      <w:r w:rsidRPr="004C327B">
        <w:rPr>
          <w:i/>
        </w:rPr>
        <w:fldChar w:fldCharType="begin"/>
      </w:r>
      <w:r w:rsidRPr="004C327B">
        <w:rPr>
          <w:i/>
        </w:rPr>
        <w:instrText xml:space="preserve"> TC"(</w:instrText>
      </w:r>
      <w:bookmarkStart w:id="2" w:name="DocNumber"/>
      <w:r w:rsidRPr="004C327B">
        <w:rPr>
          <w:i/>
        </w:rPr>
        <w:instrText>A10-0048/2025</w:instrText>
      </w:r>
      <w:bookmarkEnd w:id="2"/>
      <w:r w:rsidRPr="004C327B">
        <w:rPr>
          <w:i/>
        </w:rPr>
        <w:instrText xml:space="preserve"> - Raportor: </w:instrText>
      </w:r>
      <w:proofErr w:type="spellStart"/>
      <w:r w:rsidRPr="004C327B">
        <w:rPr>
          <w:i/>
        </w:rPr>
        <w:instrText>Matjaž</w:instrText>
      </w:r>
      <w:proofErr w:type="spellEnd"/>
      <w:r w:rsidRPr="004C327B">
        <w:rPr>
          <w:i/>
        </w:rPr>
        <w:instrText xml:space="preserve"> </w:instrText>
      </w:r>
      <w:proofErr w:type="spellStart"/>
      <w:r w:rsidRPr="004C327B">
        <w:rPr>
          <w:i/>
        </w:rPr>
        <w:instrText>Nemec</w:instrText>
      </w:r>
      <w:proofErr w:type="spellEnd"/>
      <w:r w:rsidRPr="004C327B">
        <w:rPr>
          <w:i/>
        </w:rPr>
        <w:instrText xml:space="preserve">)"\l3 \n&gt; \* MERGEFORMAT </w:instrText>
      </w:r>
      <w:r w:rsidRPr="004C327B">
        <w:rPr>
          <w:i/>
        </w:rPr>
        <w:fldChar w:fldCharType="end"/>
      </w:r>
    </w:p>
    <w:p w:rsidR="00F3569F" w:rsidRPr="004C327B" w:rsidRDefault="00F3569F" w:rsidP="00F3569F">
      <w:pPr>
        <w:rPr>
          <w:vanish/>
        </w:rPr>
      </w:pPr>
      <w:bookmarkStart w:id="3" w:name="Commission"/>
      <w:r w:rsidRPr="004C327B">
        <w:rPr>
          <w:vanish/>
        </w:rPr>
        <w:t>Comisia pentru bugete</w:t>
      </w:r>
      <w:bookmarkEnd w:id="3"/>
    </w:p>
    <w:p w:rsidR="00F3569F" w:rsidRPr="004C327B" w:rsidRDefault="00F3569F" w:rsidP="00F3569F">
      <w:pPr>
        <w:rPr>
          <w:vanish/>
        </w:rPr>
      </w:pPr>
      <w:bookmarkStart w:id="4" w:name="PE"/>
      <w:r w:rsidRPr="004C327B">
        <w:rPr>
          <w:vanish/>
        </w:rPr>
        <w:t>PE770.074</w:t>
      </w:r>
      <w:bookmarkEnd w:id="4"/>
    </w:p>
    <w:p w:rsidR="00F3569F" w:rsidRPr="004C327B" w:rsidRDefault="00F3569F" w:rsidP="00F3569F">
      <w:pPr>
        <w:pStyle w:val="ATHeading3"/>
      </w:pPr>
      <w:bookmarkStart w:id="5" w:name="Sujet"/>
      <w:r w:rsidRPr="004C327B">
        <w:t>Rezoluția Parlamentului European din 3 aprilie 2025 referitoare la estimarea bugetului de venituri și cheltuieli al Parlamentului European pentru exercițiul financiar 2026</w:t>
      </w:r>
      <w:bookmarkEnd w:id="5"/>
      <w:r w:rsidRPr="004C327B">
        <w:t xml:space="preserve"> </w:t>
      </w:r>
      <w:bookmarkStart w:id="6" w:name="References"/>
      <w:r w:rsidRPr="004C327B">
        <w:t>(2024/2111(BUI))</w:t>
      </w:r>
      <w:bookmarkEnd w:id="6"/>
    </w:p>
    <w:p w:rsidR="008A11D9" w:rsidRPr="004C327B" w:rsidRDefault="008A11D9" w:rsidP="008A11D9">
      <w:pPr>
        <w:keepNext/>
        <w:spacing w:before="480" w:after="240"/>
        <w:rPr>
          <w:color w:val="000000"/>
        </w:rPr>
      </w:pPr>
      <w:bookmarkStart w:id="7" w:name="TextBodyBegin"/>
      <w:bookmarkEnd w:id="7"/>
      <w:r w:rsidRPr="004C327B">
        <w:rPr>
          <w:i/>
          <w:color w:val="000000"/>
        </w:rPr>
        <w:t>Parlamentul European</w:t>
      </w:r>
      <w:r w:rsidRPr="004C327B">
        <w:rPr>
          <w:color w:val="000000"/>
        </w:rPr>
        <w:t>,</w:t>
      </w:r>
    </w:p>
    <w:p w:rsidR="008A11D9" w:rsidRPr="004C327B" w:rsidRDefault="008A11D9" w:rsidP="008A11D9">
      <w:pPr>
        <w:spacing w:after="240"/>
        <w:ind w:left="567" w:hanging="567"/>
        <w:jc w:val="both"/>
        <w:rPr>
          <w:color w:val="000000"/>
        </w:rPr>
      </w:pPr>
      <w:r w:rsidRPr="004C327B">
        <w:rPr>
          <w:color w:val="000000"/>
        </w:rPr>
        <w:t>–</w:t>
      </w:r>
      <w:r w:rsidRPr="004C327B">
        <w:rPr>
          <w:color w:val="000000"/>
        </w:rPr>
        <w:tab/>
        <w:t>având în vedere articolul 314 din Tratatul privind funcționarea Uniunii Europene,</w:t>
      </w:r>
    </w:p>
    <w:p w:rsidR="008A11D9" w:rsidRPr="004C327B" w:rsidRDefault="008A11D9" w:rsidP="008A11D9">
      <w:pPr>
        <w:spacing w:after="240"/>
        <w:ind w:left="567" w:hanging="567"/>
        <w:jc w:val="both"/>
        <w:rPr>
          <w:color w:val="000000"/>
        </w:rPr>
      </w:pPr>
      <w:r w:rsidRPr="004C327B">
        <w:rPr>
          <w:color w:val="000000"/>
        </w:rPr>
        <w:t>–</w:t>
      </w:r>
      <w:r w:rsidRPr="004C327B">
        <w:rPr>
          <w:color w:val="000000"/>
        </w:rPr>
        <w:tab/>
        <w:t>având în vedere Regulamentul (UE, Euratom) 2020/2093 al Consiliului din 17 decembrie 2020 de stabilire a cadrului financiar multianual pentru perioada 2021-2027</w:t>
      </w:r>
      <w:r w:rsidRPr="004C327B">
        <w:rPr>
          <w:color w:val="000000"/>
          <w:vertAlign w:val="superscript"/>
        </w:rPr>
        <w:footnoteReference w:id="1"/>
      </w:r>
      <w:r w:rsidRPr="004C327B">
        <w:rPr>
          <w:color w:val="000000"/>
        </w:rPr>
        <w:t xml:space="preserve"> și declarațiile comune convenite de Parlamentul European, Consiliu și Comisie în acest context</w:t>
      </w:r>
      <w:r w:rsidRPr="004C327B">
        <w:rPr>
          <w:color w:val="000000"/>
          <w:vertAlign w:val="superscript"/>
        </w:rPr>
        <w:footnoteReference w:id="2"/>
      </w:r>
      <w:r w:rsidRPr="004C327B">
        <w:rPr>
          <w:color w:val="000000"/>
        </w:rPr>
        <w:t>, precum și declarațiile unilaterale aferente</w:t>
      </w:r>
      <w:r w:rsidRPr="004C327B">
        <w:rPr>
          <w:color w:val="000000"/>
          <w:vertAlign w:val="superscript"/>
        </w:rPr>
        <w:footnoteReference w:id="3"/>
      </w:r>
      <w:r w:rsidRPr="004C327B">
        <w:rPr>
          <w:color w:val="000000"/>
        </w:rPr>
        <w:t>,</w:t>
      </w:r>
    </w:p>
    <w:p w:rsidR="008A11D9" w:rsidRPr="004C327B" w:rsidRDefault="008A11D9" w:rsidP="008A11D9">
      <w:pPr>
        <w:spacing w:after="240"/>
        <w:ind w:left="567" w:hanging="567"/>
        <w:jc w:val="both"/>
        <w:rPr>
          <w:color w:val="000000" w:themeColor="text1"/>
        </w:rPr>
      </w:pPr>
      <w:r w:rsidRPr="004C327B">
        <w:rPr>
          <w:color w:val="000000"/>
        </w:rPr>
        <w:t>–</w:t>
      </w:r>
      <w:r w:rsidRPr="004C327B">
        <w:rPr>
          <w:color w:val="000000"/>
        </w:rPr>
        <w:tab/>
        <w:t>având în vedere Regulamentul (UE, Euratom) 2022/2496 al Consiliului din 15 decembrie 2022 de modificare a Regulamentului (UE, Euratom) 2020/2093 de stabilire a cadrului financiar multianual pentru perioada 2021-2027</w:t>
      </w:r>
      <w:r w:rsidRPr="004C327B">
        <w:rPr>
          <w:color w:val="000000"/>
          <w:vertAlign w:val="superscript"/>
        </w:rPr>
        <w:footnoteReference w:id="4"/>
      </w:r>
      <w:r w:rsidRPr="004C327B">
        <w:rPr>
          <w:color w:val="000000"/>
        </w:rPr>
        <w:t>,</w:t>
      </w:r>
    </w:p>
    <w:p w:rsidR="008A11D9" w:rsidRPr="004C327B" w:rsidRDefault="008A11D9" w:rsidP="008A11D9">
      <w:pPr>
        <w:spacing w:after="240"/>
        <w:ind w:left="567" w:hanging="567"/>
        <w:jc w:val="both"/>
      </w:pPr>
      <w:r w:rsidRPr="004C327B">
        <w:t>–</w:t>
      </w:r>
      <w:r w:rsidRPr="004C327B">
        <w:tab/>
      </w:r>
      <w:r w:rsidRPr="004C327B">
        <w:rPr>
          <w:color w:val="000000"/>
        </w:rPr>
        <w:t>având în vedere Regulamentul (UE, Euratom) 2024/765 al Consiliului de modificare a Regulamentului (UE, Euratom) 2020/2093 de stabilire a cadrului financiar multianual pentru perioada 2021-2027</w:t>
      </w:r>
      <w:r w:rsidRPr="004C327B">
        <w:rPr>
          <w:rStyle w:val="FootnoteReference"/>
          <w:color w:val="000000"/>
        </w:rPr>
        <w:footnoteReference w:id="5"/>
      </w:r>
      <w:r w:rsidRPr="004C327B">
        <w:rPr>
          <w:color w:val="000000"/>
        </w:rPr>
        <w:t xml:space="preserve"> (</w:t>
      </w:r>
      <w:r w:rsidR="00222EE4" w:rsidRPr="004C327B">
        <w:rPr>
          <w:color w:val="000000"/>
        </w:rPr>
        <w:t>denumit î</w:t>
      </w:r>
      <w:r w:rsidR="00222EE4" w:rsidRPr="004C327B">
        <w:rPr>
          <w:color w:val="000000"/>
          <w:sz w:val="26"/>
        </w:rPr>
        <w:t xml:space="preserve">n continuare </w:t>
      </w:r>
      <w:r w:rsidRPr="004C327B">
        <w:rPr>
          <w:color w:val="000000"/>
        </w:rPr>
        <w:t xml:space="preserve">„Revizuirea </w:t>
      </w:r>
      <w:proofErr w:type="spellStart"/>
      <w:r w:rsidRPr="004C327B">
        <w:rPr>
          <w:color w:val="000000"/>
        </w:rPr>
        <w:t>CFM</w:t>
      </w:r>
      <w:proofErr w:type="spellEnd"/>
      <w:r w:rsidRPr="004C327B">
        <w:rPr>
          <w:color w:val="000000"/>
        </w:rPr>
        <w:t>”),</w:t>
      </w:r>
    </w:p>
    <w:p w:rsidR="008A11D9" w:rsidRPr="004C327B" w:rsidRDefault="008A11D9" w:rsidP="008A11D9">
      <w:pPr>
        <w:spacing w:after="240"/>
        <w:ind w:left="567" w:hanging="567"/>
        <w:jc w:val="both"/>
      </w:pPr>
      <w:r w:rsidRPr="004C327B">
        <w:t>–</w:t>
      </w:r>
      <w:r w:rsidRPr="004C327B">
        <w:tab/>
        <w:t>având în vedere rezoluția sa legislativă din 16 decembrie 2020 referitoare la proiectul de regulament al Consiliului de stabilire a cadrului financiar multianual pentru perioada 2021-2027</w:t>
      </w:r>
      <w:r w:rsidRPr="004C327B">
        <w:rPr>
          <w:vertAlign w:val="superscript"/>
        </w:rPr>
        <w:footnoteReference w:id="6"/>
      </w:r>
      <w:r w:rsidRPr="004C327B">
        <w:t>,</w:t>
      </w:r>
    </w:p>
    <w:p w:rsidR="008A11D9" w:rsidRPr="004C327B" w:rsidRDefault="008A11D9" w:rsidP="008A11D9">
      <w:pPr>
        <w:spacing w:after="240"/>
        <w:ind w:left="567" w:hanging="567"/>
        <w:jc w:val="both"/>
        <w:rPr>
          <w:color w:val="000000"/>
        </w:rPr>
      </w:pPr>
      <w:r w:rsidRPr="004C327B">
        <w:rPr>
          <w:color w:val="000000"/>
        </w:rPr>
        <w:t>–</w:t>
      </w:r>
      <w:r w:rsidRPr="004C327B">
        <w:rPr>
          <w:color w:val="000000"/>
        </w:rPr>
        <w:tab/>
        <w:t xml:space="preserve">având în vedere rezoluția sa din 15 decembrie 2022 referitoare la extinderea cadrului </w:t>
      </w:r>
      <w:r w:rsidRPr="004C327B">
        <w:rPr>
          <w:color w:val="000000"/>
        </w:rPr>
        <w:lastRenderedPageBreak/>
        <w:t xml:space="preserve">financiar multianual 2021-2027: un buget al UE </w:t>
      </w:r>
      <w:proofErr w:type="spellStart"/>
      <w:r w:rsidRPr="004C327B">
        <w:rPr>
          <w:color w:val="000000"/>
        </w:rPr>
        <w:t>rezilient</w:t>
      </w:r>
      <w:proofErr w:type="spellEnd"/>
      <w:r w:rsidRPr="004C327B">
        <w:rPr>
          <w:color w:val="000000"/>
        </w:rPr>
        <w:t>, adaptat noilor provocări</w:t>
      </w:r>
      <w:r w:rsidRPr="004C327B">
        <w:rPr>
          <w:color w:val="000000"/>
          <w:vertAlign w:val="superscript"/>
        </w:rPr>
        <w:footnoteReference w:id="7"/>
      </w:r>
      <w:r w:rsidRPr="004C327B">
        <w:rPr>
          <w:color w:val="000000"/>
        </w:rPr>
        <w:t>,</w:t>
      </w:r>
    </w:p>
    <w:p w:rsidR="008A11D9" w:rsidRPr="004C327B" w:rsidRDefault="008A11D9" w:rsidP="008A11D9">
      <w:pPr>
        <w:spacing w:after="240"/>
        <w:ind w:left="567" w:hanging="567"/>
        <w:jc w:val="both"/>
      </w:pPr>
      <w:r w:rsidRPr="004C327B">
        <w:t>–</w:t>
      </w:r>
      <w:r w:rsidRPr="004C327B">
        <w:tab/>
        <w:t>având în vedere rezoluția sa din 3 octombrie 2023 referitoare la propunerea de revizuire la jumătatea perioadei a cadrului financiar multianual 2021-2027</w:t>
      </w:r>
      <w:r w:rsidRPr="004C327B">
        <w:rPr>
          <w:vertAlign w:val="superscript"/>
        </w:rPr>
        <w:footnoteReference w:id="8"/>
      </w:r>
      <w:r w:rsidRPr="004C327B">
        <w:t>,</w:t>
      </w:r>
    </w:p>
    <w:p w:rsidR="008A11D9" w:rsidRPr="004C327B" w:rsidRDefault="008A11D9" w:rsidP="008A11D9">
      <w:pPr>
        <w:spacing w:after="240"/>
        <w:ind w:left="567" w:hanging="567"/>
        <w:jc w:val="both"/>
        <w:rPr>
          <w:color w:val="000000"/>
        </w:rPr>
      </w:pPr>
      <w:r w:rsidRPr="004C327B">
        <w:rPr>
          <w:color w:val="000000"/>
        </w:rPr>
        <w:t>–</w:t>
      </w:r>
      <w:r w:rsidRPr="004C327B">
        <w:rPr>
          <w:color w:val="000000"/>
        </w:rPr>
        <w:tab/>
        <w:t>având în vedere rezoluția sa din 27 februarie 2024 referitoare la proiectul de regulament al Consiliului de modificare a Regulamentului (UE, Euratom) 2020/2093 de stabilire a cadrului financiar multianual pentru perioada 2021-2027</w:t>
      </w:r>
      <w:r w:rsidRPr="004C327B">
        <w:rPr>
          <w:color w:val="000000"/>
          <w:vertAlign w:val="superscript"/>
        </w:rPr>
        <w:footnoteReference w:id="9"/>
      </w:r>
      <w:r w:rsidRPr="004C327B">
        <w:rPr>
          <w:color w:val="000000"/>
        </w:rPr>
        <w:t>,</w:t>
      </w:r>
    </w:p>
    <w:p w:rsidR="008A11D9" w:rsidRPr="004C327B" w:rsidRDefault="008A11D9" w:rsidP="008A11D9">
      <w:pPr>
        <w:widowControl/>
        <w:spacing w:after="240"/>
        <w:ind w:left="567" w:hanging="567"/>
        <w:jc w:val="both"/>
        <w:rPr>
          <w:color w:val="000000"/>
        </w:rPr>
      </w:pPr>
      <w:r w:rsidRPr="004C327B">
        <w:rPr>
          <w:color w:val="000000"/>
        </w:rPr>
        <w:t>–</w:t>
      </w:r>
      <w:r w:rsidRPr="004C327B">
        <w:rPr>
          <w:color w:val="000000"/>
        </w:rPr>
        <w:tab/>
        <w:t>având în vedere Regulamentul (UE, Euratom) 2024/2509 al Parlamentului European și al Consiliului din 23 septembrie 2024 privind normele financiare aplicabile bugetului general al Uniunii (reformare)</w:t>
      </w:r>
      <w:r w:rsidRPr="004C327B">
        <w:rPr>
          <w:color w:val="000000"/>
          <w:vertAlign w:val="superscript"/>
        </w:rPr>
        <w:footnoteReference w:id="10"/>
      </w:r>
      <w:r w:rsidRPr="004C327B">
        <w:rPr>
          <w:color w:val="000000"/>
        </w:rPr>
        <w:t xml:space="preserve"> (</w:t>
      </w:r>
      <w:r w:rsidR="00222EE4" w:rsidRPr="004C327B">
        <w:rPr>
          <w:color w:val="000000"/>
        </w:rPr>
        <w:t xml:space="preserve">denumit în continuare </w:t>
      </w:r>
      <w:r w:rsidRPr="004C327B">
        <w:rPr>
          <w:color w:val="000000"/>
        </w:rPr>
        <w:t>„Regulamentul financiar”),</w:t>
      </w:r>
    </w:p>
    <w:p w:rsidR="008A11D9" w:rsidRPr="004C327B" w:rsidRDefault="008A11D9" w:rsidP="008A11D9">
      <w:pPr>
        <w:spacing w:after="240"/>
        <w:ind w:left="567" w:hanging="567"/>
        <w:jc w:val="both"/>
        <w:rPr>
          <w:color w:val="000000"/>
        </w:rPr>
      </w:pPr>
      <w:r w:rsidRPr="004C327B">
        <w:rPr>
          <w:color w:val="000000"/>
        </w:rPr>
        <w:t>–</w:t>
      </w:r>
      <w:r w:rsidRPr="004C327B">
        <w:rPr>
          <w:color w:val="000000"/>
        </w:rPr>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4C327B">
        <w:rPr>
          <w:color w:val="000000"/>
          <w:vertAlign w:val="superscript"/>
        </w:rPr>
        <w:footnoteReference w:id="11"/>
      </w:r>
      <w:r w:rsidRPr="004C327B">
        <w:rPr>
          <w:color w:val="000000"/>
        </w:rPr>
        <w:t>,</w:t>
      </w:r>
    </w:p>
    <w:p w:rsidR="008A11D9" w:rsidRPr="004C327B" w:rsidRDefault="008A11D9" w:rsidP="008A11D9">
      <w:pPr>
        <w:spacing w:after="240"/>
        <w:ind w:left="567" w:hanging="567"/>
        <w:jc w:val="both"/>
        <w:rPr>
          <w:color w:val="000000"/>
        </w:rPr>
      </w:pPr>
      <w:r w:rsidRPr="004C327B">
        <w:rPr>
          <w:color w:val="000000"/>
        </w:rPr>
        <w:t>–</w:t>
      </w:r>
      <w:r w:rsidRPr="004C327B">
        <w:rPr>
          <w:color w:val="000000"/>
        </w:rPr>
        <w:tab/>
        <w:t>având în vedere bugetul general al Uniunii Europene aferent exercițiului financiar 2025</w:t>
      </w:r>
      <w:r w:rsidRPr="004C327B">
        <w:rPr>
          <w:color w:val="000000"/>
          <w:vertAlign w:val="superscript"/>
        </w:rPr>
        <w:footnoteReference w:id="12"/>
      </w:r>
      <w:r w:rsidRPr="004C327B">
        <w:rPr>
          <w:color w:val="000000"/>
        </w:rPr>
        <w:t xml:space="preserve"> și declarațiile comune asupra cărora au convenit Parlamentul European, Consiliul și Comisia, anexate la acesta,</w:t>
      </w:r>
    </w:p>
    <w:p w:rsidR="008A11D9" w:rsidRPr="004C327B" w:rsidRDefault="008A11D9" w:rsidP="008A11D9">
      <w:pPr>
        <w:spacing w:after="240"/>
        <w:ind w:left="567" w:hanging="567"/>
        <w:jc w:val="both"/>
        <w:rPr>
          <w:color w:val="000000"/>
        </w:rPr>
      </w:pPr>
      <w:r w:rsidRPr="004C327B">
        <w:rPr>
          <w:color w:val="000000"/>
        </w:rPr>
        <w:t>–</w:t>
      </w:r>
      <w:r w:rsidRPr="004C327B">
        <w:rPr>
          <w:color w:val="000000"/>
        </w:rPr>
        <w:tab/>
        <w:t>având în vedere raportul prezentat Biroului de către Secretarul General privind proiectul preliminar de estimare a bugetului Parlamentului pentru exercițiul financiar 2026,</w:t>
      </w:r>
    </w:p>
    <w:p w:rsidR="008A11D9" w:rsidRPr="004C327B" w:rsidRDefault="008A11D9" w:rsidP="008A11D9">
      <w:pPr>
        <w:tabs>
          <w:tab w:val="left" w:pos="357"/>
        </w:tabs>
        <w:spacing w:after="240"/>
        <w:ind w:left="567" w:hanging="567"/>
        <w:jc w:val="both"/>
        <w:rPr>
          <w:color w:val="000000"/>
        </w:rPr>
      </w:pPr>
      <w:r w:rsidRPr="004C327B">
        <w:rPr>
          <w:color w:val="000000"/>
        </w:rPr>
        <w:t>–</w:t>
      </w:r>
      <w:r w:rsidRPr="004C327B">
        <w:rPr>
          <w:color w:val="000000"/>
        </w:rPr>
        <w:tab/>
      </w:r>
      <w:r w:rsidRPr="004C327B">
        <w:rPr>
          <w:color w:val="000000"/>
        </w:rPr>
        <w:tab/>
        <w:t>având în vedere proiectul preliminar de estimare a bugetului întocmit de Birou la 10 martie 2025 în conformitate cu articolul 25 alineatul (7) și cu articolul 104 alineatul (1) din Regulamentul de procedură al Parlamentului,</w:t>
      </w:r>
    </w:p>
    <w:p w:rsidR="008A11D9" w:rsidRPr="004C327B" w:rsidRDefault="008A11D9" w:rsidP="008A11D9">
      <w:pPr>
        <w:tabs>
          <w:tab w:val="left" w:pos="357"/>
        </w:tabs>
        <w:spacing w:after="240"/>
        <w:ind w:left="567" w:hanging="567"/>
        <w:jc w:val="both"/>
        <w:rPr>
          <w:color w:val="000000"/>
        </w:rPr>
      </w:pPr>
      <w:r w:rsidRPr="004C327B">
        <w:rPr>
          <w:color w:val="000000"/>
        </w:rPr>
        <w:t>–</w:t>
      </w:r>
      <w:r w:rsidRPr="004C327B">
        <w:rPr>
          <w:color w:val="000000"/>
        </w:rPr>
        <w:tab/>
      </w:r>
      <w:r w:rsidRPr="004C327B">
        <w:rPr>
          <w:color w:val="000000"/>
        </w:rPr>
        <w:tab/>
        <w:t>având în vedere proiectul de estimare a bugetului întocmit de Comisia pentru bugete în conformitate cu articolul 104 alineatul (2) din Regulamentul de procedură al Parlamentului,</w:t>
      </w:r>
    </w:p>
    <w:p w:rsidR="008A11D9" w:rsidRPr="004C327B" w:rsidRDefault="008A11D9" w:rsidP="008A11D9">
      <w:pPr>
        <w:tabs>
          <w:tab w:val="left" w:pos="357"/>
        </w:tabs>
        <w:spacing w:after="240"/>
        <w:ind w:left="567" w:hanging="567"/>
        <w:jc w:val="both"/>
        <w:rPr>
          <w:color w:val="000000"/>
        </w:rPr>
      </w:pPr>
      <w:r w:rsidRPr="004C327B">
        <w:rPr>
          <w:color w:val="000000"/>
        </w:rPr>
        <w:t>–</w:t>
      </w:r>
      <w:r w:rsidRPr="004C327B">
        <w:rPr>
          <w:color w:val="000000"/>
        </w:rPr>
        <w:tab/>
      </w:r>
      <w:r w:rsidRPr="004C327B">
        <w:rPr>
          <w:color w:val="000000"/>
        </w:rPr>
        <w:tab/>
        <w:t>având în vedere articolul 104 din Regulamentul de procedură al Parlamentului,</w:t>
      </w:r>
    </w:p>
    <w:p w:rsidR="008A11D9" w:rsidRPr="004C327B" w:rsidRDefault="008A11D9" w:rsidP="008A11D9">
      <w:pPr>
        <w:tabs>
          <w:tab w:val="left" w:pos="357"/>
        </w:tabs>
        <w:spacing w:after="240"/>
        <w:ind w:left="567" w:hanging="567"/>
        <w:jc w:val="both"/>
        <w:rPr>
          <w:color w:val="000000"/>
        </w:rPr>
      </w:pPr>
      <w:r w:rsidRPr="004C327B">
        <w:rPr>
          <w:color w:val="000000"/>
        </w:rPr>
        <w:t>–</w:t>
      </w:r>
      <w:r w:rsidRPr="004C327B">
        <w:rPr>
          <w:color w:val="000000"/>
        </w:rPr>
        <w:tab/>
      </w:r>
      <w:r w:rsidRPr="004C327B">
        <w:rPr>
          <w:color w:val="000000"/>
        </w:rPr>
        <w:tab/>
        <w:t>având în vedere raportul Comisiei pentru bugete (A10-0048/2025),</w:t>
      </w:r>
    </w:p>
    <w:p w:rsidR="008A11D9" w:rsidRPr="004C327B" w:rsidRDefault="008A11D9" w:rsidP="008A11D9">
      <w:pPr>
        <w:widowControl/>
        <w:tabs>
          <w:tab w:val="left" w:pos="357"/>
        </w:tabs>
        <w:spacing w:after="240"/>
        <w:ind w:left="567" w:hanging="567"/>
        <w:jc w:val="both"/>
        <w:rPr>
          <w:color w:val="000000"/>
        </w:rPr>
      </w:pPr>
      <w:r w:rsidRPr="004C327B">
        <w:rPr>
          <w:color w:val="000000"/>
        </w:rPr>
        <w:t>A.</w:t>
      </w:r>
      <w:r w:rsidRPr="004C327B">
        <w:rPr>
          <w:color w:val="000000"/>
        </w:rPr>
        <w:tab/>
      </w:r>
      <w:r w:rsidRPr="004C327B">
        <w:rPr>
          <w:color w:val="000000"/>
        </w:rPr>
        <w:tab/>
        <w:t xml:space="preserve">întrucât bugetul propus la 10 februarie 2025 de Secretarul General pentru proiectul preliminar de estimare a bugetului Parlamentului pentru 2026 se ridică la 2 641 609 620 EUR și reprezintă o majorare de 4,30 % sau 108 914 512 EUR față de bugetul pe 2025; </w:t>
      </w:r>
    </w:p>
    <w:p w:rsidR="008A11D9" w:rsidRPr="004C327B" w:rsidRDefault="008A11D9" w:rsidP="008A11D9">
      <w:pPr>
        <w:widowControl/>
        <w:tabs>
          <w:tab w:val="left" w:pos="357"/>
        </w:tabs>
        <w:spacing w:after="240"/>
        <w:ind w:left="567" w:hanging="567"/>
        <w:jc w:val="both"/>
        <w:rPr>
          <w:color w:val="000000"/>
        </w:rPr>
      </w:pPr>
      <w:r w:rsidRPr="004C327B">
        <w:rPr>
          <w:color w:val="000000"/>
        </w:rPr>
        <w:t>B.</w:t>
      </w:r>
      <w:r w:rsidRPr="004C327B">
        <w:rPr>
          <w:color w:val="000000"/>
        </w:rPr>
        <w:tab/>
      </w:r>
      <w:r w:rsidRPr="004C327B">
        <w:rPr>
          <w:color w:val="000000"/>
        </w:rPr>
        <w:tab/>
        <w:t xml:space="preserve">întrucât, potrivit </w:t>
      </w:r>
      <w:proofErr w:type="spellStart"/>
      <w:r w:rsidRPr="004C327B">
        <w:rPr>
          <w:color w:val="000000"/>
        </w:rPr>
        <w:t>Eurostat</w:t>
      </w:r>
      <w:proofErr w:type="spellEnd"/>
      <w:r w:rsidRPr="004C327B">
        <w:rPr>
          <w:color w:val="000000"/>
        </w:rPr>
        <w:t xml:space="preserve">, inflația anuală la nivelul Uniunii a fost de 2,8 % în ianuarie 2025, crescând de la 2,7 % în decembrie 2024; întrucât nivelul cheltuielilor de la rubrica </w:t>
      </w:r>
      <w:r w:rsidRPr="004C327B">
        <w:rPr>
          <w:color w:val="000000"/>
        </w:rPr>
        <w:lastRenderedPageBreak/>
        <w:t>7 din cadrul financiar multianual (</w:t>
      </w:r>
      <w:proofErr w:type="spellStart"/>
      <w:r w:rsidRPr="004C327B">
        <w:rPr>
          <w:color w:val="000000"/>
        </w:rPr>
        <w:t>CFM</w:t>
      </w:r>
      <w:proofErr w:type="spellEnd"/>
      <w:r w:rsidRPr="004C327B">
        <w:rPr>
          <w:color w:val="000000"/>
        </w:rPr>
        <w:t>) 2021-2027 se bazează pe o creștere anuală de 2 %;</w:t>
      </w:r>
    </w:p>
    <w:p w:rsidR="008A11D9" w:rsidRPr="004C327B" w:rsidRDefault="008A11D9" w:rsidP="008A11D9">
      <w:pPr>
        <w:widowControl/>
        <w:tabs>
          <w:tab w:val="left" w:pos="357"/>
        </w:tabs>
        <w:spacing w:after="240"/>
        <w:ind w:left="567" w:hanging="567"/>
        <w:jc w:val="both"/>
        <w:rPr>
          <w:color w:val="000000"/>
        </w:rPr>
      </w:pPr>
      <w:r w:rsidRPr="004C327B">
        <w:rPr>
          <w:color w:val="000000"/>
        </w:rPr>
        <w:t>C.</w:t>
      </w:r>
      <w:r w:rsidRPr="004C327B">
        <w:rPr>
          <w:color w:val="000000"/>
        </w:rPr>
        <w:tab/>
      </w:r>
      <w:r w:rsidRPr="004C327B">
        <w:rPr>
          <w:color w:val="000000"/>
        </w:rPr>
        <w:tab/>
        <w:t xml:space="preserve">întrucât credibilitatea Parlamentului depinde de capacitatea sa de a desfășura principalele sale activități bugetare, legislative și de control la cel mai înalt nivel, dând totodată un exemplu în raport cu alte instituții ale Uniunii pentru a-și planifica și efectua cheltuielile cu prudență și eficiență și pentru a reflecta realitățile economice predominante, </w:t>
      </w:r>
    </w:p>
    <w:p w:rsidR="008A11D9" w:rsidRPr="004C327B" w:rsidRDefault="008A11D9" w:rsidP="008A11D9">
      <w:pPr>
        <w:widowControl/>
        <w:spacing w:after="240"/>
        <w:ind w:left="567" w:hanging="567"/>
        <w:rPr>
          <w:b/>
          <w:i/>
          <w:color w:val="000000"/>
        </w:rPr>
      </w:pPr>
      <w:r w:rsidRPr="004C327B">
        <w:rPr>
          <w:b/>
          <w:i/>
          <w:color w:val="000000"/>
        </w:rPr>
        <w:t>Cadrul general</w:t>
      </w:r>
    </w:p>
    <w:p w:rsidR="008A11D9" w:rsidRPr="004C327B" w:rsidRDefault="008A11D9" w:rsidP="00400B06">
      <w:pPr>
        <w:widowControl/>
        <w:spacing w:after="240"/>
        <w:ind w:left="567" w:hanging="567"/>
        <w:jc w:val="both"/>
        <w:rPr>
          <w:color w:val="000000"/>
        </w:rPr>
      </w:pPr>
      <w:r w:rsidRPr="004C327B">
        <w:rPr>
          <w:color w:val="000000"/>
        </w:rPr>
        <w:t>1.</w:t>
      </w:r>
      <w:r w:rsidRPr="004C327B">
        <w:rPr>
          <w:color w:val="000000"/>
        </w:rPr>
        <w:tab/>
        <w:t xml:space="preserve">este preocupat de situația de la rubrica 7 din actualul </w:t>
      </w:r>
      <w:proofErr w:type="spellStart"/>
      <w:r w:rsidRPr="004C327B">
        <w:rPr>
          <w:color w:val="000000"/>
        </w:rPr>
        <w:t>CFM</w:t>
      </w:r>
      <w:proofErr w:type="spellEnd"/>
      <w:r w:rsidRPr="004C327B">
        <w:rPr>
          <w:color w:val="000000"/>
        </w:rPr>
        <w:t xml:space="preserve">; reamintește că constrângerile sunt rezultatul reducerilor aplicate de Consiliu propunerii inițiale a Comisiei, deja foarte scăzute, atunci când a convenit asupra actualului </w:t>
      </w:r>
      <w:proofErr w:type="spellStart"/>
      <w:r w:rsidRPr="004C327B">
        <w:rPr>
          <w:color w:val="000000"/>
        </w:rPr>
        <w:t>CFM</w:t>
      </w:r>
      <w:proofErr w:type="spellEnd"/>
      <w:r w:rsidRPr="004C327B">
        <w:rPr>
          <w:color w:val="000000"/>
        </w:rPr>
        <w:t xml:space="preserve"> 2021-2027; regretă că Consiliul se opune propunerii Comisiei de a majora plafonul de la rubrica 7 în cadrul revizuirii </w:t>
      </w:r>
      <w:proofErr w:type="spellStart"/>
      <w:r w:rsidRPr="004C327B">
        <w:rPr>
          <w:color w:val="000000"/>
        </w:rPr>
        <w:t>CFM</w:t>
      </w:r>
      <w:proofErr w:type="spellEnd"/>
      <w:r w:rsidRPr="004C327B">
        <w:rPr>
          <w:color w:val="000000"/>
        </w:rPr>
        <w:t xml:space="preserve"> începând cu 2024; subliniază că problema plafonului de la rubrica 7 nu a fost abordată în cadrul revizuirii </w:t>
      </w:r>
      <w:proofErr w:type="spellStart"/>
      <w:r w:rsidRPr="004C327B">
        <w:rPr>
          <w:color w:val="000000"/>
        </w:rPr>
        <w:t>CFM</w:t>
      </w:r>
      <w:proofErr w:type="spellEnd"/>
      <w:r w:rsidRPr="004C327B">
        <w:rPr>
          <w:color w:val="000000"/>
        </w:rPr>
        <w:t>; subliniază că marja negativă preconizată pentru 2026 presupune utilizarea instrumentelor speciale de la rubrica 7 în acest scop;</w:t>
      </w:r>
    </w:p>
    <w:p w:rsidR="008A11D9" w:rsidRPr="004C327B" w:rsidRDefault="008A11D9" w:rsidP="00400B06">
      <w:pPr>
        <w:widowControl/>
        <w:spacing w:after="240"/>
        <w:ind w:left="567" w:hanging="567"/>
        <w:jc w:val="both"/>
        <w:rPr>
          <w:color w:val="000000"/>
        </w:rPr>
      </w:pPr>
      <w:r w:rsidRPr="004C327B">
        <w:rPr>
          <w:color w:val="000000"/>
        </w:rPr>
        <w:t>2.</w:t>
      </w:r>
      <w:r w:rsidRPr="004C327B">
        <w:rPr>
          <w:color w:val="000000"/>
        </w:rPr>
        <w:tab/>
        <w:t>aprobă acordul la care s-a ajuns în cadrul concilierii dintre Birou și Comisia pentru bugete din 18 martie 2025 de a stabili majorarea față de bugetul 2025 la 4,09 %, ceea ce corespunde unui total al estimărilor de 2 636 241 620 EUR pentru 2026, și de a reduce în consecință creditele propuse la următoarele linii bugetare, în valoare totală de 12 378 000 EUR:</w:t>
      </w:r>
    </w:p>
    <w:p w:rsidR="008A11D9" w:rsidRPr="004C327B" w:rsidRDefault="008A11D9" w:rsidP="00400B06">
      <w:pPr>
        <w:widowControl/>
        <w:spacing w:after="240"/>
        <w:ind w:left="567"/>
        <w:jc w:val="both"/>
        <w:rPr>
          <w:color w:val="000000"/>
        </w:rPr>
      </w:pPr>
      <w:r w:rsidRPr="004C327B">
        <w:rPr>
          <w:color w:val="000000"/>
        </w:rPr>
        <w:t>1 0 0 6 – Indemnizație pentru cheltuieli generale, 1 4 2 – Servicii de traducere externe, 2 0 0 0 – Chirii, 2 0 0 7 – Construcția de clădiri și amenajarea spațiilor, 2 0 2 4 – Consumul de energie, 2 1 0 1 – Gestionarea aplicațiilor corporative, 3 2 0 – Achiziționarea de servicii de expertiză, 3 2 4 3 – Centrele pentru vizitatori ale Parlamentului European, 3 2 4 8 – Cheltuieli pentru informare audiovizuală, 4 4 – Reuniuni și alte activități ale deputaților și foștilor deputați;</w:t>
      </w:r>
    </w:p>
    <w:p w:rsidR="008A11D9" w:rsidRPr="004C327B" w:rsidRDefault="008A11D9" w:rsidP="00400B06">
      <w:pPr>
        <w:widowControl/>
        <w:spacing w:after="240"/>
        <w:ind w:left="567"/>
        <w:jc w:val="both"/>
        <w:rPr>
          <w:color w:val="000000"/>
        </w:rPr>
      </w:pPr>
      <w:r w:rsidRPr="004C327B">
        <w:rPr>
          <w:color w:val="000000"/>
        </w:rPr>
        <w:t>în plus, s-a decis creșterea nivelului cheltuielilor din proiectul preliminar de estimare a bugetului aprobat de Birou la 10 martie 2025 cu 7 010 000 EUR și majorarea în consecință a creditelor propuse pentru următoarele linii bugetare:</w:t>
      </w:r>
    </w:p>
    <w:p w:rsidR="008A11D9" w:rsidRPr="004C327B" w:rsidRDefault="008A11D9" w:rsidP="00400B06">
      <w:pPr>
        <w:widowControl/>
        <w:spacing w:after="240"/>
        <w:ind w:left="567"/>
        <w:jc w:val="both"/>
        <w:rPr>
          <w:color w:val="000000"/>
        </w:rPr>
      </w:pPr>
      <w:r w:rsidRPr="004C327B">
        <w:rPr>
          <w:color w:val="000000"/>
        </w:rPr>
        <w:t>1 2 0 0 – Remunerații și indemnizații, 1 6 3 0 – Serviciul social: asigurări sociale, 4 0 0 – Cheltuieli administrative curente și cheltuieli aferente activităților de informare și politice ale grupurilor politice și ale deputaților neafiliați și 4 0 3 – Contribuții la fundațiile politice europene;</w:t>
      </w:r>
    </w:p>
    <w:p w:rsidR="008A11D9" w:rsidRPr="004C327B" w:rsidRDefault="008A11D9" w:rsidP="00400B06">
      <w:pPr>
        <w:widowControl/>
        <w:spacing w:after="240"/>
        <w:ind w:left="567"/>
        <w:jc w:val="both"/>
        <w:rPr>
          <w:color w:val="000000"/>
        </w:rPr>
      </w:pPr>
      <w:r w:rsidRPr="004C327B">
        <w:rPr>
          <w:color w:val="000000"/>
        </w:rPr>
        <w:t>în cele din urmă, s-a convenit modificarea comentariilor bugetare de la postul 1 6 3 0 – Serviciul social: asigurări sociale pentru a include referința la Comitetul APA;</w:t>
      </w:r>
    </w:p>
    <w:p w:rsidR="008A11D9" w:rsidRPr="004C327B" w:rsidRDefault="008A11D9" w:rsidP="00400B06">
      <w:pPr>
        <w:widowControl/>
        <w:spacing w:after="240"/>
        <w:ind w:left="567" w:hanging="567"/>
        <w:jc w:val="both"/>
        <w:rPr>
          <w:color w:val="000000"/>
        </w:rPr>
      </w:pPr>
      <w:r w:rsidRPr="004C327B">
        <w:rPr>
          <w:color w:val="000000"/>
        </w:rPr>
        <w:t>3.</w:t>
      </w:r>
      <w:r w:rsidRPr="004C327B">
        <w:rPr>
          <w:color w:val="000000"/>
        </w:rPr>
        <w:tab/>
        <w:t xml:space="preserve">reamintește că aproape două treimi din buget este stabilit prin obligații statutare; constată că, din creșterea de 103,5 milioane EUR față de bugetul pe 2025, o creștere de 85,3 milioane EUR se datorează obligațiilor financiare statutare, în principal pentru actualizările salariale ale funcționarilor și ale agenților temporari (52,7 milioane EUR), ale agenților contractuali (9,2 milioane EUR) și ale asistenților parlamentari acreditați (15,1 milioane EUR); reamintește că, potrivit estimărilor actuale ale Comisiei, indexarea salariilor, care va avea loc în conformitate cu Statutul funcționarilor și cu Statutul </w:t>
      </w:r>
      <w:r w:rsidRPr="004C327B">
        <w:rPr>
          <w:color w:val="000000"/>
        </w:rPr>
        <w:lastRenderedPageBreak/>
        <w:t>deputaților în Parlamentul European, va conduce, în aprilie 2025, iulie 2025, aprilie 2026 și, respectiv, iulie 2026 la majorări de 1,2 %, 4,6 %, 0,6 % și, respectiv, 3,4 %;</w:t>
      </w:r>
    </w:p>
    <w:p w:rsidR="008A11D9" w:rsidRPr="004C327B" w:rsidRDefault="008A11D9" w:rsidP="00400B06">
      <w:pPr>
        <w:widowControl/>
        <w:spacing w:after="240"/>
        <w:ind w:left="567" w:hanging="567"/>
        <w:jc w:val="both"/>
        <w:rPr>
          <w:color w:val="000000"/>
        </w:rPr>
      </w:pPr>
      <w:r w:rsidRPr="004C327B">
        <w:rPr>
          <w:color w:val="000000"/>
        </w:rPr>
        <w:t>4.</w:t>
      </w:r>
      <w:r w:rsidRPr="004C327B">
        <w:rPr>
          <w:color w:val="000000"/>
        </w:rPr>
        <w:tab/>
        <w:t>constată că Parlamentul nu solicită posturi suplimentare pentru 2026, al treilea an consecutiv;</w:t>
      </w:r>
    </w:p>
    <w:p w:rsidR="008A11D9" w:rsidRPr="004C327B" w:rsidRDefault="008A11D9" w:rsidP="00400B06">
      <w:pPr>
        <w:widowControl/>
        <w:spacing w:after="240"/>
        <w:ind w:left="567" w:hanging="567"/>
        <w:jc w:val="both"/>
        <w:rPr>
          <w:color w:val="000000"/>
        </w:rPr>
      </w:pPr>
      <w:r w:rsidRPr="004C327B">
        <w:rPr>
          <w:color w:val="000000"/>
        </w:rPr>
        <w:t>5.</w:t>
      </w:r>
      <w:r w:rsidRPr="004C327B">
        <w:rPr>
          <w:color w:val="000000"/>
        </w:rPr>
        <w:tab/>
        <w:t>constată că creșterea cheltuielilor nestatutare între 2025 și 2026 este de 1,96 %;</w:t>
      </w:r>
    </w:p>
    <w:p w:rsidR="008A11D9" w:rsidRPr="004C327B" w:rsidRDefault="008A11D9" w:rsidP="00400B06">
      <w:pPr>
        <w:widowControl/>
        <w:spacing w:after="240"/>
        <w:ind w:left="567" w:hanging="567"/>
        <w:jc w:val="both"/>
        <w:rPr>
          <w:color w:val="000000"/>
        </w:rPr>
      </w:pPr>
      <w:r w:rsidRPr="004C327B">
        <w:rPr>
          <w:color w:val="000000"/>
        </w:rPr>
        <w:t>6.</w:t>
      </w:r>
      <w:r w:rsidRPr="004C327B">
        <w:rPr>
          <w:color w:val="000000"/>
        </w:rPr>
        <w:tab/>
        <w:t>salută inițiativa Secretarului General de a desfășura un proces major de examinare analitică pentru a identifica oportunitățile de simplificare administrativă, a elimina ineficiențele și a asigura reduceri concrete ale costurilor, crescând astfel eficiența și asigurând o utilizare inteligentă a resurselor; solicită Secretarului General să furnizeze Comisiei pentru bugete informații actualizate semestrial cu privire la acțiunile întreprinse și la planul de acțiune privind simplificarea, precum și la impactul acestora în ceea ce privește bugetul și personalul; subliniază că procedurile administrative și gestionarea resurselor umane reprezintă o povară grea pentru deputați, în special atunci când angajează asistenți locali, și solicită simplificarea în acest sens;</w:t>
      </w:r>
    </w:p>
    <w:p w:rsidR="008A11D9" w:rsidRPr="004C327B" w:rsidRDefault="008A11D9" w:rsidP="00400B06">
      <w:pPr>
        <w:pStyle w:val="NormalHanging12a"/>
        <w:jc w:val="both"/>
      </w:pPr>
      <w:r w:rsidRPr="004C327B">
        <w:t>7.</w:t>
      </w:r>
      <w:r w:rsidRPr="004C327B">
        <w:tab/>
        <w:t>menționează că bugetul Parlamentului ar trebui să se întemeieze pe elemente realiste, în conformitate cu principiile disciplinei bugetare și bunei gestiuni financiare; subliniază că este esențial să se asigure că prudența financiară și securitatea rămân priorități-cheie, garantând, în același timp, că aceste măsuri nu afectează eficiența, eficacitatea și capacitatea operațională a instituției și nu împiedică personalul său esențial să își îndeplinească cu succes sarcinile; subliniază că, având în vedere contextul geopolitic și investițiile pe care Uniunea va trebui să le facă pentru autonomia sa strategică, Parlamentul trebuie să dea un exemplu în gestionarea bugetului său;</w:t>
      </w:r>
    </w:p>
    <w:p w:rsidR="008A11D9" w:rsidRPr="004C327B" w:rsidRDefault="008A11D9" w:rsidP="00400B06">
      <w:pPr>
        <w:pStyle w:val="NormalHanging12a"/>
        <w:jc w:val="both"/>
      </w:pPr>
      <w:r w:rsidRPr="004C327B">
        <w:t>8.</w:t>
      </w:r>
      <w:r w:rsidRPr="004C327B">
        <w:tab/>
        <w:t>subliniază rolul Parlamentului în consolidarea conștiinței politice europene și în promovarea valorilor și politicilor Uniunii, cum ar fi dubla tranziție digitală și verde; subliniază că transparența, răspunderea, egalitatea de gen și integritatea sunt principii esențiale în cadrul instituțiilor Uniunii și, în special, în cadrul Parlamentului, ca centru al democrației europene;</w:t>
      </w:r>
    </w:p>
    <w:p w:rsidR="008A11D9" w:rsidRPr="004C327B" w:rsidRDefault="008A11D9" w:rsidP="00400B06">
      <w:pPr>
        <w:widowControl/>
        <w:spacing w:after="240"/>
        <w:rPr>
          <w:b/>
          <w:i/>
          <w:color w:val="000000"/>
        </w:rPr>
      </w:pPr>
      <w:r w:rsidRPr="004C327B">
        <w:rPr>
          <w:b/>
          <w:i/>
          <w:color w:val="000000"/>
        </w:rPr>
        <w:t>Consolidarea funcțiilor de bază ale Parlamentului</w:t>
      </w:r>
    </w:p>
    <w:p w:rsidR="008A11D9" w:rsidRPr="004C327B" w:rsidRDefault="008A11D9" w:rsidP="00400B06">
      <w:pPr>
        <w:pStyle w:val="NormalHanging12a"/>
        <w:jc w:val="both"/>
      </w:pPr>
      <w:r w:rsidRPr="004C327B">
        <w:t>9.</w:t>
      </w:r>
      <w:r w:rsidRPr="004C327B">
        <w:tab/>
        <w:t xml:space="preserve">ia act de cele patru noi direcții generale (DG-uri) tematice create în septembrie 2024, responsabile cu activitățile legislative, bugetare și de control, din fosta Direcție Generală Politici Interne, pentru a îmbunătăți funcționarea Parlamentului în calitate de </w:t>
      </w:r>
      <w:proofErr w:type="spellStart"/>
      <w:r w:rsidRPr="004C327B">
        <w:t>colegiuitor</w:t>
      </w:r>
      <w:proofErr w:type="spellEnd"/>
      <w:r w:rsidRPr="004C327B">
        <w:t>, de componentă a autorității bugetare și de autoritate care acordă descărcarea de gestiune; solicită Secretarului General să furnizeze periodic Comisiei pentru bugete informații actualizate cu privire la evoluția activităților și personalului în aceste DG-uri;</w:t>
      </w:r>
    </w:p>
    <w:p w:rsidR="008A11D9" w:rsidRPr="004C327B" w:rsidRDefault="008A11D9" w:rsidP="00400B06">
      <w:pPr>
        <w:pStyle w:val="NormalHanging12a"/>
        <w:jc w:val="both"/>
      </w:pPr>
      <w:r w:rsidRPr="004C327B">
        <w:t>10.</w:t>
      </w:r>
      <w:r w:rsidRPr="004C327B">
        <w:tab/>
        <w:t>recunoaște necesitatea ca procesul decizional politic să fie bazat în mai mare măsură pe dovezi și fapte; ia act de bugetul de 16,75 milioane EUR pentru consolidarea capacității administrative a Parlamentului în vederea sprijinirii deputaților în activitatea lor parlamentară și a creșterii capacității sale de a face față situațiilor complexe și incertitudinii;</w:t>
      </w:r>
    </w:p>
    <w:p w:rsidR="008A11D9" w:rsidRPr="004C327B" w:rsidRDefault="008A11D9" w:rsidP="00400B06">
      <w:pPr>
        <w:pStyle w:val="NormalHanging12a"/>
        <w:jc w:val="both"/>
        <w:rPr>
          <w:color w:val="000000"/>
        </w:rPr>
      </w:pPr>
      <w:r w:rsidRPr="004C327B">
        <w:t>11.</w:t>
      </w:r>
      <w:r w:rsidRPr="004C327B">
        <w:tab/>
        <w:t>subliniază rolul esențial al grupurilor politice în a furniza expertiză și sprijin politic deputaților</w:t>
      </w:r>
      <w:r w:rsidRPr="004C327B">
        <w:rPr>
          <w:color w:val="000000"/>
        </w:rPr>
        <w:t xml:space="preserve"> în activitatea lor legislativă și parlamentară; subliniază necesitatea de a asigura obiectivul important de consolidare a capacității Parlamentului de a sprijini activitatea </w:t>
      </w:r>
      <w:r w:rsidRPr="004C327B">
        <w:rPr>
          <w:color w:val="000000"/>
        </w:rPr>
        <w:lastRenderedPageBreak/>
        <w:t>deputaților;</w:t>
      </w:r>
    </w:p>
    <w:p w:rsidR="008A11D9" w:rsidRPr="004C327B" w:rsidRDefault="008A11D9" w:rsidP="00400B06">
      <w:pPr>
        <w:widowControl/>
        <w:spacing w:after="240"/>
        <w:ind w:left="567" w:hanging="567"/>
        <w:jc w:val="both"/>
        <w:rPr>
          <w:b/>
          <w:i/>
          <w:color w:val="000000"/>
        </w:rPr>
      </w:pPr>
      <w:r w:rsidRPr="004C327B">
        <w:rPr>
          <w:b/>
          <w:i/>
          <w:color w:val="000000"/>
        </w:rPr>
        <w:t xml:space="preserve">Tranziția digitală </w:t>
      </w:r>
    </w:p>
    <w:p w:rsidR="008A11D9" w:rsidRPr="004C327B" w:rsidRDefault="008A11D9" w:rsidP="00400B06">
      <w:pPr>
        <w:widowControl/>
        <w:spacing w:after="240"/>
        <w:ind w:left="567" w:hanging="567"/>
        <w:jc w:val="both"/>
        <w:rPr>
          <w:color w:val="000000"/>
        </w:rPr>
      </w:pPr>
      <w:r w:rsidRPr="004C327B">
        <w:rPr>
          <w:color w:val="000000"/>
        </w:rPr>
        <w:t>12.</w:t>
      </w:r>
      <w:r w:rsidRPr="004C327B">
        <w:rPr>
          <w:color w:val="000000"/>
        </w:rPr>
        <w:tab/>
        <w:t>subliniază că securitatea cibernetică a Parlamentului este o prioritate-cheie; constată că bugetul total pentru IT reprezintă 7,40 % din bugetul total în estimările pentru 2026; subliniază importanța unei infrastructuri solide de securitate cibernetică în vremuri tulburi pe plan geopolitic și salută majorarea creditelor dedicate securității cibernetice; sprijină majorarea treptată planificată a creditelor financiare pentru securitatea cibernetică la 10 % din bugetul pentru TIC al Parlamentului până în 2027;</w:t>
      </w:r>
    </w:p>
    <w:p w:rsidR="008A11D9" w:rsidRPr="004C327B" w:rsidRDefault="008A11D9" w:rsidP="00400B06">
      <w:pPr>
        <w:widowControl/>
        <w:spacing w:after="240"/>
        <w:ind w:left="567" w:hanging="567"/>
        <w:jc w:val="both"/>
        <w:rPr>
          <w:color w:val="000000"/>
        </w:rPr>
      </w:pPr>
      <w:r w:rsidRPr="004C327B">
        <w:rPr>
          <w:color w:val="000000"/>
        </w:rPr>
        <w:t>13.</w:t>
      </w:r>
      <w:r w:rsidRPr="004C327B">
        <w:rPr>
          <w:color w:val="000000"/>
        </w:rPr>
        <w:tab/>
        <w:t xml:space="preserve">salută adoptarea de către Birou, la 10 februarie 2025, a Cadrului intern de gestionare, guvernanță și control al riscurilor de securitate cibernetică; reamintește că investițiile în securitatea cibernetică sunt esențiale pentru a proteja vocea democratică a Parlamentului și a Uniunii; </w:t>
      </w:r>
    </w:p>
    <w:p w:rsidR="008A11D9" w:rsidRPr="004C327B" w:rsidRDefault="008A11D9" w:rsidP="00400B06">
      <w:pPr>
        <w:widowControl/>
        <w:spacing w:after="240"/>
        <w:ind w:left="567" w:hanging="567"/>
        <w:jc w:val="both"/>
        <w:rPr>
          <w:color w:val="000000"/>
        </w:rPr>
      </w:pPr>
      <w:r w:rsidRPr="004C327B">
        <w:rPr>
          <w:color w:val="000000"/>
        </w:rPr>
        <w:t>14.</w:t>
      </w:r>
      <w:r w:rsidRPr="004C327B">
        <w:rPr>
          <w:color w:val="000000"/>
        </w:rPr>
        <w:tab/>
        <w:t>salută investițiile în inteligența artificială (IA) în valoare de 1 milion EUR; solicită ca IA să fie utilizată mai mult pentru a crește eficiența, fără însă a pierde din vedere riscurile aferente, inclusiv cele legate de etică și protecția datelor; subliniază potențialul IA de a raționaliza procesele administrative; subliniază că la implementarea IA trebuie să se asigure echilibrul între inovare și garanțiile necesare; ia act de faptul că dezvoltarea IA va fi monitorizată îndeaproape, în conformitate cu principiile stabilite de Birou, care includ, printre altele, o evaluare aprofundată a riscurilor asociate cu utilizarea noilor tehnologii; solicită Secretariatului să ofere soluții, cum ar fi aplicații și instrumente, care să fie puse la dispoziția deputaților și a personalului cât mai curând posibil;</w:t>
      </w:r>
    </w:p>
    <w:p w:rsidR="008A11D9" w:rsidRPr="004C327B" w:rsidRDefault="008A11D9" w:rsidP="00400B06">
      <w:pPr>
        <w:keepNext/>
        <w:widowControl/>
        <w:spacing w:after="240"/>
        <w:ind w:left="357" w:hanging="357"/>
        <w:rPr>
          <w:b/>
          <w:i/>
          <w:color w:val="000000"/>
        </w:rPr>
      </w:pPr>
      <w:r w:rsidRPr="004C327B">
        <w:rPr>
          <w:b/>
          <w:i/>
          <w:color w:val="000000"/>
        </w:rPr>
        <w:t>Tranziția verde</w:t>
      </w:r>
    </w:p>
    <w:p w:rsidR="008A11D9" w:rsidRPr="004C327B" w:rsidRDefault="008A11D9" w:rsidP="00400B06">
      <w:pPr>
        <w:widowControl/>
        <w:spacing w:after="240"/>
        <w:ind w:left="567" w:hanging="567"/>
        <w:jc w:val="both"/>
        <w:rPr>
          <w:color w:val="000000"/>
        </w:rPr>
      </w:pPr>
      <w:r w:rsidRPr="004C327B">
        <w:rPr>
          <w:color w:val="000000"/>
        </w:rPr>
        <w:t>15.</w:t>
      </w:r>
      <w:r w:rsidRPr="004C327B">
        <w:rPr>
          <w:color w:val="000000"/>
        </w:rPr>
        <w:tab/>
        <w:t>salută obiectivele sistemului de management de mediu (</w:t>
      </w:r>
      <w:proofErr w:type="spellStart"/>
      <w:r w:rsidRPr="004C327B">
        <w:rPr>
          <w:color w:val="000000"/>
        </w:rPr>
        <w:t>EMAS</w:t>
      </w:r>
      <w:proofErr w:type="spellEnd"/>
      <w:r w:rsidRPr="004C327B">
        <w:rPr>
          <w:color w:val="000000"/>
        </w:rPr>
        <w:t>) al Parlamentului pentru perioada 2025-2029; reamintește că investițiile în eficiența energetică reprezintă o metodă bună de a obține un bun raport calitate-preț; ia act de bugetul de 8,45 milioane EUR prevăzut în estimările pentru 2026 pentru investiții în eficiența energetică și mediu cu scopul de a îmbunătăți și mai mult performanța de mediu a clădirilor sale; constată că aceasta reprezintă o creștere de 74 % față de bugetul pe 2025; recunoaște însă că aceste acțiuni pentru mediu fac parte din linia bugetară 2007 „Construcția de clădiri și amenajarea spațiilor”, al cărei total general a scăzut cu 3,7 milioane EUR în 2026 față de 2025;</w:t>
      </w:r>
    </w:p>
    <w:p w:rsidR="008A11D9" w:rsidRPr="004C327B" w:rsidRDefault="008A11D9" w:rsidP="00400B06">
      <w:pPr>
        <w:widowControl/>
        <w:spacing w:after="240"/>
        <w:ind w:left="567" w:hanging="567"/>
        <w:jc w:val="both"/>
        <w:rPr>
          <w:color w:val="000000"/>
        </w:rPr>
      </w:pPr>
      <w:r w:rsidRPr="004C327B">
        <w:rPr>
          <w:color w:val="000000"/>
        </w:rPr>
        <w:t>16.</w:t>
      </w:r>
      <w:r w:rsidRPr="004C327B">
        <w:rPr>
          <w:color w:val="000000"/>
        </w:rPr>
        <w:tab/>
        <w:t>reamintește că aproape două treimi din amprenta de carbon a Parlamentului provine din transportul de persoane; solicită să se reducă în mod rezonabil călătoriile efectuate pentru a participa la reuniuni care pot fi organizate de la distanță sau în format hibrid și să se promoveze trecerea la alternative cu emisii reduse de dioxid de carbon pentru toate călătoriile rămase, cu condiția ca acest lucru să nu afecteze calitatea activității legislative și politice;</w:t>
      </w:r>
    </w:p>
    <w:p w:rsidR="008A11D9" w:rsidRPr="004C327B" w:rsidRDefault="008A11D9" w:rsidP="00400B06">
      <w:pPr>
        <w:widowControl/>
        <w:spacing w:after="240"/>
        <w:ind w:left="567" w:hanging="567"/>
        <w:jc w:val="both"/>
        <w:rPr>
          <w:color w:val="000000"/>
        </w:rPr>
      </w:pPr>
      <w:r w:rsidRPr="004C327B">
        <w:rPr>
          <w:color w:val="000000"/>
        </w:rPr>
        <w:t>17.</w:t>
      </w:r>
      <w:r w:rsidRPr="004C327B">
        <w:rPr>
          <w:color w:val="000000"/>
        </w:rPr>
        <w:tab/>
        <w:t>ia act de creșterile preconizate ale prețurilor creditelor de carbon, pentru care, la nivelurile actuale de emisii, se estimează că ar fi nevoie de 900 000 EUR pentru 2026; solicită administrației să reducă în continuare, în conformitate cu buna gestiune financiară, emisiile Parlamentului, în loc să achiziționeze credite de carbon; salută introducerea unei oferte mai bune de trenuri pentru misiunile de la Strasbourg începând din iulie 2025, ceea ce reprezintă un pas pozitiv către reducerea emisiilor de CO</w:t>
      </w:r>
      <w:r w:rsidRPr="004C327B">
        <w:rPr>
          <w:color w:val="000000"/>
          <w:vertAlign w:val="subscript"/>
        </w:rPr>
        <w:t>2</w:t>
      </w:r>
      <w:r w:rsidRPr="004C327B">
        <w:rPr>
          <w:color w:val="000000"/>
        </w:rPr>
        <w:t>;</w:t>
      </w:r>
    </w:p>
    <w:p w:rsidR="008A11D9" w:rsidRPr="004C327B" w:rsidRDefault="008A11D9" w:rsidP="00400B06">
      <w:pPr>
        <w:widowControl/>
        <w:spacing w:after="240"/>
        <w:ind w:left="567" w:hanging="567"/>
        <w:jc w:val="both"/>
        <w:rPr>
          <w:color w:val="000000"/>
        </w:rPr>
      </w:pPr>
      <w:r w:rsidRPr="004C327B">
        <w:rPr>
          <w:color w:val="000000"/>
        </w:rPr>
        <w:lastRenderedPageBreak/>
        <w:t>18.</w:t>
      </w:r>
      <w:r w:rsidRPr="004C327B">
        <w:rPr>
          <w:color w:val="000000"/>
        </w:rPr>
        <w:tab/>
        <w:t>constată că Parlamentul a instalat și continuă să instaleze panouri solare fotovoltaice pentru a crește și mai mult ponderea energiei din surse regenerabile produse la fața locului în scopul de a atinge obiectivul de 25 %; ia act de răspunsurile oferite de Secretarul General la estimarea veniturilor și cheltuielilor Parlamentului pentru exercițiul financiar 2024, subliniind că în 2022 a fost realizat un studiu privind utilizarea panourilor fotovoltaice pentru clădirile de la Strasbourg, care a fost finalizat în 2023, și că în 2024 urmau să fie efectuate studii suplimentare pentru soluții viabile, în special pentru clădirea WEISS;</w:t>
      </w:r>
    </w:p>
    <w:p w:rsidR="008A11D9" w:rsidRPr="004C327B" w:rsidRDefault="008A11D9" w:rsidP="00400B06">
      <w:pPr>
        <w:spacing w:after="240"/>
        <w:rPr>
          <w:b/>
          <w:i/>
          <w:color w:val="000000"/>
        </w:rPr>
      </w:pPr>
      <w:r w:rsidRPr="004C327B">
        <w:rPr>
          <w:b/>
          <w:i/>
          <w:color w:val="000000"/>
        </w:rPr>
        <w:t>Multilingvismul, comunicarea și dezinformarea</w:t>
      </w:r>
    </w:p>
    <w:p w:rsidR="008A11D9" w:rsidRPr="004C327B" w:rsidRDefault="008A11D9" w:rsidP="00400B06">
      <w:pPr>
        <w:widowControl/>
        <w:spacing w:after="240"/>
        <w:ind w:left="567" w:hanging="567"/>
        <w:jc w:val="both"/>
        <w:rPr>
          <w:color w:val="000000"/>
        </w:rPr>
      </w:pPr>
      <w:r w:rsidRPr="004C327B">
        <w:rPr>
          <w:color w:val="000000"/>
        </w:rPr>
        <w:t>19.</w:t>
      </w:r>
      <w:r w:rsidRPr="004C327B">
        <w:rPr>
          <w:color w:val="000000"/>
        </w:rPr>
        <w:tab/>
        <w:t>subliniază că multilingvismul este unul dintre principiile fundamentale care stau la baza activității Parlamentului; ia act de apropiata revizuire a Codului de conduită privind multilingvismul, prevăzută pentru primăvara anului 2025; solicită ca Parlamentul să valorifice, dacă este cazul, evoluțiile tehnologice majore în domeniul serviciilor legate de multilingvism, inclusiv dezvoltarea și utilizarea IA; solicită Secretarului General să informeze în timp util Comisia pentru bugete cu privire la eventualul impact bugetar al acestei revizuiri;</w:t>
      </w:r>
    </w:p>
    <w:p w:rsidR="008A11D9" w:rsidRPr="004C327B" w:rsidRDefault="008A11D9" w:rsidP="00400B06">
      <w:pPr>
        <w:widowControl/>
        <w:spacing w:after="240"/>
        <w:ind w:left="567" w:hanging="567"/>
        <w:jc w:val="both"/>
        <w:rPr>
          <w:color w:val="000000"/>
        </w:rPr>
      </w:pPr>
      <w:r w:rsidRPr="004C327B">
        <w:rPr>
          <w:color w:val="000000"/>
        </w:rPr>
        <w:t>20.</w:t>
      </w:r>
      <w:r w:rsidRPr="004C327B">
        <w:rPr>
          <w:color w:val="000000"/>
        </w:rPr>
        <w:tab/>
        <w:t>evidențiază rolul birourilor de legătură ale Parlamentului European (</w:t>
      </w:r>
      <w:proofErr w:type="spellStart"/>
      <w:r w:rsidRPr="004C327B">
        <w:rPr>
          <w:color w:val="000000"/>
        </w:rPr>
        <w:t>EPLO</w:t>
      </w:r>
      <w:proofErr w:type="spellEnd"/>
      <w:r w:rsidRPr="004C327B">
        <w:rPr>
          <w:color w:val="000000"/>
        </w:rPr>
        <w:t xml:space="preserve">) în combaterea ingerințelor străine și a dezinformării; ia act, în acest sens, de activitatea </w:t>
      </w:r>
      <w:proofErr w:type="spellStart"/>
      <w:r w:rsidRPr="004C327B">
        <w:rPr>
          <w:color w:val="000000"/>
        </w:rPr>
        <w:t>EPLO</w:t>
      </w:r>
      <w:proofErr w:type="spellEnd"/>
      <w:r w:rsidRPr="004C327B">
        <w:rPr>
          <w:color w:val="000000"/>
        </w:rPr>
        <w:t xml:space="preserve">, care promovează în mod </w:t>
      </w:r>
      <w:proofErr w:type="spellStart"/>
      <w:r w:rsidRPr="004C327B">
        <w:rPr>
          <w:color w:val="000000"/>
        </w:rPr>
        <w:t>proactiv</w:t>
      </w:r>
      <w:proofErr w:type="spellEnd"/>
      <w:r w:rsidRPr="004C327B">
        <w:rPr>
          <w:color w:val="000000"/>
        </w:rPr>
        <w:t xml:space="preserve"> activitatea Parlamentului în limbile lor locale, utilizând mai multe canale; evidențiază rolul </w:t>
      </w:r>
      <w:proofErr w:type="spellStart"/>
      <w:r w:rsidRPr="004C327B">
        <w:rPr>
          <w:color w:val="000000"/>
        </w:rPr>
        <w:t>EPLO</w:t>
      </w:r>
      <w:proofErr w:type="spellEnd"/>
      <w:r w:rsidRPr="004C327B">
        <w:rPr>
          <w:color w:val="000000"/>
        </w:rPr>
        <w:t xml:space="preserve"> în Regatul Unit ca principal punct de contact pentru cetățenii Uniunii care își au reședința în Regatul Unit, oferindu-le informații despre Parlament și încurajându-i să voteze la alegerile europene; solicită Biroului să extindă producția și difuzarea materialelor de comunicare într-un mod accesibil și favorabil incluziunii;</w:t>
      </w:r>
    </w:p>
    <w:p w:rsidR="008A11D9" w:rsidRPr="004C327B" w:rsidRDefault="008A11D9" w:rsidP="00400B06">
      <w:pPr>
        <w:widowControl/>
        <w:spacing w:after="240"/>
        <w:ind w:left="567" w:hanging="567"/>
        <w:jc w:val="both"/>
        <w:rPr>
          <w:color w:val="000000"/>
        </w:rPr>
      </w:pPr>
      <w:r w:rsidRPr="004C327B">
        <w:rPr>
          <w:color w:val="000000"/>
        </w:rPr>
        <w:t>21.</w:t>
      </w:r>
      <w:r w:rsidRPr="004C327B">
        <w:rPr>
          <w:color w:val="000000"/>
        </w:rPr>
        <w:tab/>
        <w:t>atrage atenția asupra ratei scăzute de participare a tinerilor din unele regiuni ale Uniunii la recentele alegeri europene și rolul Parlamentului în îmbunătățirea educației privind cetățenia UE;</w:t>
      </w:r>
    </w:p>
    <w:p w:rsidR="008A11D9" w:rsidRPr="004C327B" w:rsidRDefault="008A11D9" w:rsidP="00400B06">
      <w:pPr>
        <w:widowControl/>
        <w:spacing w:after="240"/>
        <w:ind w:left="567" w:hanging="567"/>
        <w:jc w:val="both"/>
        <w:rPr>
          <w:color w:val="000000"/>
        </w:rPr>
      </w:pPr>
      <w:r w:rsidRPr="004C327B">
        <w:rPr>
          <w:color w:val="000000"/>
        </w:rPr>
        <w:t>22.</w:t>
      </w:r>
      <w:r w:rsidRPr="004C327B">
        <w:rPr>
          <w:color w:val="000000"/>
        </w:rPr>
        <w:tab/>
        <w:t xml:space="preserve">reamintește importanța programului „Școli-ambasador” al Parlamentului European pentru promovarea implicării active a tinerilor europeni, precum și a programului de formare pentru tinerii jurnaliști, numit în onoarea lui David </w:t>
      </w:r>
      <w:proofErr w:type="spellStart"/>
      <w:r w:rsidRPr="004C327B">
        <w:rPr>
          <w:color w:val="000000"/>
        </w:rPr>
        <w:t>Sassoli</w:t>
      </w:r>
      <w:proofErr w:type="spellEnd"/>
      <w:r w:rsidRPr="004C327B">
        <w:rPr>
          <w:color w:val="000000"/>
        </w:rPr>
        <w:t>, pentru îmbunătățirea înțelegerii Uniunii și a funcționării sale în rândul jurnaliștilor, acesta fiind cel mai bun antidot împotriva dezinformării, având în vedere tendințele recente care demonstrează un declin îngrijorător al libertății și independenței mass-mediei în întreaga Uniune;</w:t>
      </w:r>
    </w:p>
    <w:p w:rsidR="008A11D9" w:rsidRPr="004C327B" w:rsidRDefault="008A11D9" w:rsidP="00400B06">
      <w:pPr>
        <w:widowControl/>
        <w:spacing w:after="240"/>
        <w:ind w:left="567" w:hanging="567"/>
        <w:jc w:val="both"/>
        <w:rPr>
          <w:color w:val="000000"/>
        </w:rPr>
      </w:pPr>
      <w:r w:rsidRPr="004C327B">
        <w:rPr>
          <w:color w:val="000000"/>
        </w:rPr>
        <w:t>23.</w:t>
      </w:r>
      <w:r w:rsidRPr="004C327B">
        <w:rPr>
          <w:color w:val="000000"/>
        </w:rPr>
        <w:tab/>
        <w:t>recunoaște importanța grupurilor de vizitatori ca instrument important pentru a pune cetățenii în legătură cu activitatea deputaților; salută, în acest sens, creșterea plafoanelor și a factorilor de cost pentru calcularea contribuției financiare pentru vizitatorii aflați sub patronaj începând de la 1 ianuarie 2025;</w:t>
      </w:r>
      <w:r w:rsidRPr="004C327B">
        <w:t xml:space="preserve"> </w:t>
      </w:r>
      <w:r w:rsidRPr="004C327B">
        <w:rPr>
          <w:color w:val="000000"/>
        </w:rPr>
        <w:t>solicită Biroului să evalueze impactul normelor revizuite referitoare la grupurile de vizitatori în ceea ce privește costurile de deplasare, ținând seama de fluctuațiile pieței, și să evite discriminarea geografică indirectă a vizitatorilor; constată, pe baza experienței din trecut, că deputații nu utilizează aproximativ 15 % din cota prevăzută pentru vizitatori; invită Secretarul General să propună Biroului ca aceste cote neutilizate să fie puse la dispoziția deputaților interesați; constată că bugetul pentru grupurile de vizitatori reprezintă 22 % din bugetul total al Direcției Generale Comunicare;</w:t>
      </w:r>
    </w:p>
    <w:p w:rsidR="008A11D9" w:rsidRPr="004C327B" w:rsidRDefault="008A11D9" w:rsidP="00400B06">
      <w:pPr>
        <w:widowControl/>
        <w:spacing w:after="240"/>
        <w:ind w:left="567" w:hanging="567"/>
        <w:jc w:val="both"/>
        <w:rPr>
          <w:color w:val="000000"/>
        </w:rPr>
      </w:pPr>
      <w:r w:rsidRPr="004C327B">
        <w:rPr>
          <w:color w:val="000000"/>
        </w:rPr>
        <w:lastRenderedPageBreak/>
        <w:t>24.</w:t>
      </w:r>
      <w:r w:rsidRPr="004C327B">
        <w:rPr>
          <w:color w:val="000000"/>
        </w:rPr>
        <w:tab/>
        <w:t>ia act cu îngrijorare de normele interne care reglementează grupurile de vizitatori ai deputaților, care obligă asistenții parlamentari acreditați (APA) să suporte, în anumite circumstanțe, 30 % din costurile inițiale; subliniază impracticabilitatea acestor norme și sarcina financiară pe care acestea o impun asistenților parlamentari acreditați; ia act de răspunsurile oferite de Secretarul General la rezoluția Parlamentului privind estimarea veniturilor și cheltuielilor pentru exercițiul financiar 2024 cu privire la logica abordării în două etape; înțelege logica, dar subliniază provocările tot mai mari pe care acest lucru le reprezintă pentru asistenții parlamentari acreditați, în special pe măsură ce se trece la norme tot mai stricte;</w:t>
      </w:r>
    </w:p>
    <w:p w:rsidR="008A11D9" w:rsidRPr="004C327B" w:rsidRDefault="008A11D9" w:rsidP="00400B06">
      <w:pPr>
        <w:widowControl/>
        <w:spacing w:after="240"/>
        <w:ind w:left="567" w:hanging="567"/>
        <w:jc w:val="both"/>
        <w:rPr>
          <w:color w:val="000000"/>
        </w:rPr>
      </w:pPr>
      <w:r w:rsidRPr="004C327B">
        <w:rPr>
          <w:color w:val="000000"/>
        </w:rPr>
        <w:t>25.</w:t>
      </w:r>
      <w:r w:rsidRPr="004C327B">
        <w:rPr>
          <w:color w:val="000000"/>
        </w:rPr>
        <w:tab/>
        <w:t>atrage atenția asupra peisajului din ce în ce mai complex al comunicării și multiplele modalități în care ar trebui să se desfășoare comunicarea politică, inclusiv prin prezența pe diferite platforme de comunicare socială și în alte mijloace de comunicare în masă; subliniază că grupurile politice ar trebui să își transmită și să își comunice mesajul în toate statele membre, ca unul dintre principiile-cheie ale unei democrații europene funcționale;</w:t>
      </w:r>
    </w:p>
    <w:p w:rsidR="008A11D9" w:rsidRPr="004C327B" w:rsidRDefault="008A11D9" w:rsidP="00400B06">
      <w:pPr>
        <w:spacing w:after="240"/>
        <w:rPr>
          <w:b/>
          <w:i/>
          <w:color w:val="000000"/>
        </w:rPr>
      </w:pPr>
      <w:r w:rsidRPr="004C327B">
        <w:rPr>
          <w:b/>
          <w:i/>
          <w:color w:val="000000"/>
        </w:rPr>
        <w:t>Infrastructura</w:t>
      </w:r>
    </w:p>
    <w:p w:rsidR="008A11D9" w:rsidRPr="004C327B" w:rsidRDefault="008A11D9" w:rsidP="00400B06">
      <w:pPr>
        <w:widowControl/>
        <w:spacing w:after="240"/>
        <w:ind w:left="567" w:hanging="567"/>
        <w:jc w:val="both"/>
        <w:rPr>
          <w:color w:val="000000"/>
        </w:rPr>
      </w:pPr>
      <w:r w:rsidRPr="004C327B">
        <w:rPr>
          <w:color w:val="000000"/>
        </w:rPr>
        <w:t>26.</w:t>
      </w:r>
      <w:r w:rsidRPr="004C327B">
        <w:rPr>
          <w:color w:val="000000"/>
        </w:rPr>
        <w:tab/>
        <w:t>ia act de noua abordare legată de clădiri, unde, după o perioadă de achiziții, Parlamentul a intrat într-o etapă de consolidare a clădirilor, ținând seama de sustenabilitate, accesibilitate și de mobilitatea deputaților și a personalului;</w:t>
      </w:r>
    </w:p>
    <w:p w:rsidR="008A11D9" w:rsidRPr="004C327B" w:rsidRDefault="008A11D9" w:rsidP="00400B06">
      <w:pPr>
        <w:widowControl/>
        <w:spacing w:after="240"/>
        <w:ind w:left="567" w:hanging="567"/>
        <w:jc w:val="both"/>
        <w:rPr>
          <w:color w:val="000000"/>
        </w:rPr>
      </w:pPr>
      <w:r w:rsidRPr="004C327B">
        <w:rPr>
          <w:color w:val="000000"/>
        </w:rPr>
        <w:t>27.</w:t>
      </w:r>
      <w:r w:rsidRPr="004C327B">
        <w:rPr>
          <w:color w:val="000000"/>
        </w:rPr>
        <w:tab/>
        <w:t xml:space="preserve">ia act de faptul că în estimările pentru 2026 a fost inclusă suma de 4 milioane EUR pentru studii și lucrările pregătitoare ale contractantului legate de renovarea clădirii </w:t>
      </w:r>
      <w:proofErr w:type="spellStart"/>
      <w:r w:rsidRPr="004C327B">
        <w:rPr>
          <w:color w:val="000000"/>
        </w:rPr>
        <w:t>SPAAK</w:t>
      </w:r>
      <w:proofErr w:type="spellEnd"/>
      <w:r w:rsidRPr="004C327B">
        <w:rPr>
          <w:color w:val="000000"/>
        </w:rPr>
        <w:t xml:space="preserve">, costurile totale fiind estimate la 36 de milioane EUR; remarcă, prin urmare, că costurile de 32 de milioane EUR legate de renovarea clădirii </w:t>
      </w:r>
      <w:proofErr w:type="spellStart"/>
      <w:r w:rsidRPr="004C327B">
        <w:rPr>
          <w:color w:val="000000"/>
        </w:rPr>
        <w:t>SPAAK</w:t>
      </w:r>
      <w:proofErr w:type="spellEnd"/>
      <w:r w:rsidRPr="004C327B">
        <w:rPr>
          <w:color w:val="000000"/>
        </w:rPr>
        <w:t xml:space="preserve"> nu sunt incluse în estimările pentru 2026; ia act de faptul că Secretarul General intenționează să acopere aceste costuri printr-un transfer colector sau recurgând la un împrumut; solicită Secretarului General să comunice Comisiei pentru bugete, cât mai curând cu putință, informații detaliate cu privire la un posibil împrumut pentru acoperirea acestor costuri, în conformitate cu articolul 272 alineatul (6) din Regulamentul financiar, precum și planificarea integrală a lucrărilor, inclusiv planificarea costurilor; insistă asupra faptului că costurile care nu sunt direct legate de lucrările de renovare ar trebui de asemenea să fie enunțate clar și înscrise în buget; constată că, în decembrie 2024, costurile directe ale proiectului </w:t>
      </w:r>
      <w:proofErr w:type="spellStart"/>
      <w:r w:rsidRPr="004C327B">
        <w:rPr>
          <w:color w:val="000000"/>
        </w:rPr>
        <w:t>SPAAK</w:t>
      </w:r>
      <w:proofErr w:type="spellEnd"/>
      <w:r w:rsidRPr="004C327B">
        <w:rPr>
          <w:color w:val="000000"/>
        </w:rPr>
        <w:t xml:space="preserve"> se ridicau la 14,12 milioane EUR;</w:t>
      </w:r>
    </w:p>
    <w:p w:rsidR="008A11D9" w:rsidRPr="004C327B" w:rsidRDefault="008A11D9" w:rsidP="00400B06">
      <w:pPr>
        <w:widowControl/>
        <w:spacing w:after="240"/>
        <w:ind w:left="567" w:hanging="567"/>
        <w:jc w:val="both"/>
        <w:rPr>
          <w:color w:val="000000"/>
        </w:rPr>
      </w:pPr>
      <w:r w:rsidRPr="004C327B">
        <w:rPr>
          <w:color w:val="000000"/>
        </w:rPr>
        <w:t>28.</w:t>
      </w:r>
      <w:r w:rsidRPr="004C327B">
        <w:rPr>
          <w:color w:val="000000"/>
        </w:rPr>
        <w:tab/>
        <w:t xml:space="preserve">salută proiectul-pilot al DG </w:t>
      </w:r>
      <w:proofErr w:type="spellStart"/>
      <w:r w:rsidRPr="004C327B">
        <w:rPr>
          <w:color w:val="000000"/>
        </w:rPr>
        <w:t>INLO</w:t>
      </w:r>
      <w:proofErr w:type="spellEnd"/>
      <w:r w:rsidRPr="004C327B">
        <w:rPr>
          <w:color w:val="000000"/>
        </w:rPr>
        <w:t xml:space="preserve"> care vizează eliminarea </w:t>
      </w:r>
      <w:proofErr w:type="spellStart"/>
      <w:r w:rsidRPr="004C327B">
        <w:rPr>
          <w:color w:val="000000"/>
        </w:rPr>
        <w:t>legionellei</w:t>
      </w:r>
      <w:proofErr w:type="spellEnd"/>
      <w:r w:rsidRPr="004C327B">
        <w:rPr>
          <w:color w:val="000000"/>
        </w:rPr>
        <w:t xml:space="preserve"> din sistemul de conducte de apă al Parlamentului și subliniază că singura modalitate eficace de a combate răspândirea în continuare a </w:t>
      </w:r>
      <w:proofErr w:type="spellStart"/>
      <w:r w:rsidRPr="004C327B">
        <w:rPr>
          <w:color w:val="000000"/>
        </w:rPr>
        <w:t>legionellei</w:t>
      </w:r>
      <w:proofErr w:type="spellEnd"/>
      <w:r w:rsidRPr="004C327B">
        <w:rPr>
          <w:color w:val="000000"/>
        </w:rPr>
        <w:t xml:space="preserve"> este de a aduce temperatura apei din conducte la 55 de grade Celsius pentru o perioadă scurtă de timp;</w:t>
      </w:r>
    </w:p>
    <w:p w:rsidR="008A11D9" w:rsidRPr="004C327B" w:rsidRDefault="008A11D9" w:rsidP="00400B06">
      <w:pPr>
        <w:widowControl/>
        <w:spacing w:after="240"/>
        <w:ind w:left="567" w:hanging="567"/>
        <w:jc w:val="both"/>
        <w:rPr>
          <w:color w:val="000000"/>
        </w:rPr>
      </w:pPr>
      <w:bookmarkStart w:id="9" w:name="_heading=h.30j0zll"/>
      <w:bookmarkEnd w:id="9"/>
      <w:r w:rsidRPr="004C327B">
        <w:rPr>
          <w:color w:val="000000"/>
        </w:rPr>
        <w:t>29.</w:t>
      </w:r>
      <w:r w:rsidRPr="004C327B">
        <w:rPr>
          <w:color w:val="000000"/>
        </w:rPr>
        <w:tab/>
        <w:t xml:space="preserve">ia act de faptul că se preconizează să se investească 11,45 milioane EUR în centrele „Europa </w:t>
      </w:r>
      <w:proofErr w:type="spellStart"/>
      <w:r w:rsidRPr="004C327B">
        <w:rPr>
          <w:color w:val="000000"/>
        </w:rPr>
        <w:t>Experience</w:t>
      </w:r>
      <w:proofErr w:type="spellEnd"/>
      <w:r w:rsidRPr="004C327B">
        <w:rPr>
          <w:color w:val="000000"/>
        </w:rPr>
        <w:t xml:space="preserve">” în 2026; ia act de decizia Biroului din noiembrie 2024 de a revizui conceptul „Europa </w:t>
      </w:r>
      <w:proofErr w:type="spellStart"/>
      <w:r w:rsidRPr="004C327B">
        <w:rPr>
          <w:color w:val="000000"/>
        </w:rPr>
        <w:t>Experience</w:t>
      </w:r>
      <w:proofErr w:type="spellEnd"/>
      <w:r w:rsidRPr="004C327B">
        <w:rPr>
          <w:color w:val="000000"/>
        </w:rPr>
        <w:t xml:space="preserve">” și se așteaptă ca conceptul revizuit să fie mai eficient din punctul de vedere al costurilor și mai atractiv pentru vizitatori; regretă că încă nu există centre „Europa </w:t>
      </w:r>
      <w:proofErr w:type="spellStart"/>
      <w:r w:rsidRPr="004C327B">
        <w:rPr>
          <w:color w:val="000000"/>
        </w:rPr>
        <w:t>Experience</w:t>
      </w:r>
      <w:proofErr w:type="spellEnd"/>
      <w:r w:rsidRPr="004C327B">
        <w:rPr>
          <w:color w:val="000000"/>
        </w:rPr>
        <w:t xml:space="preserve">” în București, Riga, Madrid, Lisabona, Nicosia, Valletta și Vilnius; solicită înființarea de centre „Europa </w:t>
      </w:r>
      <w:proofErr w:type="spellStart"/>
      <w:r w:rsidRPr="004C327B">
        <w:rPr>
          <w:color w:val="000000"/>
        </w:rPr>
        <w:t>Experience</w:t>
      </w:r>
      <w:proofErr w:type="spellEnd"/>
      <w:r w:rsidRPr="004C327B">
        <w:rPr>
          <w:color w:val="000000"/>
        </w:rPr>
        <w:t xml:space="preserve">” în toate statele membre imediat după ce va fi stabilit un concept revizuit; reamintește că centrele „Europa </w:t>
      </w:r>
      <w:proofErr w:type="spellStart"/>
      <w:r w:rsidRPr="004C327B">
        <w:rPr>
          <w:color w:val="000000"/>
        </w:rPr>
        <w:t>Experience</w:t>
      </w:r>
      <w:proofErr w:type="spellEnd"/>
      <w:r w:rsidRPr="004C327B">
        <w:rPr>
          <w:color w:val="000000"/>
        </w:rPr>
        <w:t xml:space="preserve">” ar trebui să le permită cetățenilor să înțeleagă mai bine funcționarea Uniunii și să afle despre valorile noastre comune; repetă, prin urmare, că centrele „Europa </w:t>
      </w:r>
      <w:proofErr w:type="spellStart"/>
      <w:r w:rsidRPr="004C327B">
        <w:rPr>
          <w:color w:val="000000"/>
        </w:rPr>
        <w:lastRenderedPageBreak/>
        <w:t>Experience</w:t>
      </w:r>
      <w:proofErr w:type="spellEnd"/>
      <w:r w:rsidRPr="004C327B">
        <w:rPr>
          <w:color w:val="000000"/>
        </w:rPr>
        <w:t>” fac parte integrantă din angajamentul continuu al Parlamentului față de cetățenii Uniunii;</w:t>
      </w:r>
    </w:p>
    <w:p w:rsidR="008A11D9" w:rsidRPr="004C327B" w:rsidRDefault="008A11D9" w:rsidP="00400B06">
      <w:pPr>
        <w:widowControl/>
        <w:spacing w:after="240"/>
        <w:ind w:left="567" w:hanging="567"/>
        <w:jc w:val="both"/>
        <w:rPr>
          <w:color w:val="000000"/>
        </w:rPr>
      </w:pPr>
      <w:r w:rsidRPr="004C327B">
        <w:rPr>
          <w:color w:val="000000"/>
        </w:rPr>
        <w:t>30.</w:t>
      </w:r>
      <w:r w:rsidRPr="004C327B">
        <w:rPr>
          <w:color w:val="000000"/>
        </w:rPr>
        <w:tab/>
        <w:t xml:space="preserve">salută faptul că nu este necesară nicio finanțare suplimentară pentru deschiderea birourilor Parlamentului în Moldova și în Balcanii de Vest, deoarece acestea urmează să fie amplasate în clădirile </w:t>
      </w:r>
      <w:proofErr w:type="spellStart"/>
      <w:r w:rsidRPr="004C327B">
        <w:rPr>
          <w:color w:val="000000"/>
        </w:rPr>
        <w:t>SEAE</w:t>
      </w:r>
      <w:proofErr w:type="spellEnd"/>
      <w:r w:rsidRPr="004C327B">
        <w:rPr>
          <w:color w:val="000000"/>
        </w:rPr>
        <w:t>; subliniază importanța prezenței Parlamentului în aceste țări ca semn de solidaritate europeană și ca semn al angajamentului Parlamentului față de procesul de aderare;</w:t>
      </w:r>
    </w:p>
    <w:p w:rsidR="008A11D9" w:rsidRPr="004C327B" w:rsidRDefault="008A11D9" w:rsidP="00400B06">
      <w:pPr>
        <w:widowControl/>
        <w:spacing w:after="240"/>
        <w:ind w:left="567" w:hanging="567"/>
        <w:jc w:val="both"/>
        <w:rPr>
          <w:color w:val="000000"/>
        </w:rPr>
      </w:pPr>
      <w:r w:rsidRPr="004C327B">
        <w:rPr>
          <w:color w:val="000000"/>
        </w:rPr>
        <w:t>31.</w:t>
      </w:r>
      <w:r w:rsidRPr="004C327B">
        <w:rPr>
          <w:color w:val="000000"/>
        </w:rPr>
        <w:tab/>
        <w:t xml:space="preserve">ia act de rezilierea anticipată a contractului cu fostul prestator al creșei </w:t>
      </w:r>
      <w:proofErr w:type="spellStart"/>
      <w:r w:rsidRPr="004C327B">
        <w:rPr>
          <w:color w:val="000000"/>
        </w:rPr>
        <w:t>Wayenberg</w:t>
      </w:r>
      <w:proofErr w:type="spellEnd"/>
      <w:r w:rsidRPr="004C327B">
        <w:rPr>
          <w:color w:val="000000"/>
        </w:rPr>
        <w:t>, după o serie de acuzații grave împotriva contractantului; salută acordul cu un nou prestator, care prevede condiții de muncă mai bune pentru personalul creșei și o mai bună calitate a serviciilor pentru copii; recunoaște însă că acest lucru implică o majorare substanțială a bugetului necesar în acest scop, dar subliniază că asigurarea unor condiții de muncă decente pentru personalul extern ar trebui să constituie, dacă este cazul, o prioritate în achizițiile publice ale Parlamentului, ca o chestiune de principiu;</w:t>
      </w:r>
    </w:p>
    <w:p w:rsidR="008A11D9" w:rsidRPr="004C327B" w:rsidRDefault="008A11D9" w:rsidP="00400B06">
      <w:pPr>
        <w:widowControl/>
        <w:spacing w:after="240"/>
        <w:ind w:left="567" w:hanging="567"/>
        <w:jc w:val="both"/>
        <w:rPr>
          <w:color w:val="000000"/>
        </w:rPr>
      </w:pPr>
      <w:r w:rsidRPr="004C327B">
        <w:rPr>
          <w:color w:val="000000"/>
        </w:rPr>
        <w:t>32.</w:t>
      </w:r>
      <w:r w:rsidRPr="004C327B">
        <w:rPr>
          <w:color w:val="000000"/>
        </w:rPr>
        <w:tab/>
        <w:t>reiterează necesitatea unor săli de alăptare de înaltă calitate în clădirile Parlamentului și invită serviciile competente să modernizeze infrastructura actuală în ceea ce privește echipamentele, spațiul și accesibilitatea, pentru a le face mai potrivite pentru copii; solicită o evaluare de impact privind necesitatea unei săli pentru familii în incinta sediului Parlamentului de la Bruxelles, pentru copiii deputaților care nu au o locuință permanentă la Bruxelles, după modelul celei de la Strasbourg;</w:t>
      </w:r>
    </w:p>
    <w:p w:rsidR="008A11D9" w:rsidRPr="004C327B" w:rsidRDefault="008A11D9" w:rsidP="00400B06">
      <w:pPr>
        <w:spacing w:after="240"/>
        <w:rPr>
          <w:b/>
          <w:i/>
          <w:color w:val="000000"/>
        </w:rPr>
      </w:pPr>
      <w:r w:rsidRPr="004C327B">
        <w:rPr>
          <w:b/>
          <w:i/>
          <w:color w:val="000000"/>
        </w:rPr>
        <w:t>Altele</w:t>
      </w:r>
    </w:p>
    <w:p w:rsidR="008A11D9" w:rsidRPr="004C327B" w:rsidRDefault="008A11D9" w:rsidP="00400B06">
      <w:pPr>
        <w:spacing w:after="240"/>
        <w:ind w:left="567" w:hanging="567"/>
        <w:jc w:val="both"/>
        <w:rPr>
          <w:color w:val="000000"/>
        </w:rPr>
      </w:pPr>
      <w:r w:rsidRPr="004C327B">
        <w:rPr>
          <w:color w:val="000000"/>
        </w:rPr>
        <w:t>33.</w:t>
      </w:r>
      <w:r w:rsidRPr="004C327B">
        <w:rPr>
          <w:color w:val="000000"/>
        </w:rPr>
        <w:tab/>
        <w:t xml:space="preserve">își reiterează solicitarea, adoptată în mai multe rânduri în plen, ca organele competente să găsească o soluție care să le permită deputaților să își exercite dreptul de vot de la distanță în timpul concediului de maternitate sau de paternitate, în timpul unei boli de lungă durată atestată prin certificat de boală, ținând seama de </w:t>
      </w:r>
      <w:r w:rsidR="00D141DA" w:rsidRPr="004C327B">
        <w:rPr>
          <w:color w:val="000000"/>
        </w:rPr>
        <w:t>experienț</w:t>
      </w:r>
      <w:r w:rsidR="005F3F5E" w:rsidRPr="004C327B">
        <w:rPr>
          <w:color w:val="000000"/>
        </w:rPr>
        <w:t>a dobândită</w:t>
      </w:r>
      <w:r w:rsidRPr="004C327B">
        <w:rPr>
          <w:color w:val="000000"/>
        </w:rPr>
        <w:t xml:space="preserve"> în timpul pandemiei în ceea ce privește aspectele tehnice ale acestei metode de vot;</w:t>
      </w:r>
    </w:p>
    <w:p w:rsidR="008A11D9" w:rsidRPr="004C327B" w:rsidRDefault="008A11D9" w:rsidP="00400B06">
      <w:pPr>
        <w:spacing w:after="240"/>
        <w:ind w:left="567" w:hanging="567"/>
        <w:jc w:val="both"/>
        <w:rPr>
          <w:color w:val="000000"/>
        </w:rPr>
      </w:pPr>
      <w:r w:rsidRPr="004C327B">
        <w:rPr>
          <w:color w:val="000000"/>
        </w:rPr>
        <w:t>34.</w:t>
      </w:r>
      <w:r w:rsidRPr="004C327B">
        <w:rPr>
          <w:color w:val="000000"/>
        </w:rPr>
        <w:tab/>
        <w:t>relansează apelul său adresat Secretarului General de a pune accentul pe principiul fundamental conform căruia toate recrutările ar trebui să se bazeze pe competențe, asigurând, în același timp, un echilibru geografic între toate statele membre la fiecare nivel al efectivelor de personal; invită Parlamentul să își dezvolte propria capacitate de stabilire de contacte, cu scopul de a atrage la concursuri candidații de calitate de care are nevoie Parlamentul, în ceea ce privește profilul, vârsta, sexul și cetățenia, în special din țările slab reprezentate; subliniază că asigurarea unei reprezentări geografice juste este esențială pentru promovarea unui serviciu public cu adevărat european; observă că Parlamentul a luat în mod constant măsuri pentru a sprijini acest obiectiv, inclusiv prin organizarea de concursuri speciale pentru cetățenii unor anumite țări, menținând totodată metoda de selecție bazată strict pe merite;</w:t>
      </w:r>
    </w:p>
    <w:p w:rsidR="008A11D9" w:rsidRPr="004C327B" w:rsidRDefault="008A11D9" w:rsidP="00400B06">
      <w:pPr>
        <w:spacing w:after="240"/>
        <w:ind w:left="567" w:hanging="567"/>
        <w:jc w:val="both"/>
        <w:rPr>
          <w:color w:val="000000"/>
        </w:rPr>
      </w:pPr>
      <w:r w:rsidRPr="004C327B">
        <w:rPr>
          <w:color w:val="000000"/>
        </w:rPr>
        <w:t>35.</w:t>
      </w:r>
      <w:r w:rsidRPr="004C327B">
        <w:rPr>
          <w:color w:val="000000"/>
        </w:rPr>
        <w:tab/>
        <w:t>consideră că Parlamentul ar trebui să dea exemplu în ceea ce privește drepturile persoanelor cu dizabilități, atât în calitate de angajator, cât și în calitate de instituție publică; salută politica Parlamentului care vizează asigurarea unei utilizări pe deplin independente a clădirilor Parlamentului de către persoanele cu dizabilități și sprijină măsurile și adaptările suplimentare care vor fi necesare în acest sens; constată că bugetul prevede 3,7 milioane EUR în acest scop;</w:t>
      </w:r>
    </w:p>
    <w:p w:rsidR="008A11D9" w:rsidRPr="004C327B" w:rsidRDefault="008A11D9" w:rsidP="00400B06">
      <w:pPr>
        <w:spacing w:after="240"/>
        <w:ind w:left="567" w:hanging="567"/>
        <w:jc w:val="both"/>
        <w:rPr>
          <w:color w:val="000000"/>
        </w:rPr>
      </w:pPr>
      <w:r w:rsidRPr="004C327B">
        <w:rPr>
          <w:color w:val="000000"/>
        </w:rPr>
        <w:lastRenderedPageBreak/>
        <w:t>36.</w:t>
      </w:r>
      <w:r w:rsidRPr="004C327B">
        <w:rPr>
          <w:color w:val="000000"/>
        </w:rPr>
        <w:tab/>
        <w:t xml:space="preserve">subliniază faptul că un sediu unic al Parlamentului ar putea reduce costurile financiare și de mediu; reamintește că, în conformitate cu Tratatul privind Uniunea Europeană, sediul Parlamentului trebuie să fie la Strasbourg; </w:t>
      </w:r>
      <w:r w:rsidR="00B0766C" w:rsidRPr="004C327B">
        <w:rPr>
          <w:color w:val="000000"/>
        </w:rPr>
        <w:t xml:space="preserve">constată </w:t>
      </w:r>
      <w:r w:rsidRPr="004C327B">
        <w:rPr>
          <w:color w:val="000000"/>
        </w:rPr>
        <w:t>că modificările permanente ar necesita o modificare a tratatului, pentru care este nevoie de unanimitate;</w:t>
      </w:r>
    </w:p>
    <w:p w:rsidR="008A11D9" w:rsidRPr="004C327B" w:rsidRDefault="008A11D9" w:rsidP="00400B06">
      <w:pPr>
        <w:spacing w:after="240"/>
        <w:ind w:left="567" w:hanging="567"/>
        <w:jc w:val="both"/>
        <w:rPr>
          <w:color w:val="000000"/>
        </w:rPr>
      </w:pPr>
      <w:r w:rsidRPr="004C327B">
        <w:t>37.</w:t>
      </w:r>
      <w:r w:rsidRPr="004C327B">
        <w:tab/>
      </w:r>
      <w:r w:rsidRPr="004C327B">
        <w:rPr>
          <w:color w:val="000000"/>
        </w:rPr>
        <w:t xml:space="preserve">constată că cheltuielile de misiune ale deputaților și ale personalului se ridică la 116 milioane EUR în bugetul Parlamentului; solicită ca organele Parlamentului să reflecteze asupra practicilor legate de misiuni și să revizuiască normele și practicile respective, cu scopul general de a îmbunătăți în continuare natura misiunilor și de a reduce în continuare costurile financiare și de mediu aferente; </w:t>
      </w:r>
      <w:r w:rsidRPr="004C327B">
        <w:t xml:space="preserve">încurajează deputații să folosească mijloace de transport alternative cu emisii reduse de carbon și pledează pentru utilizarea responsabilă și ponderată a celor mai avantajoase opțiuni de zbor, </w:t>
      </w:r>
      <w:proofErr w:type="spellStart"/>
      <w:r w:rsidRPr="004C327B">
        <w:t>acordându-se</w:t>
      </w:r>
      <w:proofErr w:type="spellEnd"/>
      <w:r w:rsidRPr="004C327B">
        <w:t xml:space="preserve"> preferință călătoriilor cu trenul în cazul în care această opțiune este viabilă;</w:t>
      </w:r>
    </w:p>
    <w:p w:rsidR="008A11D9" w:rsidRPr="004C327B" w:rsidRDefault="008A11D9" w:rsidP="00400B06">
      <w:pPr>
        <w:spacing w:after="240"/>
        <w:ind w:left="567" w:hanging="567"/>
        <w:jc w:val="both"/>
        <w:rPr>
          <w:color w:val="000000"/>
        </w:rPr>
      </w:pPr>
      <w:r w:rsidRPr="004C327B">
        <w:rPr>
          <w:color w:val="000000"/>
        </w:rPr>
        <w:t>38.</w:t>
      </w:r>
      <w:r w:rsidRPr="004C327B">
        <w:rPr>
          <w:color w:val="000000"/>
        </w:rPr>
        <w:tab/>
        <w:t>ia act de faptul că articolul 46 alineatul (2) din Normele de aplicare a Statutului deputaților în Parlamentul European prevede posibilitatea de a finanța costurile suplimentare legate de bugetele de asistență parlamentară transferând credite din indemnizația lor pentru cheltuieli generale (</w:t>
      </w:r>
      <w:proofErr w:type="spellStart"/>
      <w:r w:rsidRPr="004C327B">
        <w:rPr>
          <w:color w:val="000000"/>
        </w:rPr>
        <w:t>ICG</w:t>
      </w:r>
      <w:proofErr w:type="spellEnd"/>
      <w:r w:rsidRPr="004C327B">
        <w:rPr>
          <w:color w:val="000000"/>
        </w:rPr>
        <w:t xml:space="preserve">); invită administrația Parlamentului să ia măsurile necesare pentru a permite deputaților care doresc să facă acest lucru să își utilizeze </w:t>
      </w:r>
      <w:proofErr w:type="spellStart"/>
      <w:r w:rsidRPr="004C327B">
        <w:rPr>
          <w:color w:val="000000"/>
        </w:rPr>
        <w:t>ICG</w:t>
      </w:r>
      <w:proofErr w:type="spellEnd"/>
      <w:r w:rsidRPr="004C327B">
        <w:rPr>
          <w:color w:val="000000"/>
        </w:rPr>
        <w:t xml:space="preserve"> pentru a acoperi costurile misiunilor APA; subliniază că această măsură ar soluționa problema costurilor tot mai mari suportate de birourile deputaților și ar fi totodată neutră din punct de vedere bugetar;</w:t>
      </w:r>
    </w:p>
    <w:p w:rsidR="008A11D9" w:rsidRPr="004C327B" w:rsidRDefault="008A11D9" w:rsidP="00400B06">
      <w:pPr>
        <w:spacing w:after="240"/>
        <w:ind w:left="567" w:hanging="567"/>
        <w:jc w:val="both"/>
        <w:rPr>
          <w:color w:val="000000"/>
        </w:rPr>
      </w:pPr>
      <w:r w:rsidRPr="004C327B">
        <w:rPr>
          <w:color w:val="000000"/>
        </w:rPr>
        <w:t>39.</w:t>
      </w:r>
      <w:r w:rsidRPr="004C327B">
        <w:rPr>
          <w:color w:val="000000"/>
        </w:rPr>
        <w:tab/>
        <w:t xml:space="preserve">invită Biroul să nu indexeze </w:t>
      </w:r>
      <w:proofErr w:type="spellStart"/>
      <w:r w:rsidRPr="004C327B">
        <w:rPr>
          <w:color w:val="000000"/>
        </w:rPr>
        <w:t>ICG</w:t>
      </w:r>
      <w:proofErr w:type="spellEnd"/>
      <w:r w:rsidRPr="004C327B">
        <w:rPr>
          <w:color w:val="000000"/>
        </w:rPr>
        <w:t xml:space="preserve"> și să nu acorde </w:t>
      </w:r>
      <w:proofErr w:type="spellStart"/>
      <w:r w:rsidRPr="004C327B">
        <w:rPr>
          <w:color w:val="000000"/>
        </w:rPr>
        <w:t>ICG</w:t>
      </w:r>
      <w:proofErr w:type="spellEnd"/>
      <w:r w:rsidRPr="004C327B">
        <w:rPr>
          <w:color w:val="000000"/>
        </w:rPr>
        <w:t xml:space="preserve"> foștilor deputați, ceea ce ar genera economii semnificative la nivelul costurilor statutare;</w:t>
      </w:r>
    </w:p>
    <w:p w:rsidR="00F5192C" w:rsidRPr="004C327B" w:rsidRDefault="008A11D9" w:rsidP="00400B06">
      <w:pPr>
        <w:spacing w:after="240"/>
        <w:ind w:left="567" w:hanging="567"/>
        <w:jc w:val="both"/>
        <w:rPr>
          <w:color w:val="000000"/>
        </w:rPr>
      </w:pPr>
      <w:r w:rsidRPr="004C327B">
        <w:rPr>
          <w:color w:val="000000"/>
        </w:rPr>
        <w:t>40.</w:t>
      </w:r>
      <w:r w:rsidRPr="004C327B">
        <w:rPr>
          <w:color w:val="000000"/>
        </w:rPr>
        <w:tab/>
      </w:r>
      <w:r w:rsidR="00F5192C" w:rsidRPr="004C327B">
        <w:rPr>
          <w:color w:val="000000"/>
        </w:rPr>
        <w:t>invită Biroul să revizuiască normele și să introducă o perioadă de existență a stării de incompatibilitate pentru foștii deputați în care aceștia să nu se poată implica în activități de lobby sau de reprezentare în cadrul Parlamentului, egală cu perioada în care deputații primesc o indemnizație tranzitorie;</w:t>
      </w:r>
    </w:p>
    <w:p w:rsidR="008A11D9" w:rsidRPr="004C327B" w:rsidRDefault="00F5192C" w:rsidP="00400B06">
      <w:pPr>
        <w:spacing w:after="240"/>
        <w:ind w:left="567" w:hanging="567"/>
        <w:jc w:val="both"/>
        <w:rPr>
          <w:color w:val="000000"/>
        </w:rPr>
      </w:pPr>
      <w:r w:rsidRPr="004C327B">
        <w:rPr>
          <w:color w:val="000000"/>
        </w:rPr>
        <w:t>41.</w:t>
      </w:r>
      <w:r w:rsidRPr="004C327B">
        <w:rPr>
          <w:color w:val="000000"/>
        </w:rPr>
        <w:tab/>
        <w:t>reamintește că, din 2018, Parlamentul votează în mod constant în plen pentru a se avea în vedere ridicarea interdicției generale privind participarea APA la delegațiile și misiunile oficiale; regretă că deciziile Conferinței președinților din martie 2025 privind dispozițiile de punere în aplicare referitoare la misiunile în afara celor trei locuri de desfășurare a activității Parlamentului European nu s-au aliniat la solicitările din plen; își menține poziția că ar trebui să li se permită APA, în anumite condiții, să însoțească deputații în delegațiile și misiunile oficiale; invită organismele sale relevante să modifice fără întârziere articolele relevante din normele sale interne pentru a permite participarea APA la misiunile și delegațiile oficiale în afara celor trei locuri de desfășurare a activității Parlamentului;</w:t>
      </w:r>
    </w:p>
    <w:p w:rsidR="008A11D9" w:rsidRPr="004C327B" w:rsidRDefault="00F5192C" w:rsidP="00400B06">
      <w:pPr>
        <w:spacing w:after="240"/>
        <w:ind w:left="567" w:hanging="567"/>
        <w:jc w:val="both"/>
        <w:rPr>
          <w:color w:val="000000"/>
        </w:rPr>
      </w:pPr>
      <w:r w:rsidRPr="004C327B">
        <w:rPr>
          <w:color w:val="000000"/>
        </w:rPr>
        <w:t>42</w:t>
      </w:r>
      <w:r w:rsidR="008A11D9" w:rsidRPr="004C327B">
        <w:rPr>
          <w:color w:val="000000"/>
        </w:rPr>
        <w:t>.</w:t>
      </w:r>
      <w:r w:rsidR="008A11D9" w:rsidRPr="004C327B">
        <w:rPr>
          <w:color w:val="000000"/>
        </w:rPr>
        <w:tab/>
        <w:t>salută activitatea Comitetului pentru APA, care reprezintă aproximativ 2 000 de asistenți parlamentari, a căror muncă este esențială pentru buna desfășurare a activităților zilnice ale deputaților; ia act de alocarea sumei de 10 000 EUR pentru ca Comitetul pentru APA să își îndeplinească rolul și să asigure resurse suficiente pentru a sprijini efectiv și a reprezenta în mod corespunzător APA;</w:t>
      </w:r>
    </w:p>
    <w:p w:rsidR="008A11D9" w:rsidRPr="004C327B" w:rsidRDefault="00F5192C" w:rsidP="00400B06">
      <w:pPr>
        <w:widowControl/>
        <w:spacing w:after="240"/>
        <w:ind w:left="567" w:hanging="567"/>
        <w:jc w:val="both"/>
        <w:rPr>
          <w:color w:val="000000"/>
        </w:rPr>
      </w:pPr>
      <w:r w:rsidRPr="004C327B">
        <w:rPr>
          <w:color w:val="000000"/>
        </w:rPr>
        <w:t>43</w:t>
      </w:r>
      <w:r w:rsidR="008A11D9" w:rsidRPr="004C327B">
        <w:rPr>
          <w:color w:val="000000"/>
        </w:rPr>
        <w:t>.</w:t>
      </w:r>
      <w:r w:rsidR="008A11D9" w:rsidRPr="004C327B">
        <w:rPr>
          <w:color w:val="000000"/>
        </w:rPr>
        <w:tab/>
        <w:t>salută majorarea excepțională cu 10 % a burselor pentru fiecare stagiar în 2026, înscrisă în bugetul pe 2026 cu suma de 1 milion EUR, pentru ca stagiarii să poată face față mai ușor creșterii costului locuințelor în Bruxelles și Luxemburg;</w:t>
      </w:r>
    </w:p>
    <w:p w:rsidR="00400B06" w:rsidRPr="004C327B" w:rsidRDefault="00F5192C" w:rsidP="00400B06">
      <w:pPr>
        <w:widowControl/>
        <w:spacing w:after="240"/>
        <w:ind w:left="567" w:hanging="567"/>
        <w:jc w:val="both"/>
        <w:rPr>
          <w:color w:val="000000"/>
        </w:rPr>
      </w:pPr>
      <w:r w:rsidRPr="004C327B">
        <w:rPr>
          <w:color w:val="000000"/>
        </w:rPr>
        <w:lastRenderedPageBreak/>
        <w:t>44</w:t>
      </w:r>
      <w:r w:rsidR="008A11D9" w:rsidRPr="004C327B">
        <w:rPr>
          <w:color w:val="000000"/>
        </w:rPr>
        <w:t>.</w:t>
      </w:r>
      <w:r w:rsidR="008A11D9" w:rsidRPr="004C327B">
        <w:rPr>
          <w:color w:val="000000"/>
        </w:rPr>
        <w:tab/>
        <w:t>se așteaptă ca cererile votate în plen să fie tratate cu prioritate ridicată de către organele responsabile;</w:t>
      </w:r>
    </w:p>
    <w:p w:rsidR="00400B06" w:rsidRPr="004C327B" w:rsidRDefault="00400B06" w:rsidP="00400B06">
      <w:pPr>
        <w:widowControl/>
        <w:tabs>
          <w:tab w:val="left" w:pos="357"/>
        </w:tabs>
        <w:spacing w:after="240"/>
        <w:jc w:val="center"/>
        <w:rPr>
          <w:color w:val="000000"/>
        </w:rPr>
      </w:pPr>
      <w:r w:rsidRPr="004C327B">
        <w:rPr>
          <w:color w:val="000000"/>
        </w:rPr>
        <w:t>°</w:t>
      </w:r>
    </w:p>
    <w:p w:rsidR="00400B06" w:rsidRPr="004C327B" w:rsidRDefault="00400B06" w:rsidP="00400B06">
      <w:pPr>
        <w:widowControl/>
        <w:tabs>
          <w:tab w:val="left" w:pos="357"/>
        </w:tabs>
        <w:spacing w:after="240"/>
        <w:jc w:val="center"/>
        <w:rPr>
          <w:color w:val="000000"/>
        </w:rPr>
      </w:pPr>
      <w:r w:rsidRPr="004C327B">
        <w:rPr>
          <w:color w:val="000000"/>
        </w:rPr>
        <w:t>°     °</w:t>
      </w:r>
    </w:p>
    <w:p w:rsidR="008A11D9" w:rsidRPr="004C327B" w:rsidRDefault="00F5192C" w:rsidP="00AA2C32">
      <w:pPr>
        <w:tabs>
          <w:tab w:val="left" w:pos="357"/>
        </w:tabs>
        <w:spacing w:after="240"/>
        <w:ind w:left="567" w:hanging="567"/>
        <w:jc w:val="both"/>
        <w:rPr>
          <w:color w:val="000000"/>
        </w:rPr>
      </w:pPr>
      <w:r w:rsidRPr="004C327B">
        <w:rPr>
          <w:color w:val="000000"/>
        </w:rPr>
        <w:t>45</w:t>
      </w:r>
      <w:r w:rsidR="008A11D9" w:rsidRPr="004C327B">
        <w:rPr>
          <w:color w:val="000000"/>
        </w:rPr>
        <w:t>.</w:t>
      </w:r>
      <w:r w:rsidR="008A11D9" w:rsidRPr="004C327B">
        <w:rPr>
          <w:color w:val="000000"/>
        </w:rPr>
        <w:tab/>
      </w:r>
      <w:r w:rsidR="008A11D9" w:rsidRPr="004C327B">
        <w:rPr>
          <w:color w:val="000000"/>
        </w:rPr>
        <w:tab/>
        <w:t>adoptă estimarea bugetului pentru exercițiul financiar 2026;</w:t>
      </w:r>
    </w:p>
    <w:p w:rsidR="008A11D9" w:rsidRPr="004C327B" w:rsidRDefault="00F5192C" w:rsidP="00400B06">
      <w:pPr>
        <w:tabs>
          <w:tab w:val="left" w:pos="357"/>
        </w:tabs>
        <w:spacing w:after="240"/>
        <w:ind w:left="567" w:hanging="567"/>
        <w:jc w:val="both"/>
        <w:rPr>
          <w:color w:val="000000"/>
        </w:rPr>
      </w:pPr>
      <w:r w:rsidRPr="004C327B">
        <w:rPr>
          <w:color w:val="000000"/>
        </w:rPr>
        <w:t>46</w:t>
      </w:r>
      <w:r w:rsidR="008A11D9" w:rsidRPr="004C327B">
        <w:rPr>
          <w:color w:val="000000"/>
        </w:rPr>
        <w:t>.</w:t>
      </w:r>
      <w:r w:rsidR="008A11D9" w:rsidRPr="004C327B">
        <w:rPr>
          <w:color w:val="000000"/>
        </w:rPr>
        <w:tab/>
      </w:r>
      <w:r w:rsidR="008A11D9" w:rsidRPr="004C327B">
        <w:rPr>
          <w:color w:val="000000"/>
        </w:rPr>
        <w:tab/>
        <w:t>încredințează Președintei sarcina de a transmite Consiliului și Comisiei prezenta rezoluție și estimarea bugetului.</w:t>
      </w:r>
    </w:p>
    <w:p w:rsidR="008A11D9" w:rsidRPr="004C327B" w:rsidRDefault="008A11D9" w:rsidP="00400B06">
      <w:pPr>
        <w:spacing w:after="240"/>
      </w:pPr>
    </w:p>
    <w:sectPr w:rsidR="008A11D9" w:rsidRPr="004C327B" w:rsidSect="002E54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69F" w:rsidRPr="002E5439" w:rsidRDefault="00F3569F">
      <w:r w:rsidRPr="002E5439">
        <w:separator/>
      </w:r>
    </w:p>
  </w:endnote>
  <w:endnote w:type="continuationSeparator" w:id="0">
    <w:p w:rsidR="00F3569F" w:rsidRPr="002E5439" w:rsidRDefault="00F3569F">
      <w:r w:rsidRPr="002E54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54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54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54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69F" w:rsidRPr="002E5439" w:rsidRDefault="00F3569F">
      <w:r w:rsidRPr="002E5439">
        <w:separator/>
      </w:r>
    </w:p>
  </w:footnote>
  <w:footnote w:type="continuationSeparator" w:id="0">
    <w:p w:rsidR="00F3569F" w:rsidRPr="002E5439" w:rsidRDefault="00F3569F">
      <w:r w:rsidRPr="002E5439">
        <w:continuationSeparator/>
      </w:r>
    </w:p>
  </w:footnote>
  <w:footnote w:id="1">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L 433 I, 22.12.2020, p. 11, ELI: </w:t>
      </w:r>
      <w:hyperlink r:id="rId1" w:history="1">
        <w:r w:rsidRPr="002E5439">
          <w:rPr>
            <w:rStyle w:val="Hyperlink"/>
          </w:rPr>
          <w:t>http://data.europa.eu/eli/reg/2020/2093/oj</w:t>
        </w:r>
      </w:hyperlink>
      <w:r w:rsidRPr="002E5439">
        <w:rPr>
          <w:color w:val="000000"/>
        </w:rPr>
        <w:t>.</w:t>
      </w:r>
    </w:p>
  </w:footnote>
  <w:footnote w:id="2">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C 444 I, 22.12.2020, p. 4.</w:t>
      </w:r>
    </w:p>
  </w:footnote>
  <w:footnote w:id="3">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C 445, 29.10.2021, p. 252.</w:t>
      </w:r>
    </w:p>
  </w:footnote>
  <w:footnote w:id="4">
    <w:p w:rsidR="008A11D9" w:rsidRPr="002E5439" w:rsidRDefault="008A11D9" w:rsidP="002E5439">
      <w:pPr>
        <w:ind w:left="567" w:hanging="567"/>
      </w:pPr>
      <w:r w:rsidRPr="002E5439">
        <w:rPr>
          <w:rStyle w:val="FootnoteReference"/>
          <w:rFonts w:eastAsiaTheme="majorEastAsia"/>
        </w:rPr>
        <w:footnoteRef/>
      </w:r>
      <w:r w:rsidR="002E5439" w:rsidRPr="002E5439">
        <w:t xml:space="preserve"> </w:t>
      </w:r>
      <w:r w:rsidR="002E5439" w:rsidRPr="002E5439">
        <w:tab/>
      </w:r>
      <w:proofErr w:type="spellStart"/>
      <w:r w:rsidRPr="002E5439">
        <w:t>JO</w:t>
      </w:r>
      <w:proofErr w:type="spellEnd"/>
      <w:r w:rsidRPr="002E5439">
        <w:t xml:space="preserve"> L 325, 20.12.2022, p. 11, ELI: </w:t>
      </w:r>
      <w:hyperlink r:id="rId2" w:history="1">
        <w:r w:rsidRPr="002E5439">
          <w:rPr>
            <w:rStyle w:val="Hyperlink"/>
          </w:rPr>
          <w:t>http://data.europa.eu/eli/reg/2022/2496/oj</w:t>
        </w:r>
      </w:hyperlink>
      <w:r w:rsidRPr="002E5439">
        <w:t>.</w:t>
      </w:r>
    </w:p>
  </w:footnote>
  <w:footnote w:id="5">
    <w:p w:rsidR="008A11D9" w:rsidRPr="002E5439" w:rsidRDefault="008A11D9" w:rsidP="002E5439">
      <w:pPr>
        <w:ind w:left="567" w:hanging="567"/>
      </w:pPr>
      <w:r w:rsidRPr="002E5439">
        <w:rPr>
          <w:rStyle w:val="FootnoteReference"/>
        </w:rPr>
        <w:footnoteRef/>
      </w:r>
      <w:r w:rsidR="002E5439" w:rsidRPr="002E5439">
        <w:t xml:space="preserve"> </w:t>
      </w:r>
      <w:r w:rsidR="002E5439" w:rsidRPr="002E5439">
        <w:tab/>
      </w:r>
      <w:proofErr w:type="spellStart"/>
      <w:r w:rsidRPr="002E5439">
        <w:t>JO</w:t>
      </w:r>
      <w:proofErr w:type="spellEnd"/>
      <w:r w:rsidRPr="002E5439">
        <w:t xml:space="preserve"> L, 2024/765, 29.2.2024, ELI: </w:t>
      </w:r>
      <w:hyperlink r:id="rId3" w:history="1">
        <w:r w:rsidRPr="002E5439">
          <w:rPr>
            <w:rStyle w:val="Hyperlink"/>
          </w:rPr>
          <w:t>http://data.europa.eu/eli/reg/2024/765/oj</w:t>
        </w:r>
      </w:hyperlink>
      <w:r w:rsidRPr="002E5439">
        <w:t>.</w:t>
      </w:r>
    </w:p>
  </w:footnote>
  <w:footnote w:id="6">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C 445, 29.10.2021, p. 240.</w:t>
      </w:r>
    </w:p>
  </w:footnote>
  <w:footnote w:id="7">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C 177, 17.5.2023, p. 115.</w:t>
      </w:r>
    </w:p>
  </w:footnote>
  <w:footnote w:id="8">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C, C/2024/1195, 23.02.2024, ELI: </w:t>
      </w:r>
      <w:hyperlink r:id="rId4" w:history="1">
        <w:r w:rsidRPr="002E5439">
          <w:rPr>
            <w:rStyle w:val="Hyperlink"/>
          </w:rPr>
          <w:t>http://data.europa.eu/eli/C/2024/1195/oj</w:t>
        </w:r>
      </w:hyperlink>
      <w:r w:rsidRPr="002E5439">
        <w:rPr>
          <w:color w:val="000000"/>
        </w:rPr>
        <w:t>.</w:t>
      </w:r>
    </w:p>
  </w:footnote>
  <w:footnote w:id="9">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C, C/2024/6751, 26.11.2024, ELI: </w:t>
      </w:r>
      <w:hyperlink r:id="rId5" w:history="1">
        <w:r w:rsidRPr="002E5439">
          <w:rPr>
            <w:rStyle w:val="Hyperlink"/>
          </w:rPr>
          <w:t>http://data.europa.eu/eli/C/2024/6751/oj</w:t>
        </w:r>
      </w:hyperlink>
      <w:r w:rsidRPr="002E5439">
        <w:rPr>
          <w:color w:val="000000"/>
        </w:rPr>
        <w:t>.</w:t>
      </w:r>
    </w:p>
  </w:footnote>
  <w:footnote w:id="10">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L</w:t>
      </w:r>
      <w:r w:rsidR="00E20478">
        <w:rPr>
          <w:color w:val="000000"/>
        </w:rPr>
        <w:t>,</w:t>
      </w:r>
      <w:bookmarkStart w:id="8" w:name="_GoBack"/>
      <w:bookmarkEnd w:id="8"/>
      <w:r w:rsidRPr="002E5439">
        <w:rPr>
          <w:color w:val="000000"/>
        </w:rPr>
        <w:t xml:space="preserve"> 2024/2509, 26.9.2024, ELI: </w:t>
      </w:r>
      <w:r w:rsidRPr="002E5439">
        <w:rPr>
          <w:color w:val="337AB7"/>
          <w:u w:val="single"/>
        </w:rPr>
        <w:t>http://data.europa.eu/eli/reg/2024/2509/oj.</w:t>
      </w:r>
    </w:p>
  </w:footnote>
  <w:footnote w:id="11">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L 433 I, 22.12.2020, p. 28, ELI: </w:t>
      </w:r>
      <w:hyperlink r:id="rId6" w:history="1">
        <w:r w:rsidRPr="002E5439">
          <w:rPr>
            <w:rStyle w:val="Hyperlink"/>
          </w:rPr>
          <w:t>http://data.europa.eu/eli/agree_interinstit/2020/1222/oj</w:t>
        </w:r>
      </w:hyperlink>
      <w:r w:rsidRPr="002E5439">
        <w:rPr>
          <w:color w:val="000000"/>
        </w:rPr>
        <w:t>.</w:t>
      </w:r>
    </w:p>
  </w:footnote>
  <w:footnote w:id="12">
    <w:p w:rsidR="008A11D9" w:rsidRPr="002E5439" w:rsidRDefault="008A11D9" w:rsidP="002E5439">
      <w:pPr>
        <w:ind w:left="567" w:hanging="567"/>
        <w:rPr>
          <w:color w:val="000000"/>
        </w:rPr>
      </w:pPr>
      <w:r w:rsidRPr="002E5439">
        <w:rPr>
          <w:rStyle w:val="FootnoteReference"/>
        </w:rPr>
        <w:footnoteRef/>
      </w:r>
      <w:r w:rsidR="002E5439" w:rsidRPr="002E5439">
        <w:rPr>
          <w:color w:val="000000"/>
        </w:rPr>
        <w:t xml:space="preserve"> </w:t>
      </w:r>
      <w:r w:rsidR="002E5439" w:rsidRPr="002E5439">
        <w:rPr>
          <w:color w:val="000000"/>
        </w:rPr>
        <w:tab/>
      </w:r>
      <w:proofErr w:type="spellStart"/>
      <w:r w:rsidRPr="002E5439">
        <w:rPr>
          <w:color w:val="000000"/>
        </w:rPr>
        <w:t>JO</w:t>
      </w:r>
      <w:proofErr w:type="spellEnd"/>
      <w:r w:rsidRPr="002E5439">
        <w:rPr>
          <w:color w:val="000000"/>
        </w:rPr>
        <w:t xml:space="preserve"> L, 2025/31, 27.2.2025, ELI: </w:t>
      </w:r>
      <w:hyperlink r:id="rId7" w:history="1">
        <w:r w:rsidRPr="002E5439">
          <w:rPr>
            <w:rStyle w:val="Hyperlink"/>
          </w:rPr>
          <w:t>http://data.europa.eu/eli/budget/2025/31/oj</w:t>
        </w:r>
      </w:hyperlink>
      <w:r w:rsidRPr="002E5439">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54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54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54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RO"/>
    <w:docVar w:name="dvnumam" w:val="0"/>
    <w:docVar w:name="dvpe" w:val="770.074"/>
    <w:docVar w:name="dvrapporteur" w:val="Raportor: "/>
    <w:docVar w:name="dvtitre" w:val="Rezoluția Parlamentului European din 3 aprilie 2025 referitoare la estimarea bugetului de venituri și cheltuieli al Parlamentului European pentru exercițiul financiar 2026(2024/2111(BUI))"/>
  </w:docVars>
  <w:rsids>
    <w:rsidRoot w:val="00F3569F"/>
    <w:rsid w:val="00002272"/>
    <w:rsid w:val="00064002"/>
    <w:rsid w:val="000677B9"/>
    <w:rsid w:val="000831BA"/>
    <w:rsid w:val="000A42CC"/>
    <w:rsid w:val="000E7DD9"/>
    <w:rsid w:val="0010095E"/>
    <w:rsid w:val="00125B37"/>
    <w:rsid w:val="00187494"/>
    <w:rsid w:val="001F32AE"/>
    <w:rsid w:val="00222EE4"/>
    <w:rsid w:val="002767FF"/>
    <w:rsid w:val="002B18FE"/>
    <w:rsid w:val="002B5493"/>
    <w:rsid w:val="002E5439"/>
    <w:rsid w:val="00343214"/>
    <w:rsid w:val="00361C00"/>
    <w:rsid w:val="00395FA1"/>
    <w:rsid w:val="003E15D4"/>
    <w:rsid w:val="00400B06"/>
    <w:rsid w:val="00411CCE"/>
    <w:rsid w:val="0041666E"/>
    <w:rsid w:val="00421060"/>
    <w:rsid w:val="00471C19"/>
    <w:rsid w:val="004867E3"/>
    <w:rsid w:val="00494A28"/>
    <w:rsid w:val="004C0004"/>
    <w:rsid w:val="004C327B"/>
    <w:rsid w:val="004C5D52"/>
    <w:rsid w:val="0050519A"/>
    <w:rsid w:val="005072A1"/>
    <w:rsid w:val="00514517"/>
    <w:rsid w:val="00545827"/>
    <w:rsid w:val="00560270"/>
    <w:rsid w:val="005C2568"/>
    <w:rsid w:val="005F1B17"/>
    <w:rsid w:val="005F3F5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1D9"/>
    <w:rsid w:val="008C2AC6"/>
    <w:rsid w:val="00930C23"/>
    <w:rsid w:val="0093193B"/>
    <w:rsid w:val="009509D8"/>
    <w:rsid w:val="00950B64"/>
    <w:rsid w:val="00981893"/>
    <w:rsid w:val="00A1687D"/>
    <w:rsid w:val="00A43E52"/>
    <w:rsid w:val="00A4678D"/>
    <w:rsid w:val="00A778C7"/>
    <w:rsid w:val="00AA2C32"/>
    <w:rsid w:val="00AB441E"/>
    <w:rsid w:val="00AB6293"/>
    <w:rsid w:val="00AE0928"/>
    <w:rsid w:val="00AF3B82"/>
    <w:rsid w:val="00B0766C"/>
    <w:rsid w:val="00B12E95"/>
    <w:rsid w:val="00B22876"/>
    <w:rsid w:val="00B558F0"/>
    <w:rsid w:val="00BD48FE"/>
    <w:rsid w:val="00BD7BD8"/>
    <w:rsid w:val="00BE6ADC"/>
    <w:rsid w:val="00C05BFE"/>
    <w:rsid w:val="00C23CD4"/>
    <w:rsid w:val="00C61C0C"/>
    <w:rsid w:val="00C941CB"/>
    <w:rsid w:val="00CC2357"/>
    <w:rsid w:val="00CF071A"/>
    <w:rsid w:val="00D058B8"/>
    <w:rsid w:val="00D141DA"/>
    <w:rsid w:val="00D56C11"/>
    <w:rsid w:val="00D834A0"/>
    <w:rsid w:val="00D872DF"/>
    <w:rsid w:val="00D91E21"/>
    <w:rsid w:val="00DA7FCD"/>
    <w:rsid w:val="00E20478"/>
    <w:rsid w:val="00E365E1"/>
    <w:rsid w:val="00E820A4"/>
    <w:rsid w:val="00EB006A"/>
    <w:rsid w:val="00EB4772"/>
    <w:rsid w:val="00ED169E"/>
    <w:rsid w:val="00ED4235"/>
    <w:rsid w:val="00F04346"/>
    <w:rsid w:val="00F075DC"/>
    <w:rsid w:val="00F149E9"/>
    <w:rsid w:val="00F3569F"/>
    <w:rsid w:val="00F503D1"/>
    <w:rsid w:val="00F5134D"/>
    <w:rsid w:val="00F5192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7C432"/>
  <w15:chartTrackingRefBased/>
  <w15:docId w15:val="{E7734D28-61AC-4BC3-957A-8F3A44BE6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A11D9"/>
    <w:rPr>
      <w:b/>
      <w:kern w:val="28"/>
      <w:sz w:val="28"/>
      <w:lang w:val="fr-FR" w:eastAsia="fr-FR"/>
    </w:rPr>
  </w:style>
  <w:style w:type="character" w:customStyle="1" w:styleId="Heading2Char">
    <w:name w:val="Heading 2 Char"/>
    <w:basedOn w:val="DefaultParagraphFont"/>
    <w:link w:val="Heading2"/>
    <w:uiPriority w:val="9"/>
    <w:rsid w:val="008A11D9"/>
    <w:rPr>
      <w:sz w:val="24"/>
      <w:lang w:val="fr-FR" w:eastAsia="fr-FR"/>
    </w:rPr>
  </w:style>
  <w:style w:type="character" w:customStyle="1" w:styleId="Heading3Char">
    <w:name w:val="Heading 3 Char"/>
    <w:basedOn w:val="DefaultParagraphFont"/>
    <w:link w:val="Heading3"/>
    <w:uiPriority w:val="9"/>
    <w:rsid w:val="008A11D9"/>
    <w:rPr>
      <w:rFonts w:ascii="Arial" w:hAnsi="Arial"/>
      <w:sz w:val="24"/>
      <w:lang w:val="fr-FR" w:eastAsia="fr-FR"/>
    </w:rPr>
  </w:style>
  <w:style w:type="character" w:customStyle="1" w:styleId="Heading4Char">
    <w:name w:val="Heading 4 Char"/>
    <w:basedOn w:val="DefaultParagraphFont"/>
    <w:link w:val="Heading4"/>
    <w:uiPriority w:val="9"/>
    <w:rsid w:val="008A11D9"/>
    <w:rPr>
      <w:sz w:val="24"/>
      <w:lang w:val="en-US" w:eastAsia="fr-FR"/>
    </w:rPr>
  </w:style>
  <w:style w:type="character" w:customStyle="1" w:styleId="Heading5Char">
    <w:name w:val="Heading 5 Char"/>
    <w:basedOn w:val="DefaultParagraphFont"/>
    <w:link w:val="Heading5"/>
    <w:uiPriority w:val="9"/>
    <w:rsid w:val="008A11D9"/>
    <w:rPr>
      <w:sz w:val="24"/>
      <w:lang w:val="en-US" w:eastAsia="fr-FR"/>
    </w:rPr>
  </w:style>
  <w:style w:type="character" w:customStyle="1" w:styleId="Heading6Char">
    <w:name w:val="Heading 6 Char"/>
    <w:basedOn w:val="DefaultParagraphFont"/>
    <w:link w:val="Heading6"/>
    <w:uiPriority w:val="9"/>
    <w:rsid w:val="008A11D9"/>
    <w:rPr>
      <w:i/>
      <w:sz w:val="22"/>
      <w:lang w:val="ro-RO"/>
    </w:rPr>
  </w:style>
  <w:style w:type="character" w:customStyle="1" w:styleId="Heading7Char">
    <w:name w:val="Heading 7 Char"/>
    <w:basedOn w:val="DefaultParagraphFont"/>
    <w:link w:val="Heading7"/>
    <w:uiPriority w:val="9"/>
    <w:rsid w:val="008A11D9"/>
    <w:rPr>
      <w:rFonts w:ascii="Arial" w:hAnsi="Arial"/>
      <w:sz w:val="24"/>
      <w:lang w:val="ro-RO"/>
    </w:rPr>
  </w:style>
  <w:style w:type="character" w:customStyle="1" w:styleId="Heading8Char">
    <w:name w:val="Heading 8 Char"/>
    <w:basedOn w:val="DefaultParagraphFont"/>
    <w:link w:val="Heading8"/>
    <w:uiPriority w:val="9"/>
    <w:rsid w:val="008A11D9"/>
    <w:rPr>
      <w:rFonts w:ascii="Arial" w:hAnsi="Arial"/>
      <w:i/>
      <w:sz w:val="24"/>
      <w:lang w:val="ro-RO"/>
    </w:rPr>
  </w:style>
  <w:style w:type="character" w:customStyle="1" w:styleId="Heading9Char">
    <w:name w:val="Heading 9 Char"/>
    <w:basedOn w:val="DefaultParagraphFont"/>
    <w:link w:val="Heading9"/>
    <w:uiPriority w:val="9"/>
    <w:rsid w:val="008A11D9"/>
    <w:rPr>
      <w:rFonts w:ascii="Arial" w:hAnsi="Arial"/>
      <w:b/>
      <w:i/>
      <w:sz w:val="18"/>
      <w:lang w:val="ro-RO"/>
    </w:rPr>
  </w:style>
  <w:style w:type="paragraph" w:styleId="TOCHeading">
    <w:name w:val="TOC Heading"/>
    <w:basedOn w:val="Normal"/>
    <w:next w:val="Normal"/>
    <w:uiPriority w:val="39"/>
    <w:unhideWhenUsed/>
    <w:qFormat/>
    <w:rsid w:val="008A11D9"/>
    <w:pPr>
      <w:widowControl/>
      <w:spacing w:after="240"/>
    </w:pPr>
    <w:rPr>
      <w:lang w:val="en-GB"/>
    </w:rPr>
  </w:style>
  <w:style w:type="paragraph" w:customStyle="1" w:styleId="EPFooter2">
    <w:name w:val="EPFooter2"/>
    <w:basedOn w:val="Normal"/>
    <w:next w:val="Normal"/>
    <w:rsid w:val="008A11D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A11D9"/>
    <w:pPr>
      <w:spacing w:after="240"/>
    </w:pPr>
  </w:style>
  <w:style w:type="paragraph" w:customStyle="1" w:styleId="TOCPage">
    <w:name w:val="TOC Page"/>
    <w:basedOn w:val="Normal"/>
    <w:next w:val="TOC1"/>
    <w:rsid w:val="008A11D9"/>
    <w:pPr>
      <w:keepNext/>
      <w:spacing w:after="240"/>
      <w:jc w:val="right"/>
    </w:pPr>
    <w:rPr>
      <w:rFonts w:ascii="Arial" w:hAnsi="Arial"/>
      <w:b/>
    </w:rPr>
  </w:style>
  <w:style w:type="paragraph" w:customStyle="1" w:styleId="PageHeading">
    <w:name w:val="PageHeading"/>
    <w:basedOn w:val="Normal"/>
    <w:rsid w:val="008A11D9"/>
    <w:pPr>
      <w:keepNext/>
      <w:spacing w:after="480"/>
      <w:jc w:val="center"/>
    </w:pPr>
    <w:rPr>
      <w:rFonts w:ascii="Arial" w:hAnsi="Arial" w:cs="Arial"/>
      <w:b/>
    </w:rPr>
  </w:style>
  <w:style w:type="paragraph" w:customStyle="1" w:styleId="NormalBold">
    <w:name w:val="NormalBold"/>
    <w:basedOn w:val="Normal"/>
    <w:rsid w:val="008A11D9"/>
    <w:rPr>
      <w:b/>
    </w:rPr>
  </w:style>
  <w:style w:type="paragraph" w:customStyle="1" w:styleId="NormalHanging12a">
    <w:name w:val="NormalHanging12a"/>
    <w:basedOn w:val="Normal"/>
    <w:link w:val="NormalHanging12aChar"/>
    <w:rsid w:val="008A11D9"/>
    <w:pPr>
      <w:spacing w:after="240"/>
      <w:ind w:left="567" w:hanging="567"/>
    </w:pPr>
  </w:style>
  <w:style w:type="paragraph" w:customStyle="1" w:styleId="CoverNormal24a">
    <w:name w:val="CoverNormal24a"/>
    <w:basedOn w:val="Normal"/>
    <w:rsid w:val="008A11D9"/>
    <w:pPr>
      <w:spacing w:after="480"/>
      <w:ind w:left="1417"/>
    </w:pPr>
  </w:style>
  <w:style w:type="paragraph" w:customStyle="1" w:styleId="CoverNormal">
    <w:name w:val="CoverNormal"/>
    <w:basedOn w:val="Normal"/>
    <w:rsid w:val="008A11D9"/>
    <w:pPr>
      <w:ind w:left="1418"/>
    </w:pPr>
  </w:style>
  <w:style w:type="paragraph" w:customStyle="1" w:styleId="CoverReference">
    <w:name w:val="CoverReference"/>
    <w:basedOn w:val="Normal"/>
    <w:rsid w:val="008A11D9"/>
    <w:pPr>
      <w:spacing w:before="1080"/>
      <w:jc w:val="right"/>
    </w:pPr>
    <w:rPr>
      <w:rFonts w:ascii="Arial" w:hAnsi="Arial" w:cs="Arial"/>
      <w:b/>
    </w:rPr>
  </w:style>
  <w:style w:type="paragraph" w:customStyle="1" w:styleId="CoverDocType24a">
    <w:name w:val="CoverDocType24a"/>
    <w:basedOn w:val="Normal"/>
    <w:rsid w:val="008A11D9"/>
    <w:pPr>
      <w:spacing w:after="480"/>
      <w:ind w:left="1418"/>
    </w:pPr>
    <w:rPr>
      <w:rFonts w:ascii="Arial" w:hAnsi="Arial"/>
      <w:b/>
      <w:sz w:val="48"/>
    </w:rPr>
  </w:style>
  <w:style w:type="paragraph" w:customStyle="1" w:styleId="CoverDate">
    <w:name w:val="CoverDate"/>
    <w:basedOn w:val="Normal"/>
    <w:rsid w:val="008A11D9"/>
    <w:pPr>
      <w:spacing w:before="240" w:after="1200"/>
    </w:pPr>
  </w:style>
  <w:style w:type="paragraph" w:customStyle="1" w:styleId="EPBody">
    <w:name w:val="EPBody"/>
    <w:basedOn w:val="Normal"/>
    <w:rsid w:val="008A11D9"/>
    <w:pPr>
      <w:jc w:val="center"/>
    </w:pPr>
    <w:rPr>
      <w:rFonts w:ascii="Arial" w:hAnsi="Arial" w:cs="Arial"/>
      <w:i/>
      <w:sz w:val="22"/>
      <w:szCs w:val="22"/>
    </w:rPr>
  </w:style>
  <w:style w:type="paragraph" w:customStyle="1" w:styleId="EPFooter">
    <w:name w:val="EPFooter"/>
    <w:basedOn w:val="Normal"/>
    <w:rsid w:val="008A11D9"/>
    <w:pPr>
      <w:tabs>
        <w:tab w:val="center" w:pos="4535"/>
        <w:tab w:val="right" w:pos="9071"/>
      </w:tabs>
      <w:spacing w:before="240" w:after="240"/>
    </w:pPr>
    <w:rPr>
      <w:color w:val="010000"/>
      <w:sz w:val="22"/>
    </w:rPr>
  </w:style>
  <w:style w:type="paragraph" w:styleId="Header">
    <w:name w:val="header"/>
    <w:basedOn w:val="Normal"/>
    <w:link w:val="HeaderChar"/>
    <w:uiPriority w:val="99"/>
    <w:rsid w:val="008A11D9"/>
    <w:pPr>
      <w:tabs>
        <w:tab w:val="center" w:pos="4513"/>
        <w:tab w:val="right" w:pos="9026"/>
      </w:tabs>
    </w:pPr>
  </w:style>
  <w:style w:type="character" w:customStyle="1" w:styleId="HeaderChar">
    <w:name w:val="Header Char"/>
    <w:basedOn w:val="DefaultParagraphFont"/>
    <w:link w:val="Header"/>
    <w:uiPriority w:val="99"/>
    <w:rsid w:val="008A11D9"/>
    <w:rPr>
      <w:sz w:val="24"/>
      <w:lang w:val="ro-RO"/>
    </w:rPr>
  </w:style>
  <w:style w:type="paragraph" w:customStyle="1" w:styleId="EPComma">
    <w:name w:val="EPComma"/>
    <w:basedOn w:val="Normal"/>
    <w:rsid w:val="008A11D9"/>
    <w:pPr>
      <w:spacing w:before="480" w:after="240"/>
    </w:pPr>
  </w:style>
  <w:style w:type="character" w:styleId="Hyperlink">
    <w:name w:val="Hyperlink"/>
    <w:basedOn w:val="DefaultParagraphFont"/>
    <w:uiPriority w:val="99"/>
    <w:rsid w:val="008A11D9"/>
    <w:rPr>
      <w:color w:val="0563C1" w:themeColor="hyperlink"/>
      <w:u w:val="single"/>
    </w:rPr>
  </w:style>
  <w:style w:type="paragraph" w:customStyle="1" w:styleId="FootnoteReference1">
    <w:name w:val="Footnote Reference1"/>
    <w:basedOn w:val="Normal"/>
    <w:link w:val="FootnoteReference"/>
    <w:rsid w:val="008A11D9"/>
    <w:pPr>
      <w:widowControl/>
      <w:spacing w:after="160" w:line="240" w:lineRule="exact"/>
    </w:pPr>
    <w:rPr>
      <w:sz w:val="20"/>
      <w:vertAlign w:val="superscript"/>
      <w:lang w:val="en-GB"/>
    </w:rPr>
  </w:style>
  <w:style w:type="paragraph" w:styleId="Footer">
    <w:name w:val="footer"/>
    <w:basedOn w:val="Normal"/>
    <w:link w:val="FooterChar"/>
    <w:uiPriority w:val="99"/>
    <w:rsid w:val="008A11D9"/>
    <w:pPr>
      <w:tabs>
        <w:tab w:val="center" w:pos="4513"/>
        <w:tab w:val="right" w:pos="9026"/>
      </w:tabs>
    </w:pPr>
  </w:style>
  <w:style w:type="character" w:customStyle="1" w:styleId="FooterChar">
    <w:name w:val="Footer Char"/>
    <w:basedOn w:val="DefaultParagraphFont"/>
    <w:link w:val="Footer"/>
    <w:uiPriority w:val="99"/>
    <w:rsid w:val="008A11D9"/>
    <w:rPr>
      <w:sz w:val="24"/>
      <w:lang w:val="ro-RO"/>
    </w:rPr>
  </w:style>
  <w:style w:type="paragraph" w:styleId="BalloonText">
    <w:name w:val="Balloon Text"/>
    <w:basedOn w:val="Normal"/>
    <w:link w:val="BalloonTextChar"/>
    <w:uiPriority w:val="99"/>
    <w:unhideWhenUsed/>
    <w:rsid w:val="008A11D9"/>
    <w:rPr>
      <w:rFonts w:ascii="Segoe UI" w:hAnsi="Segoe UI" w:cs="Segoe UI"/>
      <w:sz w:val="18"/>
      <w:szCs w:val="18"/>
    </w:rPr>
  </w:style>
  <w:style w:type="character" w:customStyle="1" w:styleId="BalloonTextChar">
    <w:name w:val="Balloon Text Char"/>
    <w:basedOn w:val="DefaultParagraphFont"/>
    <w:link w:val="BalloonText"/>
    <w:uiPriority w:val="99"/>
    <w:rsid w:val="008A11D9"/>
    <w:rPr>
      <w:rFonts w:ascii="Segoe UI" w:hAnsi="Segoe UI" w:cs="Segoe UI"/>
      <w:sz w:val="18"/>
      <w:szCs w:val="18"/>
      <w:lang w:val="ro-RO"/>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8A11D9"/>
    <w:pPr>
      <w:ind w:left="720"/>
      <w:contextualSpacing/>
    </w:pPr>
  </w:style>
  <w:style w:type="character" w:customStyle="1" w:styleId="NormalHanging12aChar">
    <w:name w:val="NormalHanging12a Char"/>
    <w:basedOn w:val="DefaultParagraphFont"/>
    <w:link w:val="NormalHanging12a"/>
    <w:locked/>
    <w:rsid w:val="008A11D9"/>
    <w:rPr>
      <w:sz w:val="24"/>
      <w:lang w:val="ro-RO"/>
    </w:rPr>
  </w:style>
  <w:style w:type="paragraph" w:customStyle="1" w:styleId="Normal24a">
    <w:name w:val="Normal24a"/>
    <w:basedOn w:val="Normal"/>
    <w:rsid w:val="008A11D9"/>
    <w:pPr>
      <w:spacing w:after="480"/>
    </w:pPr>
  </w:style>
  <w:style w:type="paragraph" w:customStyle="1" w:styleId="NormalBoldCenter">
    <w:name w:val="NormalBoldCenter"/>
    <w:basedOn w:val="Normal"/>
    <w:rsid w:val="008A11D9"/>
    <w:pPr>
      <w:jc w:val="center"/>
    </w:pPr>
    <w:rPr>
      <w:b/>
    </w:rPr>
  </w:style>
  <w:style w:type="paragraph" w:customStyle="1" w:styleId="Footprint12b">
    <w:name w:val="Footprint12b"/>
    <w:basedOn w:val="Normal"/>
    <w:rsid w:val="008A11D9"/>
    <w:pPr>
      <w:spacing w:before="240"/>
    </w:pPr>
    <w:rPr>
      <w:szCs w:val="24"/>
    </w:rPr>
  </w:style>
  <w:style w:type="paragraph" w:customStyle="1" w:styleId="NormalSingle">
    <w:name w:val="NormalSingle"/>
    <w:basedOn w:val="Normal"/>
    <w:qFormat/>
    <w:rsid w:val="008A11D9"/>
    <w:rPr>
      <w:szCs w:val="24"/>
    </w:rPr>
  </w:style>
  <w:style w:type="character" w:styleId="CommentReference">
    <w:name w:val="annotation reference"/>
    <w:basedOn w:val="DefaultParagraphFont"/>
    <w:rsid w:val="008A11D9"/>
    <w:rPr>
      <w:sz w:val="16"/>
      <w:szCs w:val="16"/>
    </w:rPr>
  </w:style>
  <w:style w:type="paragraph" w:styleId="CommentText">
    <w:name w:val="annotation text"/>
    <w:basedOn w:val="Normal"/>
    <w:link w:val="CommentTextChar"/>
    <w:uiPriority w:val="99"/>
    <w:rsid w:val="008A11D9"/>
    <w:rPr>
      <w:sz w:val="20"/>
    </w:rPr>
  </w:style>
  <w:style w:type="character" w:customStyle="1" w:styleId="CommentTextChar">
    <w:name w:val="Comment Text Char"/>
    <w:basedOn w:val="DefaultParagraphFont"/>
    <w:link w:val="CommentText"/>
    <w:uiPriority w:val="99"/>
    <w:rsid w:val="008A11D9"/>
    <w:rPr>
      <w:lang w:val="ro-RO"/>
    </w:rPr>
  </w:style>
  <w:style w:type="paragraph" w:styleId="CommentSubject">
    <w:name w:val="annotation subject"/>
    <w:basedOn w:val="CommentText"/>
    <w:next w:val="CommentText"/>
    <w:link w:val="CommentSubjectChar"/>
    <w:uiPriority w:val="99"/>
    <w:unhideWhenUsed/>
    <w:rsid w:val="008A11D9"/>
    <w:rPr>
      <w:b/>
      <w:bCs/>
    </w:rPr>
  </w:style>
  <w:style w:type="character" w:customStyle="1" w:styleId="CommentSubjectChar">
    <w:name w:val="Comment Subject Char"/>
    <w:basedOn w:val="CommentTextChar"/>
    <w:link w:val="CommentSubject"/>
    <w:uiPriority w:val="99"/>
    <w:rsid w:val="008A11D9"/>
    <w:rPr>
      <w:b/>
      <w:bCs/>
      <w:lang w:val="ro-RO"/>
    </w:rPr>
  </w:style>
  <w:style w:type="paragraph" w:styleId="Title">
    <w:name w:val="Title"/>
    <w:basedOn w:val="Normal"/>
    <w:next w:val="Normal"/>
    <w:link w:val="TitleChar"/>
    <w:uiPriority w:val="10"/>
    <w:qFormat/>
    <w:rsid w:val="008A11D9"/>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A11D9"/>
    <w:rPr>
      <w:rFonts w:ascii="Arial" w:eastAsiaTheme="majorEastAsia" w:hAnsi="Arial" w:cs="Arial"/>
      <w:b/>
      <w:bCs/>
      <w:kern w:val="28"/>
      <w:sz w:val="32"/>
      <w:szCs w:val="32"/>
      <w:lang w:val="ro-RO" w:eastAsia="en-US"/>
    </w:rPr>
  </w:style>
  <w:style w:type="paragraph" w:styleId="Subtitle">
    <w:name w:val="Subtitle"/>
    <w:basedOn w:val="Normal"/>
    <w:next w:val="Normal"/>
    <w:link w:val="SubtitleChar"/>
    <w:uiPriority w:val="11"/>
    <w:qFormat/>
    <w:rsid w:val="008A11D9"/>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A11D9"/>
    <w:rPr>
      <w:rFonts w:ascii="Arial" w:eastAsiaTheme="majorEastAsia" w:hAnsi="Arial" w:cs="Arial"/>
      <w:sz w:val="24"/>
      <w:szCs w:val="24"/>
      <w:lang w:val="ro-RO" w:eastAsia="en-US"/>
    </w:rPr>
  </w:style>
  <w:style w:type="character" w:styleId="Strong">
    <w:name w:val="Strong"/>
    <w:basedOn w:val="DefaultParagraphFont"/>
    <w:uiPriority w:val="22"/>
    <w:qFormat/>
    <w:rsid w:val="008A11D9"/>
    <w:rPr>
      <w:b/>
      <w:bCs/>
    </w:rPr>
  </w:style>
  <w:style w:type="character" w:styleId="Emphasis">
    <w:name w:val="Emphasis"/>
    <w:basedOn w:val="DefaultParagraphFont"/>
    <w:uiPriority w:val="20"/>
    <w:qFormat/>
    <w:rsid w:val="008A11D9"/>
    <w:rPr>
      <w:rFonts w:asciiTheme="minorHAnsi" w:hAnsiTheme="minorHAnsi"/>
      <w:b/>
      <w:i/>
      <w:iCs/>
    </w:rPr>
  </w:style>
  <w:style w:type="paragraph" w:styleId="NoSpacing">
    <w:name w:val="No Spacing"/>
    <w:basedOn w:val="Normal"/>
    <w:uiPriority w:val="1"/>
    <w:qFormat/>
    <w:rsid w:val="008A11D9"/>
    <w:pPr>
      <w:widowControl/>
      <w:jc w:val="both"/>
    </w:pPr>
    <w:rPr>
      <w:rFonts w:eastAsiaTheme="minorHAnsi"/>
      <w:szCs w:val="32"/>
      <w:lang w:eastAsia="en-US"/>
    </w:rPr>
  </w:style>
  <w:style w:type="paragraph" w:styleId="Quote">
    <w:name w:val="Quote"/>
    <w:basedOn w:val="Normal"/>
    <w:next w:val="Normal"/>
    <w:link w:val="QuoteChar"/>
    <w:uiPriority w:val="29"/>
    <w:qFormat/>
    <w:rsid w:val="008A11D9"/>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A11D9"/>
    <w:rPr>
      <w:rFonts w:eastAsiaTheme="minorHAnsi"/>
      <w:i/>
      <w:sz w:val="24"/>
      <w:szCs w:val="24"/>
      <w:lang w:val="ro-RO" w:eastAsia="en-US"/>
    </w:rPr>
  </w:style>
  <w:style w:type="paragraph" w:styleId="IntenseQuote">
    <w:name w:val="Intense Quote"/>
    <w:basedOn w:val="Normal"/>
    <w:next w:val="Normal"/>
    <w:link w:val="IntenseQuoteChar"/>
    <w:uiPriority w:val="30"/>
    <w:qFormat/>
    <w:rsid w:val="008A11D9"/>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A11D9"/>
    <w:rPr>
      <w:rFonts w:eastAsiaTheme="minorHAnsi"/>
      <w:b/>
      <w:i/>
      <w:sz w:val="24"/>
      <w:szCs w:val="22"/>
      <w:lang w:val="ro-RO" w:eastAsia="en-US"/>
    </w:rPr>
  </w:style>
  <w:style w:type="character" w:styleId="SubtleEmphasis">
    <w:name w:val="Subtle Emphasis"/>
    <w:uiPriority w:val="19"/>
    <w:qFormat/>
    <w:rsid w:val="008A11D9"/>
    <w:rPr>
      <w:i/>
      <w:color w:val="5A5A5A" w:themeColor="text1" w:themeTint="A5"/>
    </w:rPr>
  </w:style>
  <w:style w:type="character" w:styleId="IntenseEmphasis">
    <w:name w:val="Intense Emphasis"/>
    <w:basedOn w:val="DefaultParagraphFont"/>
    <w:uiPriority w:val="21"/>
    <w:qFormat/>
    <w:rsid w:val="008A11D9"/>
    <w:rPr>
      <w:b/>
      <w:i/>
      <w:sz w:val="24"/>
      <w:szCs w:val="24"/>
      <w:u w:val="single"/>
    </w:rPr>
  </w:style>
  <w:style w:type="character" w:styleId="SubtleReference">
    <w:name w:val="Subtle Reference"/>
    <w:basedOn w:val="DefaultParagraphFont"/>
    <w:uiPriority w:val="31"/>
    <w:qFormat/>
    <w:rsid w:val="008A11D9"/>
    <w:rPr>
      <w:sz w:val="24"/>
      <w:szCs w:val="24"/>
      <w:u w:val="single"/>
    </w:rPr>
  </w:style>
  <w:style w:type="character" w:styleId="IntenseReference">
    <w:name w:val="Intense Reference"/>
    <w:basedOn w:val="DefaultParagraphFont"/>
    <w:uiPriority w:val="32"/>
    <w:qFormat/>
    <w:rsid w:val="008A11D9"/>
    <w:rPr>
      <w:b/>
      <w:sz w:val="24"/>
      <w:u w:val="single"/>
    </w:rPr>
  </w:style>
  <w:style w:type="character" w:styleId="BookTitle">
    <w:name w:val="Book Title"/>
    <w:basedOn w:val="DefaultParagraphFont"/>
    <w:uiPriority w:val="33"/>
    <w:qFormat/>
    <w:rsid w:val="008A11D9"/>
    <w:rPr>
      <w:rFonts w:asciiTheme="majorHAnsi" w:eastAsiaTheme="majorEastAsia" w:hAnsiTheme="majorHAnsi"/>
      <w:b/>
      <w:i/>
      <w:sz w:val="24"/>
      <w:szCs w:val="24"/>
    </w:rPr>
  </w:style>
  <w:style w:type="paragraph" w:customStyle="1" w:styleId="TableTitle">
    <w:name w:val="Table Title"/>
    <w:basedOn w:val="Normal"/>
    <w:uiPriority w:val="99"/>
    <w:rsid w:val="008A11D9"/>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8A11D9"/>
    <w:pPr>
      <w:keepNext/>
      <w:widowControl/>
    </w:pPr>
    <w:rPr>
      <w:rFonts w:eastAsiaTheme="minorEastAsia"/>
      <w:sz w:val="18"/>
      <w:szCs w:val="18"/>
    </w:rPr>
  </w:style>
  <w:style w:type="paragraph" w:customStyle="1" w:styleId="NormalRight">
    <w:name w:val="Normal Right"/>
    <w:basedOn w:val="Normal"/>
    <w:next w:val="Normal"/>
    <w:uiPriority w:val="99"/>
    <w:rsid w:val="008A11D9"/>
    <w:pPr>
      <w:widowControl/>
      <w:spacing w:before="120" w:after="120"/>
      <w:jc w:val="right"/>
    </w:pPr>
    <w:rPr>
      <w:rFonts w:eastAsiaTheme="minorEastAsia"/>
      <w:szCs w:val="24"/>
    </w:rPr>
  </w:style>
  <w:style w:type="paragraph" w:customStyle="1" w:styleId="ReusedInfo">
    <w:name w:val="ReusedInfo"/>
    <w:next w:val="Normal"/>
    <w:uiPriority w:val="99"/>
    <w:rsid w:val="008A11D9"/>
    <w:pPr>
      <w:shd w:val="clear" w:color="auto" w:fill="C0C0C0"/>
      <w:spacing w:before="60" w:after="60"/>
    </w:pPr>
    <w:rPr>
      <w:rFonts w:eastAsiaTheme="minorEastAsia"/>
      <w:lang w:val="ro-RO"/>
    </w:rPr>
  </w:style>
  <w:style w:type="paragraph" w:customStyle="1" w:styleId="Section">
    <w:name w:val="Section"/>
    <w:basedOn w:val="Normal"/>
    <w:next w:val="Normal"/>
    <w:uiPriority w:val="99"/>
    <w:rsid w:val="008A11D9"/>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8A11D9"/>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8A11D9"/>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8A11D9"/>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8A11D9"/>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8A11D9"/>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8A11D9"/>
    <w:pPr>
      <w:keepNext/>
      <w:widowControl/>
      <w:spacing w:before="480" w:after="120"/>
    </w:pPr>
    <w:rPr>
      <w:rFonts w:eastAsiaTheme="minorEastAsia"/>
      <w:b/>
      <w:bCs/>
      <w:i/>
      <w:iCs/>
      <w:szCs w:val="24"/>
    </w:rPr>
  </w:style>
  <w:style w:type="paragraph" w:customStyle="1" w:styleId="Item">
    <w:name w:val="Item"/>
    <w:basedOn w:val="Normal"/>
    <w:next w:val="Normal"/>
    <w:uiPriority w:val="99"/>
    <w:rsid w:val="008A11D9"/>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8A11D9"/>
    <w:pPr>
      <w:keepNext/>
      <w:widowControl/>
      <w:spacing w:before="480" w:after="120"/>
    </w:pPr>
    <w:rPr>
      <w:rFonts w:eastAsiaTheme="minorEastAsia"/>
      <w:sz w:val="20"/>
    </w:rPr>
  </w:style>
  <w:style w:type="paragraph" w:customStyle="1" w:styleId="Annex">
    <w:name w:val="Annex"/>
    <w:basedOn w:val="Normal"/>
    <w:next w:val="Normal"/>
    <w:uiPriority w:val="99"/>
    <w:rsid w:val="008A11D9"/>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8A11D9"/>
    <w:pPr>
      <w:widowControl/>
      <w:spacing w:before="120" w:after="120"/>
    </w:pPr>
    <w:rPr>
      <w:rFonts w:eastAsiaTheme="minorEastAsia"/>
      <w:i/>
      <w:iCs/>
      <w:sz w:val="20"/>
    </w:rPr>
  </w:style>
  <w:style w:type="paragraph" w:customStyle="1" w:styleId="Objective">
    <w:name w:val="Objective"/>
    <w:basedOn w:val="Normal"/>
    <w:next w:val="Normal"/>
    <w:uiPriority w:val="99"/>
    <w:rsid w:val="008A11D9"/>
    <w:pPr>
      <w:keepNext/>
      <w:widowControl/>
      <w:spacing w:before="120" w:after="120"/>
    </w:pPr>
    <w:rPr>
      <w:rFonts w:eastAsiaTheme="minorEastAsia"/>
      <w:i/>
      <w:iCs/>
      <w:sz w:val="20"/>
    </w:rPr>
  </w:style>
  <w:style w:type="paragraph" w:customStyle="1" w:styleId="Figures">
    <w:name w:val="Figures"/>
    <w:basedOn w:val="Normal"/>
    <w:next w:val="Normal"/>
    <w:uiPriority w:val="99"/>
    <w:rsid w:val="008A11D9"/>
    <w:pPr>
      <w:keepNext/>
      <w:widowControl/>
      <w:spacing w:before="120" w:after="120"/>
    </w:pPr>
    <w:rPr>
      <w:rFonts w:eastAsiaTheme="minorEastAsia"/>
      <w:i/>
      <w:iCs/>
      <w:sz w:val="20"/>
    </w:rPr>
  </w:style>
  <w:style w:type="paragraph" w:customStyle="1" w:styleId="Remarks">
    <w:name w:val="Remarks"/>
    <w:basedOn w:val="Normal"/>
    <w:next w:val="Normal"/>
    <w:uiPriority w:val="99"/>
    <w:rsid w:val="008A11D9"/>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8A11D9"/>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8A11D9"/>
    <w:pPr>
      <w:keepNext/>
      <w:widowControl/>
      <w:spacing w:before="120" w:after="120"/>
    </w:pPr>
    <w:rPr>
      <w:rFonts w:eastAsiaTheme="minorEastAsia"/>
      <w:i/>
      <w:iCs/>
      <w:sz w:val="20"/>
    </w:rPr>
  </w:style>
  <w:style w:type="paragraph" w:customStyle="1" w:styleId="Reference">
    <w:name w:val="Reference"/>
    <w:basedOn w:val="Normal"/>
    <w:next w:val="Normal"/>
    <w:uiPriority w:val="99"/>
    <w:rsid w:val="008A11D9"/>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8A11D9"/>
  </w:style>
  <w:style w:type="character" w:customStyle="1" w:styleId="tw4winInternal">
    <w:name w:val="tw4winInternal"/>
    <w:basedOn w:val="DefaultParagraphFont"/>
    <w:uiPriority w:val="99"/>
    <w:rsid w:val="008A11D9"/>
    <w:rPr>
      <w:sz w:val="16"/>
      <w:szCs w:val="16"/>
      <w:u w:val="dash"/>
      <w:shd w:val="clear" w:color="auto" w:fill="FFFF00"/>
    </w:rPr>
  </w:style>
  <w:style w:type="character" w:customStyle="1" w:styleId="ReusedInlineInfo">
    <w:name w:val="ReusedInlineInfo"/>
    <w:basedOn w:val="DefaultParagraphFont"/>
    <w:uiPriority w:val="99"/>
    <w:rsid w:val="008A11D9"/>
    <w:rPr>
      <w:sz w:val="16"/>
      <w:szCs w:val="16"/>
      <w:u w:val="dash"/>
      <w:shd w:val="clear" w:color="auto" w:fill="FFFF00"/>
    </w:rPr>
  </w:style>
  <w:style w:type="character" w:customStyle="1" w:styleId="Error">
    <w:name w:val="Error"/>
    <w:basedOn w:val="DefaultParagraphFont"/>
    <w:uiPriority w:val="99"/>
    <w:rsid w:val="008A11D9"/>
    <w:rPr>
      <w:shd w:val="clear" w:color="auto" w:fill="FF0000"/>
    </w:rPr>
  </w:style>
  <w:style w:type="paragraph" w:styleId="Revision">
    <w:name w:val="Revision"/>
    <w:hidden/>
    <w:uiPriority w:val="99"/>
    <w:semiHidden/>
    <w:rsid w:val="008A11D9"/>
    <w:rPr>
      <w:rFonts w:eastAsiaTheme="minorHAnsi"/>
      <w:sz w:val="24"/>
      <w:szCs w:val="24"/>
      <w:lang w:val="ro-RO" w:eastAsia="en-US"/>
    </w:rPr>
  </w:style>
  <w:style w:type="numbering" w:customStyle="1" w:styleId="NoList1">
    <w:name w:val="No List1"/>
    <w:next w:val="NoList"/>
    <w:uiPriority w:val="99"/>
    <w:semiHidden/>
    <w:unhideWhenUsed/>
    <w:rsid w:val="008A11D9"/>
  </w:style>
  <w:style w:type="numbering" w:customStyle="1" w:styleId="NoList2">
    <w:name w:val="No List2"/>
    <w:next w:val="NoList"/>
    <w:uiPriority w:val="99"/>
    <w:semiHidden/>
    <w:unhideWhenUsed/>
    <w:rsid w:val="008A11D9"/>
  </w:style>
  <w:style w:type="paragraph" w:customStyle="1" w:styleId="Default">
    <w:name w:val="Default"/>
    <w:rsid w:val="008A11D9"/>
    <w:pPr>
      <w:autoSpaceDE w:val="0"/>
      <w:autoSpaceDN w:val="0"/>
      <w:adjustRightInd w:val="0"/>
    </w:pPr>
    <w:rPr>
      <w:rFonts w:eastAsiaTheme="minorHAnsi"/>
      <w:color w:val="000000"/>
      <w:sz w:val="24"/>
      <w:szCs w:val="24"/>
      <w:lang w:val="ro-RO"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8A11D9"/>
    <w:rPr>
      <w:sz w:val="24"/>
      <w:lang w:val="ro-RO"/>
    </w:rPr>
  </w:style>
  <w:style w:type="paragraph" w:customStyle="1" w:styleId="RollCallVotes">
    <w:name w:val="RollCallVotes"/>
    <w:basedOn w:val="Normal"/>
    <w:rsid w:val="008A11D9"/>
    <w:pPr>
      <w:spacing w:before="120" w:after="120"/>
      <w:jc w:val="center"/>
    </w:pPr>
    <w:rPr>
      <w:b/>
      <w:bCs/>
      <w:snapToGrid w:val="0"/>
      <w:sz w:val="16"/>
      <w:lang w:eastAsia="en-US"/>
    </w:rPr>
  </w:style>
  <w:style w:type="paragraph" w:customStyle="1" w:styleId="RollCallTabs">
    <w:name w:val="RollCallTabs"/>
    <w:basedOn w:val="Normal"/>
    <w:qFormat/>
    <w:rsid w:val="008A11D9"/>
    <w:pPr>
      <w:tabs>
        <w:tab w:val="center" w:pos="284"/>
        <w:tab w:val="left" w:pos="426"/>
      </w:tabs>
    </w:pPr>
    <w:rPr>
      <w:snapToGrid w:val="0"/>
      <w:lang w:eastAsia="en-US"/>
    </w:rPr>
  </w:style>
  <w:style w:type="paragraph" w:customStyle="1" w:styleId="RollCallSymbols14pt">
    <w:name w:val="RollCallSymbols14pt"/>
    <w:basedOn w:val="Normal"/>
    <w:rsid w:val="008A11D9"/>
    <w:pPr>
      <w:spacing w:before="120" w:after="120"/>
      <w:jc w:val="center"/>
    </w:pPr>
    <w:rPr>
      <w:rFonts w:ascii="Arial" w:hAnsi="Arial"/>
      <w:b/>
      <w:bCs/>
      <w:snapToGrid w:val="0"/>
      <w:sz w:val="28"/>
      <w:lang w:eastAsia="en-US"/>
    </w:rPr>
  </w:style>
  <w:style w:type="paragraph" w:customStyle="1" w:styleId="RollCallTable">
    <w:name w:val="RollCallTable"/>
    <w:basedOn w:val="Normal"/>
    <w:rsid w:val="008A11D9"/>
    <w:pPr>
      <w:spacing w:before="120" w:after="120"/>
    </w:pPr>
    <w:rPr>
      <w:snapToGrid w:val="0"/>
      <w:sz w:val="16"/>
      <w:lang w:eastAsia="en-US"/>
    </w:rPr>
  </w:style>
  <w:style w:type="character" w:styleId="FollowedHyperlink">
    <w:name w:val="FollowedHyperlink"/>
    <w:basedOn w:val="DefaultParagraphFont"/>
    <w:uiPriority w:val="99"/>
    <w:unhideWhenUsed/>
    <w:rsid w:val="008A11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53812-046F-447D-9910-76856FD3E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4156</Words>
  <Characters>24628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2025-05-22T11:50:00Z</dcterms:created>
  <dcterms:modified xsi:type="dcterms:W3CDTF">2025-05-22T11:50:00Z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P10_TA(2025)0060_</vt:lpwstr>
  </property>
  <property fmtid="{D5CDD505-2E9C-101B-9397-08002B2CF9AE}" pid="4" name="&lt;Type&gt;">
    <vt:lpwstr>RR</vt:lpwstr>
  </property>
</Properties>
</file>