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61EE" w14:paraId="30881A0F" w14:textId="77777777" w:rsidTr="0010095E">
        <w:trPr>
          <w:trHeight w:hRule="exact" w:val="1418"/>
        </w:trPr>
        <w:tc>
          <w:tcPr>
            <w:tcW w:w="6804" w:type="dxa"/>
            <w:shd w:val="clear" w:color="auto" w:fill="auto"/>
            <w:vAlign w:val="center"/>
          </w:tcPr>
          <w:p w14:paraId="0443ED03" w14:textId="77777777" w:rsidR="00751A4A" w:rsidRPr="007061EE" w:rsidRDefault="00AB2D78" w:rsidP="0010095E">
            <w:pPr>
              <w:pStyle w:val="EPName"/>
            </w:pPr>
            <w:r w:rsidRPr="007061EE">
              <w:t>Evropski parlament</w:t>
            </w:r>
          </w:p>
          <w:p w14:paraId="3CE82CD6" w14:textId="77777777" w:rsidR="00751A4A" w:rsidRPr="007061EE" w:rsidRDefault="005F1B17" w:rsidP="005F1B17">
            <w:pPr>
              <w:pStyle w:val="EPTerm"/>
              <w:rPr>
                <w:rStyle w:val="HideTWBExt"/>
                <w:noProof w:val="0"/>
                <w:vanish w:val="0"/>
                <w:color w:val="auto"/>
              </w:rPr>
            </w:pPr>
            <w:r w:rsidRPr="007061EE">
              <w:t>2024</w:t>
            </w:r>
            <w:r w:rsidR="00817416" w:rsidRPr="007061EE">
              <w:t>-202</w:t>
            </w:r>
            <w:r w:rsidRPr="007061EE">
              <w:t>9</w:t>
            </w:r>
          </w:p>
        </w:tc>
        <w:tc>
          <w:tcPr>
            <w:tcW w:w="2268" w:type="dxa"/>
            <w:shd w:val="clear" w:color="auto" w:fill="auto"/>
          </w:tcPr>
          <w:p w14:paraId="320CCFAE" w14:textId="77777777" w:rsidR="00751A4A" w:rsidRPr="007061EE" w:rsidRDefault="00187494" w:rsidP="0010095E">
            <w:pPr>
              <w:pStyle w:val="EPLogo"/>
            </w:pPr>
            <w:r w:rsidRPr="007061EE">
              <w:rPr>
                <w:noProof/>
                <w:lang w:val="en-GB"/>
              </w:rPr>
              <w:drawing>
                <wp:inline distT="0" distB="0" distL="0" distR="0" wp14:anchorId="26442A30" wp14:editId="20132E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C6EBD" w14:textId="77777777" w:rsidR="00D058B8" w:rsidRPr="007061EE" w:rsidRDefault="00D058B8" w:rsidP="004C5D52">
      <w:pPr>
        <w:pStyle w:val="LineTop"/>
      </w:pPr>
    </w:p>
    <w:p w14:paraId="251138D4" w14:textId="77777777" w:rsidR="00680577" w:rsidRPr="007061EE" w:rsidRDefault="00AB2D78" w:rsidP="00680577">
      <w:pPr>
        <w:pStyle w:val="EPBodyTA1"/>
      </w:pPr>
      <w:r w:rsidRPr="007061EE">
        <w:t>SPREJETA BESEDILA</w:t>
      </w:r>
    </w:p>
    <w:p w14:paraId="20BDF3B6" w14:textId="77777777" w:rsidR="00D058B8" w:rsidRPr="007061EE" w:rsidRDefault="00D058B8" w:rsidP="00D058B8">
      <w:pPr>
        <w:pStyle w:val="LineBottom"/>
      </w:pPr>
    </w:p>
    <w:p w14:paraId="323B46AA" w14:textId="77777777" w:rsidR="00AB2D78" w:rsidRPr="007061EE" w:rsidRDefault="00AB2D78" w:rsidP="00AB2D78">
      <w:pPr>
        <w:pStyle w:val="ATHeading1"/>
      </w:pPr>
      <w:bookmarkStart w:id="0" w:name="TANumber"/>
      <w:r w:rsidRPr="007061EE">
        <w:t>P10_TA(2025)</w:t>
      </w:r>
      <w:bookmarkEnd w:id="0"/>
      <w:r w:rsidR="005F65AC">
        <w:t>0060</w:t>
      </w:r>
    </w:p>
    <w:p w14:paraId="2712AE6B" w14:textId="77777777" w:rsidR="00AB2D78" w:rsidRPr="007061EE" w:rsidRDefault="002645E3" w:rsidP="00AB2D78">
      <w:pPr>
        <w:pStyle w:val="ATHeading2"/>
      </w:pPr>
      <w:bookmarkStart w:id="1" w:name="title"/>
      <w:r w:rsidRPr="002645E3">
        <w:t>Načrt prihodkov in odhodkov za proračunsko leto 2026 – oddelek I – Evropski parlament</w:t>
      </w:r>
      <w:bookmarkEnd w:id="1"/>
    </w:p>
    <w:p w14:paraId="12B9FD5D" w14:textId="77777777" w:rsidR="00AB2D78" w:rsidRPr="007061EE" w:rsidRDefault="00AB2D78" w:rsidP="00AB2D78">
      <w:pPr>
        <w:rPr>
          <w:i/>
          <w:vanish/>
        </w:rPr>
      </w:pPr>
      <w:r w:rsidRPr="007061EE">
        <w:rPr>
          <w:i/>
        </w:rPr>
        <w:fldChar w:fldCharType="begin"/>
      </w:r>
      <w:r w:rsidRPr="007061EE">
        <w:rPr>
          <w:i/>
        </w:rPr>
        <w:instrText xml:space="preserve"> TC"(</w:instrText>
      </w:r>
      <w:bookmarkStart w:id="2" w:name="DocNumber"/>
      <w:r w:rsidRPr="007061EE">
        <w:rPr>
          <w:i/>
        </w:rPr>
        <w:instrText>A10-0048/2025</w:instrText>
      </w:r>
      <w:bookmarkEnd w:id="2"/>
      <w:r w:rsidRPr="007061EE">
        <w:rPr>
          <w:i/>
        </w:rPr>
        <w:instrText xml:space="preserve"> - Poročevalec: Matjaž Nemec)"\l3 \n&gt; \* MERGEFORMAT </w:instrText>
      </w:r>
      <w:r w:rsidRPr="007061EE">
        <w:rPr>
          <w:i/>
        </w:rPr>
        <w:fldChar w:fldCharType="end"/>
      </w:r>
    </w:p>
    <w:p w14:paraId="04399EFF" w14:textId="77777777" w:rsidR="00AB2D78" w:rsidRPr="007061EE" w:rsidRDefault="00AB2D78" w:rsidP="00AB2D78">
      <w:pPr>
        <w:rPr>
          <w:vanish/>
        </w:rPr>
      </w:pPr>
      <w:bookmarkStart w:id="3" w:name="Commission"/>
      <w:r w:rsidRPr="007061EE">
        <w:rPr>
          <w:vanish/>
        </w:rPr>
        <w:t>Odbor za proračun</w:t>
      </w:r>
      <w:bookmarkEnd w:id="3"/>
    </w:p>
    <w:p w14:paraId="319557AE" w14:textId="77777777" w:rsidR="00AB2D78" w:rsidRPr="007061EE" w:rsidRDefault="00AB2D78" w:rsidP="00AB2D78">
      <w:pPr>
        <w:rPr>
          <w:vanish/>
        </w:rPr>
      </w:pPr>
      <w:bookmarkStart w:id="4" w:name="PE"/>
      <w:r w:rsidRPr="007061EE">
        <w:rPr>
          <w:vanish/>
        </w:rPr>
        <w:t>PE770.074</w:t>
      </w:r>
      <w:bookmarkEnd w:id="4"/>
    </w:p>
    <w:p w14:paraId="49518D25" w14:textId="77777777" w:rsidR="00AB2D78" w:rsidRPr="007061EE" w:rsidRDefault="00AB2D78" w:rsidP="00AB2D78">
      <w:pPr>
        <w:pStyle w:val="ATHeading3"/>
      </w:pPr>
      <w:bookmarkStart w:id="5" w:name="Sujet"/>
      <w:r w:rsidRPr="007061EE">
        <w:t xml:space="preserve">Resolucija Evropskega parlamenta z dne </w:t>
      </w:r>
      <w:r w:rsidR="00371DA8">
        <w:t>3. aprila</w:t>
      </w:r>
      <w:r w:rsidRPr="007061EE">
        <w:t xml:space="preserve"> 2025 o načrtu prihodkov in odhodkov Evropskega parlamenta za proračunsko leto 2026</w:t>
      </w:r>
      <w:bookmarkEnd w:id="5"/>
      <w:r w:rsidRPr="007061EE">
        <w:t xml:space="preserve"> </w:t>
      </w:r>
      <w:bookmarkStart w:id="6" w:name="References"/>
      <w:r w:rsidRPr="007061EE">
        <w:t>(2024/2111(BUI))</w:t>
      </w:r>
      <w:bookmarkEnd w:id="6"/>
    </w:p>
    <w:p w14:paraId="58A0A399" w14:textId="77777777" w:rsidR="00992943" w:rsidRPr="007061EE" w:rsidRDefault="00992943" w:rsidP="00992943">
      <w:pPr>
        <w:pStyle w:val="EPComma"/>
      </w:pPr>
      <w:bookmarkStart w:id="7" w:name="TextBodyBegin"/>
      <w:bookmarkEnd w:id="7"/>
      <w:r w:rsidRPr="007061EE">
        <w:rPr>
          <w:i/>
        </w:rPr>
        <w:t>Evropski parlament</w:t>
      </w:r>
      <w:r w:rsidRPr="007061EE">
        <w:t>,</w:t>
      </w:r>
    </w:p>
    <w:p w14:paraId="25B118A6" w14:textId="77777777" w:rsidR="00992943" w:rsidRPr="007061EE" w:rsidRDefault="00992943" w:rsidP="00371DA8">
      <w:pPr>
        <w:pStyle w:val="NormalHanging12a"/>
      </w:pPr>
      <w:r w:rsidRPr="007061EE">
        <w:t>–</w:t>
      </w:r>
      <w:r w:rsidRPr="007061EE">
        <w:tab/>
        <w:t>ob upoštevanju člena 314 Pogodbe o delovanju Evropske unije,</w:t>
      </w:r>
    </w:p>
    <w:p w14:paraId="160B59A5" w14:textId="77777777" w:rsidR="00992943" w:rsidRPr="007061EE" w:rsidRDefault="00992943" w:rsidP="00371DA8">
      <w:pPr>
        <w:spacing w:after="240"/>
        <w:ind w:left="567" w:hanging="567"/>
        <w:rPr>
          <w:color w:val="000000"/>
        </w:rPr>
      </w:pPr>
      <w:r w:rsidRPr="007061EE">
        <w:rPr>
          <w:color w:val="000000"/>
        </w:rPr>
        <w:t>–</w:t>
      </w:r>
      <w:r w:rsidRPr="007061EE">
        <w:rPr>
          <w:color w:val="000000"/>
        </w:rPr>
        <w:tab/>
        <w:t>ob upoštevanju Uredbe Sveta (EU, Euratom) 2020/2093 z dne 17. decembra 2020 o določitvi večletnega finančnega okvira za obdobje 2021–2027</w:t>
      </w:r>
      <w:r w:rsidRPr="007061EE">
        <w:rPr>
          <w:color w:val="000000"/>
          <w:vertAlign w:val="superscript"/>
        </w:rPr>
        <w:footnoteReference w:id="1"/>
      </w:r>
      <w:r w:rsidRPr="007061EE">
        <w:rPr>
          <w:color w:val="000000"/>
        </w:rPr>
        <w:t>, skupnih izjav Parlamenta, Sveta in Komisije v zvezi s tem</w:t>
      </w:r>
      <w:r w:rsidRPr="007061EE">
        <w:rPr>
          <w:color w:val="000000"/>
          <w:vertAlign w:val="superscript"/>
        </w:rPr>
        <w:footnoteReference w:id="2"/>
      </w:r>
      <w:r w:rsidRPr="007061EE">
        <w:rPr>
          <w:color w:val="000000"/>
        </w:rPr>
        <w:t xml:space="preserve"> ter povezanih enostranskih izjav</w:t>
      </w:r>
      <w:r w:rsidRPr="007061EE">
        <w:rPr>
          <w:color w:val="000000"/>
          <w:vertAlign w:val="superscript"/>
        </w:rPr>
        <w:footnoteReference w:id="3"/>
      </w:r>
      <w:r w:rsidRPr="007061EE">
        <w:rPr>
          <w:color w:val="000000"/>
        </w:rPr>
        <w:t>,</w:t>
      </w:r>
    </w:p>
    <w:p w14:paraId="4C7AD167" w14:textId="77777777" w:rsidR="00992943" w:rsidRPr="007061EE" w:rsidRDefault="00992943" w:rsidP="00371DA8">
      <w:pPr>
        <w:spacing w:after="240"/>
        <w:ind w:left="567" w:hanging="567"/>
        <w:rPr>
          <w:color w:val="000000" w:themeColor="text1"/>
        </w:rPr>
      </w:pPr>
      <w:r w:rsidRPr="007061EE">
        <w:rPr>
          <w:color w:val="000000"/>
        </w:rPr>
        <w:t>–</w:t>
      </w:r>
      <w:r w:rsidRPr="007061EE">
        <w:rPr>
          <w:color w:val="000000"/>
        </w:rPr>
        <w:tab/>
        <w:t>ob upoštevanju Uredbe Sveta (EU, Euratom) 2022/2496 z dne 15. decembra 2022 o spremembi Uredbe (EU, Euratom) 2020/2093 o določitvi večletnega finančnega okvira za obdobje 2021–2027</w:t>
      </w:r>
      <w:r w:rsidRPr="007061EE">
        <w:rPr>
          <w:color w:val="000000"/>
          <w:vertAlign w:val="superscript"/>
        </w:rPr>
        <w:footnoteReference w:id="4"/>
      </w:r>
      <w:r w:rsidRPr="007061EE">
        <w:rPr>
          <w:color w:val="000000"/>
        </w:rPr>
        <w:t>,</w:t>
      </w:r>
    </w:p>
    <w:p w14:paraId="1EC03AAE" w14:textId="77777777" w:rsidR="00992943" w:rsidRPr="007061EE" w:rsidRDefault="00992943" w:rsidP="00371DA8">
      <w:pPr>
        <w:spacing w:after="240"/>
        <w:ind w:left="567" w:hanging="567"/>
      </w:pPr>
      <w:r w:rsidRPr="007061EE">
        <w:t>–</w:t>
      </w:r>
      <w:r w:rsidRPr="007061EE">
        <w:tab/>
      </w:r>
      <w:r w:rsidRPr="007061EE">
        <w:rPr>
          <w:color w:val="000000"/>
        </w:rPr>
        <w:t>ob upoštevanju Uredbe Sveta (EU, Euratom) 2024/765 o spremembi Uredbe (EU, Euratom) 2020/2093 o določitvi večletnega finančnega okvira za obdobje 2021–2027</w:t>
      </w:r>
      <w:r w:rsidRPr="007061EE">
        <w:rPr>
          <w:rStyle w:val="FootnoteReference"/>
          <w:color w:val="000000"/>
        </w:rPr>
        <w:footnoteReference w:id="5"/>
      </w:r>
      <w:r w:rsidRPr="007061EE">
        <w:rPr>
          <w:color w:val="000000"/>
        </w:rPr>
        <w:t xml:space="preserve"> (revizija večletnega finančnega okvira),</w:t>
      </w:r>
    </w:p>
    <w:p w14:paraId="4F97EC04" w14:textId="77777777" w:rsidR="00992943" w:rsidRPr="007061EE" w:rsidRDefault="00992943" w:rsidP="00371DA8">
      <w:pPr>
        <w:spacing w:after="240"/>
        <w:ind w:left="567" w:hanging="567"/>
      </w:pPr>
      <w:r w:rsidRPr="007061EE">
        <w:t>–</w:t>
      </w:r>
      <w:r w:rsidRPr="007061EE">
        <w:tab/>
        <w:t>ob upoštevanju svoje resolucije z dne 16. decembra 2020 o osnutku uredbe Sveta o določitvi večletnega finančnega okvira za obdobje 2021–2027</w:t>
      </w:r>
      <w:r w:rsidRPr="007061EE">
        <w:rPr>
          <w:vertAlign w:val="superscript"/>
        </w:rPr>
        <w:footnoteReference w:id="6"/>
      </w:r>
      <w:r w:rsidRPr="007061EE">
        <w:t>,</w:t>
      </w:r>
    </w:p>
    <w:p w14:paraId="1246483F" w14:textId="77777777" w:rsidR="00992943" w:rsidRPr="007061EE" w:rsidRDefault="00992943" w:rsidP="00371DA8">
      <w:pPr>
        <w:spacing w:after="240"/>
        <w:ind w:left="567" w:hanging="567"/>
        <w:rPr>
          <w:color w:val="000000"/>
        </w:rPr>
      </w:pPr>
      <w:r w:rsidRPr="007061EE">
        <w:rPr>
          <w:color w:val="000000"/>
        </w:rPr>
        <w:t>–</w:t>
      </w:r>
      <w:r w:rsidRPr="007061EE">
        <w:rPr>
          <w:color w:val="000000"/>
        </w:rPr>
        <w:tab/>
        <w:t xml:space="preserve">ob upoštevanju svoje resolucije z dne 15. decembra 2022 o nadgradnji večletnega finančnega okvira za obdobje 2021–2027: odporen proračun EU, primeren za nove </w:t>
      </w:r>
      <w:r w:rsidRPr="007061EE">
        <w:rPr>
          <w:color w:val="000000"/>
        </w:rPr>
        <w:lastRenderedPageBreak/>
        <w:t>izzive</w:t>
      </w:r>
      <w:r w:rsidRPr="007061EE">
        <w:rPr>
          <w:color w:val="000000"/>
          <w:vertAlign w:val="superscript"/>
        </w:rPr>
        <w:footnoteReference w:id="7"/>
      </w:r>
      <w:r w:rsidRPr="007061EE">
        <w:rPr>
          <w:color w:val="000000"/>
        </w:rPr>
        <w:t>,</w:t>
      </w:r>
    </w:p>
    <w:p w14:paraId="2D4E56DB" w14:textId="77777777" w:rsidR="00992943" w:rsidRPr="007061EE" w:rsidRDefault="00992943" w:rsidP="00371DA8">
      <w:pPr>
        <w:spacing w:after="240"/>
        <w:ind w:left="567" w:hanging="567"/>
      </w:pPr>
      <w:r w:rsidRPr="007061EE">
        <w:t>–</w:t>
      </w:r>
      <w:r w:rsidRPr="007061EE">
        <w:tab/>
        <w:t>ob upoštevanju svoje resolucije z dne 3. oktobra 2023 o predlogu za vmesni pregled večletnega finančnega okvira za obdobje 2021–2027</w:t>
      </w:r>
      <w:r w:rsidRPr="007061EE">
        <w:rPr>
          <w:vertAlign w:val="superscript"/>
        </w:rPr>
        <w:footnoteReference w:id="8"/>
      </w:r>
      <w:r w:rsidRPr="007061EE">
        <w:t>,</w:t>
      </w:r>
    </w:p>
    <w:p w14:paraId="3166CB5A" w14:textId="77777777" w:rsidR="00992943" w:rsidRPr="007061EE" w:rsidRDefault="00992943" w:rsidP="00371DA8">
      <w:pPr>
        <w:spacing w:after="240"/>
        <w:ind w:left="567" w:hanging="567"/>
        <w:rPr>
          <w:color w:val="000000"/>
        </w:rPr>
      </w:pPr>
      <w:r w:rsidRPr="007061EE">
        <w:rPr>
          <w:color w:val="000000"/>
        </w:rPr>
        <w:t>–</w:t>
      </w:r>
      <w:r w:rsidRPr="007061EE">
        <w:rPr>
          <w:color w:val="000000"/>
        </w:rPr>
        <w:tab/>
        <w:t>ob upoštevanju svoje resolucije z dne 27. februarja 2024 o osnutku uredbe Sveta o spremembi Uredbe (EU, Euratom) 2020/2093 o določitvi večletnega finančnega okvira za obdobje 2021–2027</w:t>
      </w:r>
      <w:r w:rsidRPr="007061EE">
        <w:rPr>
          <w:color w:val="000000"/>
          <w:vertAlign w:val="superscript"/>
        </w:rPr>
        <w:footnoteReference w:id="9"/>
      </w:r>
      <w:r w:rsidRPr="007061EE">
        <w:rPr>
          <w:color w:val="000000"/>
        </w:rPr>
        <w:t>,</w:t>
      </w:r>
    </w:p>
    <w:p w14:paraId="4F941396" w14:textId="77777777" w:rsidR="00992943" w:rsidRPr="007061EE" w:rsidRDefault="00992943" w:rsidP="00371DA8">
      <w:pPr>
        <w:widowControl/>
        <w:spacing w:after="240"/>
        <w:ind w:left="567" w:hanging="567"/>
        <w:rPr>
          <w:color w:val="000000"/>
        </w:rPr>
      </w:pPr>
      <w:r w:rsidRPr="007061EE">
        <w:rPr>
          <w:color w:val="000000"/>
        </w:rPr>
        <w:t>–</w:t>
      </w:r>
      <w:r w:rsidRPr="007061EE">
        <w:rPr>
          <w:color w:val="000000"/>
        </w:rPr>
        <w:tab/>
        <w:t>ob upoštevanju Uredbe (EU, Euratom) 2024/2509 Evropskega Parlamenta in Sveta z dne 23. septembra 2024 o finančnih pravilih, ki se uporabljajo za splošni proračun Unije (prenovitev)</w:t>
      </w:r>
      <w:r w:rsidRPr="007061EE">
        <w:rPr>
          <w:color w:val="000000"/>
          <w:vertAlign w:val="superscript"/>
        </w:rPr>
        <w:footnoteReference w:id="10"/>
      </w:r>
      <w:r w:rsidRPr="007061EE">
        <w:rPr>
          <w:color w:val="000000"/>
        </w:rPr>
        <w:t xml:space="preserve"> (v nadaljnjem besedilu: finančna uredba),</w:t>
      </w:r>
    </w:p>
    <w:p w14:paraId="7EC03DCD" w14:textId="77777777" w:rsidR="00992943" w:rsidRPr="007061EE" w:rsidRDefault="00992943" w:rsidP="00371DA8">
      <w:pPr>
        <w:spacing w:after="240"/>
        <w:ind w:left="567" w:hanging="567"/>
        <w:rPr>
          <w:color w:val="000000"/>
        </w:rPr>
      </w:pPr>
      <w:r w:rsidRPr="007061EE">
        <w:rPr>
          <w:color w:val="000000"/>
        </w:rPr>
        <w:t>–</w:t>
      </w:r>
      <w:r w:rsidRPr="007061EE">
        <w:rPr>
          <w:color w:val="000000"/>
        </w:rPr>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7061EE">
        <w:rPr>
          <w:color w:val="000000"/>
          <w:vertAlign w:val="superscript"/>
        </w:rPr>
        <w:footnoteReference w:id="11"/>
      </w:r>
      <w:r w:rsidRPr="007061EE">
        <w:rPr>
          <w:color w:val="000000"/>
        </w:rPr>
        <w:t>,</w:t>
      </w:r>
    </w:p>
    <w:p w14:paraId="300FD949" w14:textId="77777777" w:rsidR="00992943" w:rsidRPr="007061EE" w:rsidRDefault="00992943" w:rsidP="00371DA8">
      <w:pPr>
        <w:spacing w:after="240"/>
        <w:ind w:left="567" w:hanging="567"/>
        <w:rPr>
          <w:color w:val="000000"/>
        </w:rPr>
      </w:pPr>
      <w:r w:rsidRPr="007061EE">
        <w:rPr>
          <w:color w:val="000000"/>
        </w:rPr>
        <w:t>–</w:t>
      </w:r>
      <w:r w:rsidRPr="007061EE">
        <w:rPr>
          <w:color w:val="000000"/>
        </w:rPr>
        <w:tab/>
        <w:t>ob upoštevanju splošnega proračuna Evropske unije za proračunsko leto 2025</w:t>
      </w:r>
      <w:r w:rsidRPr="007061EE">
        <w:rPr>
          <w:color w:val="000000"/>
          <w:vertAlign w:val="superscript"/>
        </w:rPr>
        <w:footnoteReference w:id="12"/>
      </w:r>
      <w:r w:rsidRPr="007061EE">
        <w:rPr>
          <w:color w:val="000000"/>
        </w:rPr>
        <w:t xml:space="preserve"> in skupnih izjav Parlamenta, Sveta in Komisije, ki so mu priložene,</w:t>
      </w:r>
    </w:p>
    <w:p w14:paraId="6B0F8A14" w14:textId="77777777" w:rsidR="00992943" w:rsidRPr="007061EE" w:rsidRDefault="00992943" w:rsidP="00371DA8">
      <w:pPr>
        <w:spacing w:after="240"/>
        <w:ind w:left="567" w:hanging="567"/>
        <w:rPr>
          <w:color w:val="000000"/>
        </w:rPr>
      </w:pPr>
      <w:r w:rsidRPr="007061EE">
        <w:rPr>
          <w:color w:val="000000"/>
        </w:rPr>
        <w:t>–</w:t>
      </w:r>
      <w:r w:rsidRPr="007061EE">
        <w:rPr>
          <w:color w:val="000000"/>
        </w:rPr>
        <w:tab/>
        <w:t>ob upoštevanju poročila generalnega sekretarja predsedstvu glede priprave predhodnega predloga načrta prihodkov in odhodkov Evropskega parlamenta za proračunsko leto 2026,</w:t>
      </w:r>
    </w:p>
    <w:p w14:paraId="4E3102D2" w14:textId="77777777" w:rsidR="00992943" w:rsidRPr="007061EE" w:rsidRDefault="00992943" w:rsidP="00435A9E">
      <w:pPr>
        <w:spacing w:after="240"/>
        <w:ind w:left="567" w:hanging="567"/>
        <w:rPr>
          <w:color w:val="000000"/>
        </w:rPr>
      </w:pPr>
      <w:r w:rsidRPr="007061EE">
        <w:rPr>
          <w:color w:val="000000"/>
        </w:rPr>
        <w:t>–</w:t>
      </w:r>
      <w:r w:rsidRPr="007061EE">
        <w:rPr>
          <w:color w:val="000000"/>
        </w:rPr>
        <w:tab/>
        <w:t>ob upoštevanju predhodnega predloga načrta prihodkov in odhodkov, ki ga je pripravilo predsedstvo 10. marca 2025 v skladu s členoma 25(7) in 104(1) Poslovnika Parlamenta,</w:t>
      </w:r>
    </w:p>
    <w:p w14:paraId="49461F4F" w14:textId="77777777" w:rsidR="00992943" w:rsidRPr="007061EE" w:rsidRDefault="00992943" w:rsidP="00435A9E">
      <w:pPr>
        <w:spacing w:after="240"/>
        <w:ind w:left="567" w:hanging="567"/>
        <w:rPr>
          <w:color w:val="000000"/>
        </w:rPr>
      </w:pPr>
      <w:r w:rsidRPr="007061EE">
        <w:rPr>
          <w:color w:val="000000"/>
        </w:rPr>
        <w:t>–</w:t>
      </w:r>
      <w:r w:rsidRPr="007061EE">
        <w:rPr>
          <w:color w:val="000000"/>
        </w:rPr>
        <w:tab/>
        <w:t>ob upoštevanju predloga načrta prihodkov in odhodkov, ki ga je pripravil Odbor za proračun v skladu s členom 104(2) Poslovnika Parlamenta,</w:t>
      </w:r>
    </w:p>
    <w:p w14:paraId="222BFE8E" w14:textId="77777777" w:rsidR="00992943" w:rsidRPr="007061EE" w:rsidRDefault="00992943" w:rsidP="00435A9E">
      <w:pPr>
        <w:pStyle w:val="NormalHanging12a"/>
      </w:pPr>
      <w:r w:rsidRPr="007061EE">
        <w:t>–</w:t>
      </w:r>
      <w:r w:rsidRPr="007061EE">
        <w:tab/>
        <w:t>ob upoštevanju člena 104 Poslovnika,</w:t>
      </w:r>
    </w:p>
    <w:p w14:paraId="0CD153CC" w14:textId="77777777" w:rsidR="00992943" w:rsidRPr="007061EE" w:rsidRDefault="00992943" w:rsidP="00435A9E">
      <w:pPr>
        <w:pStyle w:val="NormalHanging12a"/>
      </w:pPr>
      <w:r w:rsidRPr="007061EE">
        <w:t>–</w:t>
      </w:r>
      <w:r w:rsidRPr="007061EE">
        <w:tab/>
        <w:t>ob upoštevanju poročila Odbora za proračun (A10</w:t>
      </w:r>
      <w:r w:rsidRPr="007061EE">
        <w:noBreakHyphen/>
        <w:t>0048/2025),</w:t>
      </w:r>
    </w:p>
    <w:p w14:paraId="55887427" w14:textId="77777777" w:rsidR="00992943" w:rsidRPr="007061EE" w:rsidRDefault="00992943" w:rsidP="00435A9E">
      <w:pPr>
        <w:widowControl/>
        <w:spacing w:after="240"/>
        <w:ind w:left="567" w:hanging="567"/>
        <w:rPr>
          <w:color w:val="000000"/>
        </w:rPr>
      </w:pPr>
      <w:r w:rsidRPr="007061EE">
        <w:rPr>
          <w:color w:val="000000"/>
        </w:rPr>
        <w:t>A.</w:t>
      </w:r>
      <w:r w:rsidRPr="007061EE">
        <w:rPr>
          <w:color w:val="000000"/>
        </w:rPr>
        <w:tab/>
        <w:t>ker proračun, ki ga je 10. februarja 2025 v predhodnem predlogu načrta prihodkov in odhodkov Parlamenta za leto 2026 predlagal generalni sekretar, znaša 2</w:t>
      </w:r>
      <w:r w:rsidR="001D1AC6">
        <w:rPr>
          <w:color w:val="000000"/>
        </w:rPr>
        <w:t> </w:t>
      </w:r>
      <w:r w:rsidRPr="007061EE">
        <w:rPr>
          <w:color w:val="000000"/>
        </w:rPr>
        <w:t>641</w:t>
      </w:r>
      <w:r w:rsidR="001D1AC6">
        <w:rPr>
          <w:color w:val="000000"/>
        </w:rPr>
        <w:t> </w:t>
      </w:r>
      <w:r w:rsidRPr="007061EE">
        <w:rPr>
          <w:color w:val="000000"/>
        </w:rPr>
        <w:t>609</w:t>
      </w:r>
      <w:r w:rsidR="001D1AC6">
        <w:rPr>
          <w:color w:val="000000"/>
        </w:rPr>
        <w:t> </w:t>
      </w:r>
      <w:r w:rsidRPr="007061EE">
        <w:rPr>
          <w:color w:val="000000"/>
        </w:rPr>
        <w:t>620 EUR, kar je za 4,30 % oziroma 108</w:t>
      </w:r>
      <w:r w:rsidR="001D1AC6">
        <w:rPr>
          <w:color w:val="000000"/>
        </w:rPr>
        <w:t> </w:t>
      </w:r>
      <w:r w:rsidRPr="007061EE">
        <w:rPr>
          <w:color w:val="000000"/>
        </w:rPr>
        <w:t>914</w:t>
      </w:r>
      <w:r w:rsidR="001D1AC6">
        <w:rPr>
          <w:color w:val="000000"/>
        </w:rPr>
        <w:t> </w:t>
      </w:r>
      <w:r w:rsidRPr="007061EE">
        <w:rPr>
          <w:color w:val="000000"/>
        </w:rPr>
        <w:t xml:space="preserve">512 EUR več kot v letu 2025; </w:t>
      </w:r>
    </w:p>
    <w:p w14:paraId="6EDCDB19" w14:textId="77777777" w:rsidR="00992943" w:rsidRPr="007061EE" w:rsidRDefault="00992943" w:rsidP="00435A9E">
      <w:pPr>
        <w:widowControl/>
        <w:spacing w:after="240"/>
        <w:ind w:left="567" w:hanging="567"/>
        <w:rPr>
          <w:color w:val="000000"/>
        </w:rPr>
      </w:pPr>
      <w:r w:rsidRPr="007061EE">
        <w:rPr>
          <w:color w:val="000000"/>
        </w:rPr>
        <w:t>B.</w:t>
      </w:r>
      <w:r w:rsidRPr="007061EE">
        <w:rPr>
          <w:color w:val="000000"/>
        </w:rPr>
        <w:tab/>
        <w:t xml:space="preserve">ker je letna inflacija v Uniji po podatkih Eurostata januarja 2025 znašala 2,8 %, decembra 2024 pa 2,7 %; ker je bil znesek odhodkov v razdelku 7 večletnega </w:t>
      </w:r>
      <w:r w:rsidRPr="007061EE">
        <w:rPr>
          <w:color w:val="000000"/>
        </w:rPr>
        <w:lastRenderedPageBreak/>
        <w:t>finančnega okvira za obdobje 2021–2027 izračunan ob upoštevanju 2-odstotnega letnega povečanja;</w:t>
      </w:r>
    </w:p>
    <w:p w14:paraId="29CE539B" w14:textId="77777777" w:rsidR="00992943" w:rsidRPr="007061EE" w:rsidRDefault="00992943" w:rsidP="00435A9E">
      <w:pPr>
        <w:widowControl/>
        <w:spacing w:after="240"/>
        <w:ind w:left="567" w:hanging="567"/>
        <w:rPr>
          <w:color w:val="000000"/>
        </w:rPr>
      </w:pPr>
      <w:r w:rsidRPr="007061EE">
        <w:rPr>
          <w:color w:val="000000"/>
        </w:rPr>
        <w:t>C.</w:t>
      </w:r>
      <w:r w:rsidRPr="007061EE">
        <w:rPr>
          <w:color w:val="000000"/>
        </w:rPr>
        <w:tab/>
        <w:t xml:space="preserve">ker je verodostojnost Parlamenta odvisna od njegove sposobnosti, da opravi svoje osrednje proračunsko, zakonodajno in nadzorno delo v skladu z najvišjimi standardi, hkrati pa daje zgled drugim institucijam Unije, kako preudarno in učinkovito načrtovati in izvrševati svoje odhodke v skladu s prevladujočimi gospodarskimi razmerami; </w:t>
      </w:r>
    </w:p>
    <w:p w14:paraId="6B6A2F28" w14:textId="77777777" w:rsidR="00992943" w:rsidRPr="007061EE" w:rsidRDefault="00992943" w:rsidP="00371DA8">
      <w:pPr>
        <w:widowControl/>
        <w:spacing w:after="240"/>
        <w:ind w:left="567" w:hanging="567"/>
        <w:rPr>
          <w:b/>
          <w:i/>
          <w:color w:val="000000"/>
        </w:rPr>
      </w:pPr>
      <w:r w:rsidRPr="007061EE">
        <w:rPr>
          <w:b/>
          <w:i/>
          <w:color w:val="000000"/>
        </w:rPr>
        <w:t>Splošni okvir</w:t>
      </w:r>
    </w:p>
    <w:p w14:paraId="63A0072B" w14:textId="77777777" w:rsidR="00992943" w:rsidRPr="007061EE" w:rsidRDefault="00992943" w:rsidP="00371DA8">
      <w:pPr>
        <w:widowControl/>
        <w:spacing w:after="240"/>
        <w:ind w:left="567" w:hanging="567"/>
        <w:rPr>
          <w:color w:val="000000"/>
        </w:rPr>
      </w:pPr>
      <w:r w:rsidRPr="007061EE">
        <w:rPr>
          <w:color w:val="000000"/>
        </w:rPr>
        <w:t>1.</w:t>
      </w:r>
      <w:r w:rsidRPr="007061EE">
        <w:rPr>
          <w:color w:val="000000"/>
        </w:rPr>
        <w:tab/>
        <w:t>je zaskrbljen zaradi stanja razdelka 7 v sedanjem večletnem finančnem okviru; želi spomniti, da so omejitve posledica rezov, ki jih je Svet med dogovarjanjem o večletnem finančnem okviru za obdobje 2021–2027 naredil v že tako zelo skromnem prvotnem predlogu Komisije; obžaluje, da je Svet pri reviziji večletnega finančnega okvira nasprotoval predlogu Komisije za povečanje zgornje meje razdelka 7 z letom 2024; opozarja, da zgornja meja razdelka 7 med revizijo sploh ni bila obravnavana; poudarja, da napovedana negativna razlika do zgornje meje za leto 2026 pomeni, da bo treba v razdelku 7 uporabiti posebne instrumente;</w:t>
      </w:r>
    </w:p>
    <w:p w14:paraId="0D3FDD5B" w14:textId="77777777" w:rsidR="00992943" w:rsidRPr="007061EE" w:rsidRDefault="00992943" w:rsidP="00371DA8">
      <w:pPr>
        <w:widowControl/>
        <w:spacing w:after="240"/>
        <w:ind w:left="567" w:hanging="567"/>
        <w:rPr>
          <w:color w:val="000000"/>
        </w:rPr>
      </w:pPr>
      <w:r w:rsidRPr="007061EE">
        <w:rPr>
          <w:color w:val="000000"/>
        </w:rPr>
        <w:t>2.</w:t>
      </w:r>
      <w:r w:rsidRPr="007061EE">
        <w:rPr>
          <w:color w:val="000000"/>
        </w:rPr>
        <w:tab/>
        <w:t>podpira dogovor, dosežen med predsedstvom in Odborom za proračun v spravnem postopku 18. marca 2025, da se proračun v primerjavi z letom 2023 poveča za 4,09 %, kar ustreza skupni ravni načrta prihodkov in odhodkov za leto 2026 v višini 2</w:t>
      </w:r>
      <w:r w:rsidR="001D1AC6">
        <w:rPr>
          <w:color w:val="000000"/>
        </w:rPr>
        <w:t> </w:t>
      </w:r>
      <w:r w:rsidRPr="007061EE">
        <w:rPr>
          <w:color w:val="000000"/>
        </w:rPr>
        <w:t>636</w:t>
      </w:r>
      <w:r w:rsidR="001D1AC6">
        <w:rPr>
          <w:color w:val="000000"/>
        </w:rPr>
        <w:t> </w:t>
      </w:r>
      <w:r w:rsidRPr="007061EE">
        <w:rPr>
          <w:color w:val="000000"/>
        </w:rPr>
        <w:t>241</w:t>
      </w:r>
      <w:r w:rsidR="001D1AC6">
        <w:rPr>
          <w:color w:val="000000"/>
        </w:rPr>
        <w:t> </w:t>
      </w:r>
      <w:r w:rsidRPr="007061EE">
        <w:rPr>
          <w:color w:val="000000"/>
        </w:rPr>
        <w:t>620 EUR, in da se skladno s tem zmanjšajo odobritve v skupnem znesku 12</w:t>
      </w:r>
      <w:r w:rsidR="001D1AC6">
        <w:rPr>
          <w:color w:val="000000"/>
        </w:rPr>
        <w:t> </w:t>
      </w:r>
      <w:r w:rsidRPr="007061EE">
        <w:rPr>
          <w:color w:val="000000"/>
        </w:rPr>
        <w:t>378</w:t>
      </w:r>
      <w:r w:rsidR="001D1AC6">
        <w:rPr>
          <w:color w:val="000000"/>
        </w:rPr>
        <w:t> </w:t>
      </w:r>
      <w:r w:rsidRPr="007061EE">
        <w:rPr>
          <w:color w:val="000000"/>
        </w:rPr>
        <w:t>000 EUR, predlagane v naslednjih proračunskih vrsticah:</w:t>
      </w:r>
    </w:p>
    <w:p w14:paraId="661BB2A4" w14:textId="77777777" w:rsidR="00992943" w:rsidRPr="007061EE" w:rsidRDefault="00992943" w:rsidP="00371DA8">
      <w:pPr>
        <w:widowControl/>
        <w:spacing w:after="240"/>
        <w:ind w:left="567"/>
        <w:rPr>
          <w:color w:val="000000"/>
        </w:rPr>
      </w:pPr>
      <w:r w:rsidRPr="007061EE">
        <w:rPr>
          <w:color w:val="000000"/>
        </w:rPr>
        <w:t>1 0 0 6 – Nadomestilo splošnih stroškov, 1 4 2 – Zunanje prevajalske storitve, 2 0 0 0 – Najemnine, 2 0 0 7 – Gradnja stavb in opremljanje prostorov, 2 0 2 4 4 – Poraba energije, 2 1 0 1 – Upravljanje poslovnih aplikacij, 3 2 0 – Pridobivanje izvedenskih mnenj, 3 2 4 3 – Središča za obiskovalce Evropskega parlamenta, 3 2 4 8 – Odhodki za avdiovizualno informiranje, 4 4 – Seje in druge dejavnosti sedanjih in nekdanjih poslancev;</w:t>
      </w:r>
    </w:p>
    <w:p w14:paraId="4FA11B76" w14:textId="77777777" w:rsidR="00992943" w:rsidRPr="007061EE" w:rsidRDefault="00992943" w:rsidP="00371DA8">
      <w:pPr>
        <w:widowControl/>
        <w:spacing w:after="240"/>
        <w:ind w:left="567"/>
        <w:rPr>
          <w:color w:val="000000"/>
        </w:rPr>
      </w:pPr>
      <w:r w:rsidRPr="007061EE">
        <w:rPr>
          <w:color w:val="000000"/>
        </w:rPr>
        <w:t>poleg tega je bila sprejeta odločitev, da se raven odhodkov iz predhodnega predloga načrta prihodkov in odhodkov, ki ga je predsedstvo odobrilo 10. marca 2025, poveča za 7</w:t>
      </w:r>
      <w:r w:rsidR="001D1AC6">
        <w:rPr>
          <w:color w:val="000000"/>
        </w:rPr>
        <w:t> </w:t>
      </w:r>
      <w:r w:rsidRPr="007061EE">
        <w:rPr>
          <w:color w:val="000000"/>
        </w:rPr>
        <w:t>010</w:t>
      </w:r>
      <w:r w:rsidR="001D1AC6">
        <w:rPr>
          <w:color w:val="000000"/>
        </w:rPr>
        <w:t> </w:t>
      </w:r>
      <w:r w:rsidRPr="007061EE">
        <w:rPr>
          <w:color w:val="000000"/>
        </w:rPr>
        <w:t>000 EUR in da se skladno s tem povečajo odobritve, predlagane v naslednji proračunski vrstici:</w:t>
      </w:r>
    </w:p>
    <w:p w14:paraId="72A76E8E" w14:textId="77777777" w:rsidR="00992943" w:rsidRPr="007061EE" w:rsidRDefault="00992943" w:rsidP="00371DA8">
      <w:pPr>
        <w:widowControl/>
        <w:spacing w:after="240"/>
        <w:ind w:left="567"/>
        <w:rPr>
          <w:color w:val="000000"/>
        </w:rPr>
      </w:pPr>
      <w:r w:rsidRPr="007061EE">
        <w:rPr>
          <w:color w:val="000000"/>
        </w:rPr>
        <w:t>1 2 0 0 – Osebni prejemki in nadomestila, 1 6 3 0 – Socialno varstvo: odhodki socialne narave, Člen 4 0 0 – Tekoči odhodki za poslovanje ter odhodki za politične in informacijske dejavnosti političnih skupin in samostojnih poslancev ter 4 0 3 – Financiranje evropskih političnih fundacij;</w:t>
      </w:r>
    </w:p>
    <w:p w14:paraId="1C4944FC" w14:textId="77777777" w:rsidR="00992943" w:rsidRPr="007061EE" w:rsidRDefault="00992943" w:rsidP="00371DA8">
      <w:pPr>
        <w:widowControl/>
        <w:spacing w:after="240"/>
        <w:ind w:left="567"/>
        <w:rPr>
          <w:color w:val="000000"/>
        </w:rPr>
      </w:pPr>
      <w:r w:rsidRPr="007061EE">
        <w:rPr>
          <w:color w:val="000000"/>
        </w:rPr>
        <w:t>prav tako je bilo dogovorjeno, da se spremenijo proračunske opombe k postavki 1 6 3 0 – Socialno varstvo: odhodki socialne narave, tako da bodo vključevale sklicevanje na odbor akreditiranih parlamentarnih pomočnikov;</w:t>
      </w:r>
    </w:p>
    <w:p w14:paraId="41E833B7" w14:textId="77777777" w:rsidR="00992943" w:rsidRPr="007061EE" w:rsidRDefault="00992943" w:rsidP="00371DA8">
      <w:pPr>
        <w:widowControl/>
        <w:spacing w:after="240"/>
        <w:ind w:left="567" w:hanging="567"/>
        <w:rPr>
          <w:color w:val="000000"/>
        </w:rPr>
      </w:pPr>
      <w:r w:rsidRPr="007061EE">
        <w:rPr>
          <w:color w:val="000000"/>
        </w:rPr>
        <w:t>3.</w:t>
      </w:r>
      <w:r w:rsidRPr="007061EE">
        <w:rPr>
          <w:color w:val="000000"/>
        </w:rPr>
        <w:tab/>
        <w:t>želi spomniti, da sta skoraj dve tretjini proračuna določeni z zakonskimi obveznostmi; ugotavlja, da je od povečanja za 103,5 milijonov EUR v primerjavi s proračunom za leto 2025 znesek 85,3 milijona EUR posledica zakonskih finančnih obveznosti, zlasti za posodobitev plač uradnikov in začasnih uslužbencev (52,7 milijona EUR), pogodbenih uslužbencev (9,2 milijona EUR) in akreditiranih parlamentarnih pomočnikov (15,1 milijona EUR); želi spomniti, da naj bi indeksacija plač v skladu s kadrovskimi predpisi in statutom poslancev Evropskega parlamenta po napovedih Komisije aprila 2025, julija 2025, aprila 2026 in julija 2026 znašala 1,2 %, 4,6 %, 0,6 % oziroma 3,4 %;</w:t>
      </w:r>
    </w:p>
    <w:p w14:paraId="0414C7DB" w14:textId="77777777" w:rsidR="00992943" w:rsidRPr="007061EE" w:rsidRDefault="00992943" w:rsidP="00371DA8">
      <w:pPr>
        <w:widowControl/>
        <w:spacing w:after="240"/>
        <w:ind w:left="567" w:hanging="567"/>
        <w:rPr>
          <w:color w:val="000000"/>
        </w:rPr>
      </w:pPr>
      <w:r w:rsidRPr="007061EE">
        <w:rPr>
          <w:color w:val="000000"/>
        </w:rPr>
        <w:t>4.</w:t>
      </w:r>
      <w:r w:rsidRPr="007061EE">
        <w:rPr>
          <w:color w:val="000000"/>
        </w:rPr>
        <w:tab/>
        <w:t>ugotavlja, da Parlament za leto 2026, tj. že tretje leto zapored, ne zahteva dodatnih delovnih mest;</w:t>
      </w:r>
    </w:p>
    <w:p w14:paraId="2C43BDE7" w14:textId="77777777" w:rsidR="00992943" w:rsidRPr="007061EE" w:rsidRDefault="00992943" w:rsidP="00371DA8">
      <w:pPr>
        <w:widowControl/>
        <w:spacing w:after="240"/>
        <w:ind w:left="567" w:hanging="567"/>
        <w:rPr>
          <w:color w:val="000000"/>
        </w:rPr>
      </w:pPr>
      <w:r w:rsidRPr="007061EE">
        <w:rPr>
          <w:color w:val="000000"/>
        </w:rPr>
        <w:t>5.</w:t>
      </w:r>
      <w:r w:rsidRPr="007061EE">
        <w:rPr>
          <w:color w:val="000000"/>
        </w:rPr>
        <w:tab/>
        <w:t>ugotavlja, da so se neobvezni odhodki med letoma 2025 in 2026 povečali za 1,96 %;</w:t>
      </w:r>
    </w:p>
    <w:p w14:paraId="3DD91A3D" w14:textId="77777777" w:rsidR="00992943" w:rsidRPr="007061EE" w:rsidRDefault="00992943" w:rsidP="00371DA8">
      <w:pPr>
        <w:widowControl/>
        <w:spacing w:after="240"/>
        <w:ind w:left="567" w:hanging="567"/>
        <w:rPr>
          <w:color w:val="000000"/>
        </w:rPr>
      </w:pPr>
      <w:r w:rsidRPr="007061EE">
        <w:rPr>
          <w:color w:val="000000"/>
        </w:rPr>
        <w:t>6.</w:t>
      </w:r>
      <w:r w:rsidRPr="007061EE">
        <w:rPr>
          <w:color w:val="000000"/>
        </w:rPr>
        <w:tab/>
        <w:t>pozdravlja pobudo generalnega sekretarja za izvedbo obsežnega pregleda, da bi opredelili možnosti za upravno poenostavitev, odpravili neučinkovitost in zagotovili oprijemljivo zmanjšanje stroškov, s čimer bi povečali učinkovitost in poskrbeli za smotrno uporabo virov; poziva generalnega sekretarja, naj Odboru za proračun vsake pol leta posreduje najnovejše informacije o sprejetih ukrepih in akcijskem načrtu za poenostavitev ter o njihovem vplivu na proračun in zaposlene; poudarja, da upravni postopki in upravljanje človeških virov predstavljajo veliko breme za poslance, zlasti pri zaposlovanju lokalnih pomočnikov, zato poziva k poenostavitvi v zvezi s tem;</w:t>
      </w:r>
    </w:p>
    <w:p w14:paraId="4CD06F66" w14:textId="77777777" w:rsidR="00992943" w:rsidRPr="007061EE" w:rsidRDefault="00992943" w:rsidP="00371DA8">
      <w:pPr>
        <w:pStyle w:val="NormalHanging12a"/>
      </w:pPr>
      <w:r w:rsidRPr="007061EE">
        <w:t>7.</w:t>
      </w:r>
      <w:r w:rsidRPr="007061EE">
        <w:tab/>
        <w:t>ugotavlja, da bi se moral proračun Parlamenta opirati na realno podlago v skladu z načeloma proračunske discipline in dobrega finančnega poslovodenja; poudarja, da je bistveno zagotoviti, da finančna preudarnost in varnost ostaneta ključni prednostni nalogi, hkrati pa zagotoviti, da ti ukrepi ne bodo ovirali učinkovitosti, uspešnosti in operativne zmogljivosti institucije in njenega kritičnega osebja pri uspešnem opravljanju njegovih nalog; poudarja, da mora biti Parlament glede na geopolitične razmere in naložbe, ki jih bo morala Unija izvesti za svojo strateško avtonomijo, zgled pri upravljanju svojega proračuna;</w:t>
      </w:r>
    </w:p>
    <w:p w14:paraId="734E82B4" w14:textId="77777777" w:rsidR="00992943" w:rsidRPr="007061EE" w:rsidRDefault="00992943" w:rsidP="00371DA8">
      <w:pPr>
        <w:pStyle w:val="NormalHanging12a"/>
      </w:pPr>
      <w:r w:rsidRPr="007061EE">
        <w:t>8.</w:t>
      </w:r>
      <w:r w:rsidRPr="007061EE">
        <w:tab/>
        <w:t>poudarja vlogo Parlamenta pri gradnji evropske politične zavesti in spodbujanju vrednot in politik Unije, kot sta digitalni in zeleni prehod; poudarja, da so preglednost, odgovornost, enakost spolov in integriteta bistvena načela v evropskih institucijah in zlasti v Parlamentu kot hramu evropske demokracije;</w:t>
      </w:r>
    </w:p>
    <w:p w14:paraId="25F92DC0" w14:textId="77777777" w:rsidR="00992943" w:rsidRPr="007061EE" w:rsidRDefault="00992943" w:rsidP="00371DA8">
      <w:pPr>
        <w:widowControl/>
        <w:spacing w:after="240"/>
        <w:ind w:left="567" w:hanging="567"/>
        <w:rPr>
          <w:b/>
          <w:i/>
          <w:color w:val="000000"/>
        </w:rPr>
      </w:pPr>
      <w:r w:rsidRPr="007061EE">
        <w:rPr>
          <w:b/>
          <w:i/>
          <w:color w:val="000000"/>
        </w:rPr>
        <w:t>Krepitev osrednjih funkcij Parlamenta</w:t>
      </w:r>
    </w:p>
    <w:p w14:paraId="635CEA0D" w14:textId="77777777" w:rsidR="00992943" w:rsidRPr="007061EE" w:rsidRDefault="00992943" w:rsidP="00371DA8">
      <w:pPr>
        <w:pStyle w:val="NormalHanging12a"/>
      </w:pPr>
      <w:r w:rsidRPr="007061EE">
        <w:t>9.</w:t>
      </w:r>
      <w:r w:rsidRPr="007061EE">
        <w:tab/>
        <w:t>je seznanjen, da so iz generalnega direktorata za notranjo politiko septembra 2024 nastali štirje novi tematski generalni direktorati, ki so odgovorni za zakonodajne, proračunske in nadzorne dejavnosti, kar naj bi izboljšalo delovanje Parlamenta kot sozakonodajalca, veje proračunskega organa in organa za podelitev razrešnice; poziva generalnega sekretarja, naj Odboru za proračun redno posreduje najnovejše informacije o kadrovskih novostih in novostih na področju dela v teh direktoratih;</w:t>
      </w:r>
    </w:p>
    <w:p w14:paraId="7E8BE39D" w14:textId="77777777" w:rsidR="00992943" w:rsidRPr="007061EE" w:rsidRDefault="00992943" w:rsidP="00371DA8">
      <w:pPr>
        <w:pStyle w:val="NormalHanging12a"/>
      </w:pPr>
      <w:r w:rsidRPr="007061EE">
        <w:t>10.</w:t>
      </w:r>
      <w:r w:rsidRPr="007061EE">
        <w:tab/>
        <w:t>ugotavlja, da obstaja potreba po bolj političnem odločanju na podlagi dokazov in dejstev; je seznanjen, da naj bi s proračunskimi sredstvi v višini 16,75 milijona EUR povečali upravno zmogljivost Parlamenta v pomoč poslancem pri parlamentarnem delu, pa tudi njegovo zmogljivost za obvladovanje kompleksnosti in negotovosti;</w:t>
      </w:r>
    </w:p>
    <w:p w14:paraId="57A7F7A5" w14:textId="77777777" w:rsidR="00992943" w:rsidRPr="007061EE" w:rsidRDefault="00992943" w:rsidP="00371DA8">
      <w:pPr>
        <w:widowControl/>
        <w:spacing w:after="240"/>
        <w:ind w:left="567" w:hanging="567"/>
        <w:rPr>
          <w:color w:val="000000"/>
        </w:rPr>
      </w:pPr>
      <w:r w:rsidRPr="007061EE">
        <w:rPr>
          <w:color w:val="000000"/>
        </w:rPr>
        <w:t>11.</w:t>
      </w:r>
      <w:r w:rsidRPr="007061EE">
        <w:rPr>
          <w:color w:val="000000"/>
        </w:rPr>
        <w:tab/>
        <w:t>poudarja ključno vlogo političnih skupin pri zagotavljanju strokovnega znanja in politične podpore poslancem pri njihovem zakonodajnem in parlamentarnem delu; poudarja, da je treba izpolniti pomemben cilj krepitve zmogljivosti Parlamenta za podporo delu poslancev;</w:t>
      </w:r>
    </w:p>
    <w:p w14:paraId="61D44749" w14:textId="77777777" w:rsidR="00992943" w:rsidRPr="007061EE" w:rsidRDefault="00992943" w:rsidP="00371DA8">
      <w:pPr>
        <w:widowControl/>
        <w:spacing w:after="240"/>
        <w:ind w:left="567" w:hanging="567"/>
        <w:rPr>
          <w:b/>
          <w:i/>
          <w:color w:val="000000"/>
        </w:rPr>
      </w:pPr>
      <w:r w:rsidRPr="007061EE">
        <w:rPr>
          <w:b/>
          <w:i/>
          <w:color w:val="000000"/>
        </w:rPr>
        <w:t xml:space="preserve">Digitalni prehod </w:t>
      </w:r>
    </w:p>
    <w:p w14:paraId="27BFAD43" w14:textId="77777777" w:rsidR="00992943" w:rsidRPr="007061EE" w:rsidRDefault="00992943" w:rsidP="00371DA8">
      <w:pPr>
        <w:widowControl/>
        <w:spacing w:after="240"/>
        <w:ind w:left="567" w:hanging="567"/>
        <w:rPr>
          <w:color w:val="000000"/>
        </w:rPr>
      </w:pPr>
      <w:r w:rsidRPr="007061EE">
        <w:rPr>
          <w:color w:val="000000"/>
        </w:rPr>
        <w:t>12.</w:t>
      </w:r>
      <w:r w:rsidRPr="007061EE">
        <w:rPr>
          <w:color w:val="000000"/>
        </w:rPr>
        <w:tab/>
        <w:t>poudarja, da je kibernetska varnost Parlamenta osrednja prednostna naloga; ugotavlja, da proračun za informacijsko tehnologijo v načrtu prihodkov in odhodkov za leto 2026 predstavlja 7,40 % skupnega proračuna; poudarja, da je zanesljiva infrastruktura bistvena za kibernetsko varnost v geopolitično nemirnih časih, in pozdravlja povečanje sredstev, namenjenih kibernetski varnosti; podpira predvideno postopno povečanje finančnih sredstev za kibernetsko varnost na 10 % proračuna Parlamenta za IKT do leta 2027;</w:t>
      </w:r>
    </w:p>
    <w:p w14:paraId="7F66B2D6" w14:textId="77777777" w:rsidR="00992943" w:rsidRPr="007061EE" w:rsidRDefault="00992943" w:rsidP="00371DA8">
      <w:pPr>
        <w:widowControl/>
        <w:spacing w:after="240"/>
        <w:ind w:left="567" w:hanging="567"/>
        <w:rPr>
          <w:color w:val="000000"/>
        </w:rPr>
      </w:pPr>
      <w:r w:rsidRPr="007061EE">
        <w:rPr>
          <w:color w:val="000000"/>
        </w:rPr>
        <w:t>13.</w:t>
      </w:r>
      <w:r w:rsidRPr="007061EE">
        <w:rPr>
          <w:color w:val="000000"/>
        </w:rPr>
        <w:tab/>
        <w:t xml:space="preserve">pozdravlja, da je predsedstvo 10. februarja 2025 sprejelo interni okvir za obvladovanje, upravljanje in nadzor tveganj za kibernetsko varnost; opozarja, da so naložbe v kibernetsko varnost ključne za zaščito demokratičnega glasu Parlamenta in Unije; </w:t>
      </w:r>
    </w:p>
    <w:p w14:paraId="21E7B13B" w14:textId="77777777" w:rsidR="00992943" w:rsidRPr="007061EE" w:rsidRDefault="00992943" w:rsidP="00371DA8">
      <w:pPr>
        <w:widowControl/>
        <w:spacing w:after="240"/>
        <w:ind w:left="567" w:hanging="567"/>
        <w:rPr>
          <w:color w:val="000000"/>
        </w:rPr>
      </w:pPr>
      <w:r w:rsidRPr="007061EE">
        <w:rPr>
          <w:color w:val="000000"/>
        </w:rPr>
        <w:t>14.</w:t>
      </w:r>
      <w:r w:rsidRPr="007061EE">
        <w:rPr>
          <w:color w:val="000000"/>
        </w:rPr>
        <w:tab/>
        <w:t>pozdravlja naložbe v umetno inteligenco v višini 1 milijona EUR; poziva k širši uporabi umetne inteligence, da bi povečali učinkovitost, pri tem pa ne pozabili na tveganja, med drugim glede etike in varstva podatkov; poudarja potencial umetne inteligence za racionalizacijo upravnih postopkov; poudarja, da mora uvajanje umetne inteligence uravnotežiti inovacije s potrebnimi zaščitnimi ukrepi; ugotavlja, da je treba razvoj umetne inteligence pozorno spremljati v skladu z načeli predsedstva, ki med drugim vključujejo temeljito oceno tveganja z uporabo novih tehnologij; poziva sekretariat, naj rešitve, kot so aplikacije in orodja, poslancem in osebju ponudi čim prej;</w:t>
      </w:r>
    </w:p>
    <w:p w14:paraId="5086F714" w14:textId="77777777" w:rsidR="00992943" w:rsidRPr="007061EE" w:rsidRDefault="00992943" w:rsidP="00371DA8">
      <w:pPr>
        <w:keepNext/>
        <w:widowControl/>
        <w:spacing w:after="240"/>
        <w:ind w:left="567" w:hanging="567"/>
        <w:rPr>
          <w:b/>
          <w:i/>
          <w:color w:val="000000"/>
        </w:rPr>
      </w:pPr>
      <w:r w:rsidRPr="007061EE">
        <w:rPr>
          <w:b/>
          <w:i/>
          <w:color w:val="000000"/>
        </w:rPr>
        <w:t>Zeleni prehod</w:t>
      </w:r>
    </w:p>
    <w:p w14:paraId="64C1A184" w14:textId="77777777" w:rsidR="00992943" w:rsidRPr="007061EE" w:rsidRDefault="00992943" w:rsidP="00371DA8">
      <w:pPr>
        <w:widowControl/>
        <w:spacing w:after="240"/>
        <w:ind w:left="567" w:hanging="567"/>
        <w:rPr>
          <w:color w:val="000000"/>
        </w:rPr>
      </w:pPr>
      <w:r w:rsidRPr="007061EE">
        <w:rPr>
          <w:color w:val="000000"/>
        </w:rPr>
        <w:t>15.</w:t>
      </w:r>
      <w:r w:rsidRPr="007061EE">
        <w:rPr>
          <w:color w:val="000000"/>
        </w:rPr>
        <w:tab/>
        <w:t>pozdravlja cilje Parlamenta v sistemu okoljskega upravljanja (EMAS) za obdobje 2025-2029; opozarja, da so naložbe v energetsko učinkovitost dober način za doseganje stroškovne učinkovitosti; je seznanjen, da je v načrtu prihodkov in odhodkov za leto 2026 predviden proračun v višini 8,45 milijona EUR za naložbe v energetsko učinkovitost in okolje, da bi še izboljšali okoljsko učinkovitost stavb; ugotavlja, da gre za 74-odstotno povečanje v primerjavi s proračunom za leto 2025; vendar priznava, da so ti okoljski ukrepi del proračunske vrstice za leto 2007 „Gradnja stavb in opremljanje prostorov“, katere skupni znesek se je leta 2026 v primerjavi z letom 2025 zmanjšal za 3,7 milijona EUR ;</w:t>
      </w:r>
    </w:p>
    <w:p w14:paraId="735E2A54" w14:textId="77777777" w:rsidR="00992943" w:rsidRPr="007061EE" w:rsidRDefault="00992943" w:rsidP="00371DA8">
      <w:pPr>
        <w:widowControl/>
        <w:spacing w:after="240"/>
        <w:ind w:left="567" w:hanging="567"/>
        <w:rPr>
          <w:color w:val="000000"/>
        </w:rPr>
      </w:pPr>
      <w:r w:rsidRPr="007061EE">
        <w:rPr>
          <w:color w:val="000000"/>
        </w:rPr>
        <w:t>16.</w:t>
      </w:r>
      <w:r w:rsidRPr="007061EE">
        <w:rPr>
          <w:color w:val="000000"/>
        </w:rPr>
        <w:tab/>
        <w:t>opozarja, da skoraj dve tretjini ogljičnega odtisa Parlamenta nastaneta zaradi prevoza ljudi; poziva k razumnemu zmanjšanju potovanj na seje, ki jih je mogoče učinkovito opraviti na daljavo ali hibridno, ter k prehodu na nizkoogljične alternative za vsa preostala potovanja, če to ne bo vplivalo na kakovost zakonodajnega in političnega dela;</w:t>
      </w:r>
    </w:p>
    <w:p w14:paraId="7E8ACF80" w14:textId="77777777" w:rsidR="00992943" w:rsidRPr="007061EE" w:rsidRDefault="00992943" w:rsidP="00371DA8">
      <w:pPr>
        <w:widowControl/>
        <w:spacing w:after="240"/>
        <w:ind w:left="567" w:hanging="567"/>
        <w:rPr>
          <w:color w:val="000000"/>
        </w:rPr>
      </w:pPr>
      <w:r w:rsidRPr="007061EE">
        <w:rPr>
          <w:color w:val="000000"/>
        </w:rPr>
        <w:t>17.</w:t>
      </w:r>
      <w:r w:rsidRPr="007061EE">
        <w:rPr>
          <w:color w:val="000000"/>
        </w:rPr>
        <w:tab/>
        <w:t>je seznanjen s predvidenim povečanjem cen emisijskih kuponov, za katere bi glede na sedanje ravni emisij za leto 2026 potrebovali 900</w:t>
      </w:r>
      <w:r w:rsidR="001D1AC6">
        <w:rPr>
          <w:color w:val="000000"/>
        </w:rPr>
        <w:t> </w:t>
      </w:r>
      <w:r w:rsidRPr="007061EE">
        <w:rPr>
          <w:color w:val="000000"/>
        </w:rPr>
        <w:t>000 EUR; poziva upravo, naj v skladu z načelom dobrega finančnega poslovodenja še naprej raje zmanjšuje emisije Parlamenta, kot pa da bi kupovala emisijske kupone; pozdravlja razširjeno ponudbo vlakov za službena potovanja v Strasbourg od julija 2025, kar je pozitiven korak k zmanjšanju emisij CO</w:t>
      </w:r>
      <w:r w:rsidRPr="0053668E">
        <w:rPr>
          <w:color w:val="000000"/>
          <w:vertAlign w:val="subscript"/>
        </w:rPr>
        <w:t>2</w:t>
      </w:r>
      <w:r w:rsidRPr="007061EE">
        <w:rPr>
          <w:color w:val="000000"/>
        </w:rPr>
        <w:t>;</w:t>
      </w:r>
    </w:p>
    <w:p w14:paraId="2E474C6D" w14:textId="77777777" w:rsidR="00992943" w:rsidRPr="007061EE" w:rsidRDefault="00992943" w:rsidP="00371DA8">
      <w:pPr>
        <w:widowControl/>
        <w:spacing w:after="240"/>
        <w:ind w:left="567" w:hanging="567"/>
        <w:rPr>
          <w:color w:val="000000"/>
        </w:rPr>
      </w:pPr>
      <w:r w:rsidRPr="007061EE">
        <w:rPr>
          <w:color w:val="000000"/>
        </w:rPr>
        <w:t>18.</w:t>
      </w:r>
      <w:r w:rsidRPr="007061EE">
        <w:rPr>
          <w:color w:val="000000"/>
        </w:rPr>
        <w:tab/>
        <w:t>je seznanjen, da je Parlament že začel nameščati fotovoltaične sončne panele, da bi povečal delež energije iz obnovljivih virov, proizvedene na kraju samem, in tako dosegel cilj 25 %. je seznanjen z odgovori generalnega sekretarja na načrt prihodkov in odhodkov Parlamenta za proračunsko leto 2024, v katerih je poudaril, da je bila leta 2022 izvedena študija o uporabi fotonapetostnih panelov na stavbah v Strasbourgu, ki je bila končana leta 2023, in da bodo v letu 2024 izvedene nadaljnje študije, da bi poiskali smiselne rešitve, zlasti za stavbo WEISS;</w:t>
      </w:r>
    </w:p>
    <w:p w14:paraId="004BACDF" w14:textId="77777777" w:rsidR="00992943" w:rsidRPr="007061EE" w:rsidRDefault="00992943" w:rsidP="00371DA8">
      <w:pPr>
        <w:spacing w:after="240"/>
        <w:ind w:left="567" w:hanging="567"/>
        <w:rPr>
          <w:b/>
          <w:i/>
          <w:color w:val="000000"/>
        </w:rPr>
      </w:pPr>
      <w:r w:rsidRPr="007061EE">
        <w:rPr>
          <w:b/>
          <w:i/>
          <w:color w:val="000000"/>
        </w:rPr>
        <w:t>Večjezičnost, komuniciranje in dezinformacije</w:t>
      </w:r>
    </w:p>
    <w:p w14:paraId="72338E1F" w14:textId="77777777" w:rsidR="00992943" w:rsidRPr="007061EE" w:rsidRDefault="00992943" w:rsidP="00371DA8">
      <w:pPr>
        <w:widowControl/>
        <w:spacing w:after="240"/>
        <w:ind w:left="567" w:hanging="567"/>
        <w:rPr>
          <w:color w:val="000000"/>
        </w:rPr>
      </w:pPr>
      <w:r w:rsidRPr="007061EE">
        <w:rPr>
          <w:color w:val="000000"/>
        </w:rPr>
        <w:t>19.</w:t>
      </w:r>
      <w:r w:rsidRPr="007061EE">
        <w:rPr>
          <w:color w:val="000000"/>
        </w:rPr>
        <w:tab/>
        <w:t>poudarja, da je večjezičnost osrednje načelo, ki ga Parlament upošteva pri delu; je seznanjen, da je za pomlad 2025 načrtovana obsežna revizija kodeksa večjezičnosti; poziva Parlament, naj po potrebi izkoristi pomemben tehnološki razvoj storitev, povezanih z večjezičnostjo, vključno z razvojem in uporabo umetne inteligence; poziva generalnega sekretarja, naj Odbor za proračun pravočasno obvesti o morebitnih proračunskih posledicah te revizije;</w:t>
      </w:r>
    </w:p>
    <w:p w14:paraId="3EE0346C" w14:textId="77777777" w:rsidR="00992943" w:rsidRPr="007061EE" w:rsidRDefault="00992943" w:rsidP="00371DA8">
      <w:pPr>
        <w:widowControl/>
        <w:spacing w:after="240"/>
        <w:ind w:left="567" w:hanging="567"/>
        <w:rPr>
          <w:color w:val="000000"/>
        </w:rPr>
      </w:pPr>
      <w:r w:rsidRPr="007061EE">
        <w:rPr>
          <w:color w:val="000000"/>
        </w:rPr>
        <w:t>20.</w:t>
      </w:r>
      <w:r w:rsidRPr="007061EE">
        <w:rPr>
          <w:color w:val="000000"/>
        </w:rPr>
        <w:tab/>
        <w:t>poudarja vlogo, ki jo imajo pisarne Evropskega parlamenta za stike pri boju proti tujemu vmešavanju in dezinformacijam; je v zvezi s tem seznanjen z delom pisarn Evropskega parlamenta za stike, ki na različne načine proaktivno promovirajo delo Parlamenta v svojih lokalnih jezikih; poudarja vlogo pisarne Evropskega parlamenta za stike v Združenem kraljestvu kot glavne kontaktne točke za državljane Unije, ki prebivajo v Združenem kraljestvu, saj jim posreduje informacije o Parlamentu in jih spodbuja k udeležbi na evropskih volitvah; poziva predsedstvo, naj začne v večjem obsegu pripravljati in širiti komunikacijsko gradivo na dostopen in vključujoč način;</w:t>
      </w:r>
    </w:p>
    <w:p w14:paraId="3A47F085" w14:textId="77777777" w:rsidR="00992943" w:rsidRPr="007061EE" w:rsidRDefault="00992943" w:rsidP="00371DA8">
      <w:pPr>
        <w:widowControl/>
        <w:spacing w:after="240"/>
        <w:ind w:left="567" w:hanging="567"/>
        <w:rPr>
          <w:color w:val="000000"/>
        </w:rPr>
      </w:pPr>
      <w:r w:rsidRPr="007061EE">
        <w:rPr>
          <w:color w:val="000000"/>
        </w:rPr>
        <w:t>21.</w:t>
      </w:r>
      <w:r w:rsidRPr="007061EE">
        <w:rPr>
          <w:color w:val="000000"/>
        </w:rPr>
        <w:tab/>
        <w:t>spominja na nizko stopnjo udeležbe mladih na nedavnih evropskih volitvah v nekaterih regijah Unije in na vlogo Parlamenta pri krepitvi državljanske vzgoje EU;</w:t>
      </w:r>
    </w:p>
    <w:p w14:paraId="74E2FD9F" w14:textId="77777777" w:rsidR="00992943" w:rsidRPr="007061EE" w:rsidRDefault="00992943" w:rsidP="00371DA8">
      <w:pPr>
        <w:widowControl/>
        <w:spacing w:after="240"/>
        <w:ind w:left="567" w:hanging="567"/>
        <w:rPr>
          <w:color w:val="000000"/>
        </w:rPr>
      </w:pPr>
      <w:r w:rsidRPr="007061EE">
        <w:rPr>
          <w:color w:val="000000"/>
        </w:rPr>
        <w:t>22.</w:t>
      </w:r>
      <w:r w:rsidRPr="007061EE">
        <w:rPr>
          <w:color w:val="000000"/>
        </w:rPr>
        <w:tab/>
        <w:t>opozarja na pomen programa Šole ambasadorke Evropskega parlamenta za spodbujanje dejavnega udejstvovanja mladih Evropejcev in programa usposabljanja za mlade novinarje, poimenovanega po Davidu Sassoliju, da bi med novinarji izboljšali razumevanje Unije in njenega delovanja, saj gre za najboljš</w:t>
      </w:r>
      <w:r w:rsidR="00474097">
        <w:rPr>
          <w:color w:val="000000"/>
        </w:rPr>
        <w:t>e</w:t>
      </w:r>
      <w:r w:rsidRPr="007061EE">
        <w:rPr>
          <w:color w:val="000000"/>
        </w:rPr>
        <w:t xml:space="preserve"> </w:t>
      </w:r>
      <w:r w:rsidR="00474097">
        <w:rPr>
          <w:color w:val="000000"/>
        </w:rPr>
        <w:t>sredstvo proti</w:t>
      </w:r>
      <w:r w:rsidR="00474097" w:rsidRPr="007061EE">
        <w:rPr>
          <w:color w:val="000000"/>
        </w:rPr>
        <w:t xml:space="preserve"> </w:t>
      </w:r>
      <w:r w:rsidRPr="007061EE">
        <w:rPr>
          <w:color w:val="000000"/>
        </w:rPr>
        <w:t>dezinformacijam glede na nedavne trende, ki kažejo zaskrbljujoč upad medijske svobode in neodvisnosti po vsej Uniji;</w:t>
      </w:r>
    </w:p>
    <w:p w14:paraId="4328BEC3" w14:textId="77777777" w:rsidR="00992943" w:rsidRPr="007061EE" w:rsidRDefault="00992943" w:rsidP="00371DA8">
      <w:pPr>
        <w:widowControl/>
        <w:spacing w:after="240"/>
        <w:ind w:left="567" w:hanging="567"/>
        <w:rPr>
          <w:color w:val="000000"/>
        </w:rPr>
      </w:pPr>
      <w:r w:rsidRPr="007061EE">
        <w:rPr>
          <w:color w:val="000000"/>
        </w:rPr>
        <w:t>23.</w:t>
      </w:r>
      <w:r w:rsidRPr="007061EE">
        <w:rPr>
          <w:color w:val="000000"/>
        </w:rPr>
        <w:tab/>
        <w:t>priznava, da so skupine obiskovalcev pomembno orodje za predstavitev dela poslancev državljanom; v zvezi s tem pozdravlja povečanje zgornjih meja in stroškovnih dejavnikov za izračun finančnega prispevka za povabljene obiskovalce od 1. januarja 2025 dalje;</w:t>
      </w:r>
      <w:r w:rsidRPr="007061EE">
        <w:t xml:space="preserve"> </w:t>
      </w:r>
      <w:r w:rsidRPr="007061EE">
        <w:rPr>
          <w:color w:val="000000"/>
        </w:rPr>
        <w:t>poziva predsedstvo, naj oceni učinek revidiranih pravil v zvezi s skupinami obiskovalcev na potne stroške, pri čemer naj upošteva nihanja na trgu in prepreči posredno geografsko diskriminacijo obiskovalcev; ugotavlja, da poslanci običajno ne izkoristijo okrog 15 % kvote za obiskovalce; poziva generalnega sekretarja, naj predsedstvu predlaga, da se neizkoriščena 15-odstotna kvota ponudi zainteresiranim poslancem; ugotavlja, da proračun za skupine obiskovalcev predstavlja 22 % celotnega proračuna generalnega direktorata za komuniciranje;</w:t>
      </w:r>
    </w:p>
    <w:p w14:paraId="0D2B1E60" w14:textId="77777777" w:rsidR="00992943" w:rsidRPr="007061EE" w:rsidRDefault="00992943" w:rsidP="00371DA8">
      <w:pPr>
        <w:widowControl/>
        <w:spacing w:after="240"/>
        <w:ind w:left="567" w:hanging="567"/>
        <w:rPr>
          <w:color w:val="000000"/>
        </w:rPr>
      </w:pPr>
      <w:r w:rsidRPr="007061EE">
        <w:rPr>
          <w:color w:val="000000"/>
        </w:rPr>
        <w:t>24.</w:t>
      </w:r>
      <w:r w:rsidRPr="007061EE">
        <w:rPr>
          <w:color w:val="000000"/>
        </w:rPr>
        <w:tab/>
        <w:t>je zaskrbljen zaradi notranjih pravil, ki urejajo skupine obiskovalcev poslancev Evropskega parlamenta, zaradi katerih morajo v nekaterih okoliščinah akreditirani parlamentarni pomočniki kriti 30 % vnaprejšnjih stroškov; poudarja, da so ta pravila nepraktična in da ustvarjajo finančno breme za parlamentarne pomočnike; je seznanjen z odgovori, ki jih je v zvezi z utemeljitvijo dvostopenjskega pristopa na načrt prihodkov in odhodkov Parlamenta za leto 2024 podal generalni sekretar; razume utemeljitev, vendar opozarja na vse večje izzive, ki jih to prinaša za akreditirane parlamentarne pomočnike, zlasti zaradi stalnega zaostrovanja pravil;</w:t>
      </w:r>
    </w:p>
    <w:p w14:paraId="4A39130E" w14:textId="77777777" w:rsidR="00992943" w:rsidRPr="007061EE" w:rsidRDefault="00992943" w:rsidP="00371DA8">
      <w:pPr>
        <w:widowControl/>
        <w:spacing w:after="240"/>
        <w:ind w:left="567" w:hanging="567"/>
        <w:rPr>
          <w:color w:val="000000"/>
        </w:rPr>
      </w:pPr>
      <w:r w:rsidRPr="007061EE">
        <w:rPr>
          <w:color w:val="000000"/>
        </w:rPr>
        <w:t>25.</w:t>
      </w:r>
      <w:r w:rsidRPr="007061EE">
        <w:rPr>
          <w:color w:val="000000"/>
        </w:rPr>
        <w:tab/>
        <w:t>poudarja, da je komuniciranje vse bolj zahtevno in da bi bilo treba politično komuniciranje izvajati na različne načine, tudi s sodelovanjem na različnih platformah družbenih medijev in drugih medijih; poudarja, da morajo politične skupine svoje sporočilo prenesti in posredovati vsem državam članicam kot ključno načelo dobro delujoče evropske demokracije;</w:t>
      </w:r>
    </w:p>
    <w:p w14:paraId="0A9CD32F" w14:textId="77777777" w:rsidR="00992943" w:rsidRPr="007061EE" w:rsidRDefault="00992943" w:rsidP="00371DA8">
      <w:pPr>
        <w:spacing w:after="240"/>
        <w:ind w:left="567" w:hanging="567"/>
        <w:rPr>
          <w:b/>
          <w:i/>
          <w:color w:val="000000"/>
        </w:rPr>
      </w:pPr>
      <w:r w:rsidRPr="007061EE">
        <w:rPr>
          <w:b/>
          <w:i/>
          <w:color w:val="000000"/>
        </w:rPr>
        <w:t>Infrastruktura</w:t>
      </w:r>
    </w:p>
    <w:p w14:paraId="3D5E7669" w14:textId="77777777" w:rsidR="00992943" w:rsidRPr="007061EE" w:rsidRDefault="00992943" w:rsidP="00371DA8">
      <w:pPr>
        <w:widowControl/>
        <w:spacing w:after="240"/>
        <w:ind w:left="567" w:hanging="567"/>
        <w:rPr>
          <w:color w:val="000000"/>
        </w:rPr>
      </w:pPr>
      <w:r w:rsidRPr="007061EE">
        <w:rPr>
          <w:color w:val="000000"/>
        </w:rPr>
        <w:t>26.</w:t>
      </w:r>
      <w:r w:rsidRPr="007061EE">
        <w:rPr>
          <w:color w:val="000000"/>
        </w:rPr>
        <w:tab/>
        <w:t>je seznanjen z novim pristopom k nepremičninam, in sicer da je Parlament po obdobju nakupovanja vstopil v obdobje konsolidacije, ob upoštevanju trajnostnosti, dostopnosti in mobilnosti poslancev in zaposlenih;</w:t>
      </w:r>
    </w:p>
    <w:p w14:paraId="6BF166CB" w14:textId="77777777" w:rsidR="00992943" w:rsidRPr="007061EE" w:rsidRDefault="00992943" w:rsidP="00371DA8">
      <w:pPr>
        <w:widowControl/>
        <w:spacing w:after="240"/>
        <w:ind w:left="567" w:hanging="567"/>
        <w:rPr>
          <w:color w:val="000000"/>
        </w:rPr>
      </w:pPr>
      <w:r w:rsidRPr="007061EE">
        <w:rPr>
          <w:color w:val="000000"/>
        </w:rPr>
        <w:t>27.</w:t>
      </w:r>
      <w:r w:rsidRPr="007061EE">
        <w:rPr>
          <w:color w:val="000000"/>
        </w:rPr>
        <w:tab/>
        <w:t>ugotavlja, da so v načrtu prihodkov in odhodkov za leto 2026 za študije in pripravljalna dela izvajalca v zvezi s prenovo stavbe SPAAK predvideni 4 milijoni EUR, skupni stroški pa so ocenjeni na 36 milijonov EUR; zato sklepa, da stroški prenove stavbe SPAAK v višini 32 milijonov EUR niso bili vključeni v načrt za leto 2026; ugotavlja, da namerava generalni sekretar te stroške kriti s prerazporeditvijo neizkoriščenih sredstev ali posojilom; poziva generalnega sekretarja, naj Odboru za proračun čim prej posreduje podrobne informacije o morebitnem posojilu za kritje teh stroškov v skladu s členom 272(6) finančne uredbe, pa tudi popoln načrt predvidenih del, vključno z navedbo stroškov; vztraja, da bi bilo treba jasno navesti tudi stroške, ki niso neposredno povezani z obnovitvenimi deli, in jih vključiti v proračun; ugotavlja, da so decembra 2024 neposredni stroški projekta SPAAK znašali 14,12 milijona EUR;</w:t>
      </w:r>
    </w:p>
    <w:p w14:paraId="270172FB" w14:textId="77777777" w:rsidR="00992943" w:rsidRPr="007061EE" w:rsidRDefault="00992943" w:rsidP="00371DA8">
      <w:pPr>
        <w:widowControl/>
        <w:spacing w:after="240"/>
        <w:ind w:left="567" w:hanging="567"/>
        <w:rPr>
          <w:color w:val="000000"/>
        </w:rPr>
      </w:pPr>
      <w:r w:rsidRPr="007061EE">
        <w:rPr>
          <w:color w:val="000000"/>
        </w:rPr>
        <w:t>28.</w:t>
      </w:r>
      <w:r w:rsidRPr="007061EE">
        <w:rPr>
          <w:color w:val="000000"/>
        </w:rPr>
        <w:tab/>
        <w:t>pozdravlja pilotni projekt GD INLO, s katerim bi odstranili legionelo iz cevovodnega sanitarnega sistema Parlamenta, in poudarja, da je edini učinkovit način za boj proti njenemu nadaljnjemu širjenju, da se temperatura vode v cevovodih za omejeno obdobje dvigne na 55 stopinj Celzija;</w:t>
      </w:r>
    </w:p>
    <w:p w14:paraId="7DA4DD1F" w14:textId="77777777" w:rsidR="00992943" w:rsidRPr="007061EE" w:rsidRDefault="00992943" w:rsidP="00371DA8">
      <w:pPr>
        <w:widowControl/>
        <w:spacing w:after="240"/>
        <w:ind w:left="567" w:hanging="567"/>
        <w:rPr>
          <w:color w:val="000000"/>
        </w:rPr>
      </w:pPr>
      <w:bookmarkStart w:id="8" w:name="_heading=h.30j0zll"/>
      <w:bookmarkEnd w:id="8"/>
      <w:r w:rsidRPr="007061EE">
        <w:rPr>
          <w:color w:val="000000"/>
        </w:rPr>
        <w:t>29.</w:t>
      </w:r>
      <w:r w:rsidRPr="007061EE">
        <w:rPr>
          <w:color w:val="000000"/>
        </w:rPr>
        <w:tab/>
        <w:t>ugotavlja, da bodo naložbe v središča Doživi Evropo leta 2026 predvidoma znašale 11,45 milijona EUR; je seznanjen s sklepom predsedstva iz novembra 2024, da bo revidiralo koncept središč Doživi Evropo, in pričakuje, da bo revidirani koncept stroškovno učinkovitejši in privlačnejši za obiskovalce; obžaluje, da v Bukarešti, Rigi, Madridu, Lizboni, Nikoziji, Valletti ali Vilni še vedno ni središča Doživi Evropo; poziva k ustanovitvi središč Doživi Evropo v vseh državah članicah, takoj ko bo pripravljen revidiran koncept; spominja, da naj bi se državljani v teh središčih bolje seznanili z delovanjem evropskih institucij in se poučili o naših skupnih vrednotah; zato ponovno poudarja, da so središča Doživi Evropo pomemben del stalnega sodelovanja Parlamenta z državljani Unije;</w:t>
      </w:r>
    </w:p>
    <w:p w14:paraId="38C3FB94" w14:textId="77777777" w:rsidR="00992943" w:rsidRPr="007061EE" w:rsidRDefault="00992943" w:rsidP="00371DA8">
      <w:pPr>
        <w:widowControl/>
        <w:spacing w:after="240"/>
        <w:ind w:left="567" w:hanging="567"/>
        <w:rPr>
          <w:color w:val="000000"/>
        </w:rPr>
      </w:pPr>
      <w:r w:rsidRPr="007061EE">
        <w:rPr>
          <w:color w:val="000000"/>
        </w:rPr>
        <w:t>30.</w:t>
      </w:r>
      <w:r w:rsidRPr="007061EE">
        <w:rPr>
          <w:color w:val="000000"/>
        </w:rPr>
        <w:tab/>
        <w:t>ugotavlja, da za odprtje pisarn Parlamenta v Moldaviji in na Zahodnem Balkanu niso potrebna dodatna sredstva, saj bodo delovale v prostorih ESZD; poudarja, kako pomembna je navzočnost Parlamenta v teh državah kot znamenje evropske solidarnosti in zavezanosti Parlamenta pristopnemu procesu;</w:t>
      </w:r>
    </w:p>
    <w:p w14:paraId="5197266B" w14:textId="77777777" w:rsidR="00992943" w:rsidRPr="007061EE" w:rsidRDefault="00992943" w:rsidP="00371DA8">
      <w:pPr>
        <w:widowControl/>
        <w:spacing w:after="240"/>
        <w:ind w:left="567" w:hanging="567"/>
        <w:rPr>
          <w:color w:val="000000"/>
        </w:rPr>
      </w:pPr>
      <w:r w:rsidRPr="007061EE">
        <w:rPr>
          <w:color w:val="000000"/>
        </w:rPr>
        <w:t>31.</w:t>
      </w:r>
      <w:r w:rsidRPr="007061EE">
        <w:rPr>
          <w:color w:val="000000"/>
        </w:rPr>
        <w:tab/>
        <w:t>je seznanjen s predčasnim prenehanjem pogodbe z izvajalcem v vrtcu Crèche Wayenberg, saj so bile zoper njega podane resne obtožbe; pozdravlja sporazum z novim ponudnikom, ki ponuja boljše delovne pogoje za zaposlene v vrtcu in boljšo kakovost storitev za otroke; se zaveda, da bo treba zaradi tega povečati proračun za ta namen, vendar poudarja, da bi morali biti dostojni delovni pogoji za zunanje uslužbence, kjer je to ustrezno, vedno prednostni vidik pri javnih naročilih Parlamenta;</w:t>
      </w:r>
    </w:p>
    <w:p w14:paraId="2EA9C5EB" w14:textId="77777777" w:rsidR="00992943" w:rsidRPr="007061EE" w:rsidRDefault="00992943" w:rsidP="00371DA8">
      <w:pPr>
        <w:widowControl/>
        <w:spacing w:after="240"/>
        <w:ind w:left="567" w:hanging="567"/>
        <w:rPr>
          <w:color w:val="000000"/>
        </w:rPr>
      </w:pPr>
      <w:r w:rsidRPr="007061EE">
        <w:rPr>
          <w:color w:val="000000"/>
        </w:rPr>
        <w:t>32.</w:t>
      </w:r>
      <w:r w:rsidRPr="007061EE">
        <w:rPr>
          <w:color w:val="000000"/>
        </w:rPr>
        <w:tab/>
        <w:t>ponovno poudarja, da so v prostorih Parlamenta potrebne visokokakovostne sobe za dojenje, in poziva pristojne službe, naj posodobijo sedanje zmogljivosti v smislu opreme, prostora in dostopnosti, da bodo otrokom prijazne; poziva, da se izvede ocena učinka in potreb po odprtju družinske sobe po zgledu prostorov v Strasbourgu na sedežu Parlamenta v Bruslju za otroke poslancev, ki tam nimajo stalnega prebivališča;</w:t>
      </w:r>
    </w:p>
    <w:p w14:paraId="421A8331" w14:textId="77777777" w:rsidR="00992943" w:rsidRPr="007061EE" w:rsidRDefault="00992943" w:rsidP="00371DA8">
      <w:pPr>
        <w:spacing w:after="240"/>
        <w:ind w:left="567" w:hanging="567"/>
        <w:rPr>
          <w:b/>
          <w:i/>
          <w:color w:val="000000"/>
        </w:rPr>
      </w:pPr>
      <w:r w:rsidRPr="007061EE">
        <w:rPr>
          <w:b/>
          <w:i/>
          <w:color w:val="000000"/>
        </w:rPr>
        <w:t>Drugo</w:t>
      </w:r>
    </w:p>
    <w:p w14:paraId="0E27B8D5" w14:textId="77777777" w:rsidR="00992943" w:rsidRPr="007061EE" w:rsidRDefault="00992943" w:rsidP="00371DA8">
      <w:pPr>
        <w:spacing w:after="240"/>
        <w:ind w:left="567" w:hanging="567"/>
        <w:rPr>
          <w:color w:val="000000"/>
        </w:rPr>
      </w:pPr>
      <w:r w:rsidRPr="007061EE">
        <w:rPr>
          <w:color w:val="000000"/>
        </w:rPr>
        <w:t>33.</w:t>
      </w:r>
      <w:r w:rsidRPr="007061EE">
        <w:rPr>
          <w:color w:val="000000"/>
        </w:rPr>
        <w:tab/>
        <w:t>ponavlja svoj poziv, večkrat potrjen na plenarnem zasedanju, naj ustrezna telesa začnejo iskati rešitev, da bodo lahko poslanci uveljavljali svojo pravico do glasovanja na daljavo med porodniškim ali očetovskim dopustom ali potrjeno dolgotrajno boleznijo, pri čemer naj izkoristijo izkušnje o tehničnih vidikih tega načina glasovanja, pridobljene med pandemijo;</w:t>
      </w:r>
    </w:p>
    <w:p w14:paraId="24EA888A" w14:textId="77777777" w:rsidR="00992943" w:rsidRPr="007061EE" w:rsidRDefault="00992943" w:rsidP="00371DA8">
      <w:pPr>
        <w:spacing w:after="240"/>
        <w:ind w:left="567" w:hanging="567"/>
        <w:rPr>
          <w:color w:val="000000"/>
        </w:rPr>
      </w:pPr>
      <w:r w:rsidRPr="007061EE">
        <w:rPr>
          <w:color w:val="000000"/>
        </w:rPr>
        <w:t>34.</w:t>
      </w:r>
      <w:r w:rsidRPr="007061EE">
        <w:rPr>
          <w:color w:val="000000"/>
        </w:rPr>
        <w:tab/>
        <w:t>znova poziva generalnega sekretarja, naj poudari temeljno načelo, po katerem bi moralo zaposlovanje v celoti temeljiti na kompetencah, hkrati pa je treba ohraniti geografsko uravnoteženost med vsemi državami članicami na vseh kadrovskih ravneh; poziva Parlament, naj ustvari lastne zmogljivosti za obveščanje in stike, da bi k natečajem pritegnil kakovostne kandidate, ki jih potrebuje v smislu profila, starosti, spola in narodnosti, zlasti iz premalo zastopanih držav; poudarja, da je pravična geografska zastopanost bistvena za spodbujanje resnično evropske javne uprave; ugotavlja, da je Parlament dosledno sprejemal ukrepe v podporo temu cilju, vključno z organizacijo natečajev za posamezne države, pri čemer je ohranil strog izbirni postopek, ki temelji na dosežkih;</w:t>
      </w:r>
    </w:p>
    <w:p w14:paraId="5484E2B5" w14:textId="77777777" w:rsidR="00992943" w:rsidRPr="007061EE" w:rsidRDefault="00992943" w:rsidP="00371DA8">
      <w:pPr>
        <w:spacing w:after="240"/>
        <w:ind w:left="567" w:hanging="567"/>
        <w:rPr>
          <w:color w:val="000000"/>
        </w:rPr>
      </w:pPr>
      <w:r w:rsidRPr="007061EE">
        <w:rPr>
          <w:color w:val="000000"/>
        </w:rPr>
        <w:t>35.</w:t>
      </w:r>
      <w:r w:rsidRPr="007061EE">
        <w:rPr>
          <w:color w:val="000000"/>
        </w:rPr>
        <w:tab/>
        <w:t>meni, da bi moral biti Parlament kot delodajalec in javna institucija zgled za spoštovanje pravic invalidov; pozdravlja politiko, s katero želi Parlament poskrbeti, da bodo lahko invalidi popolnoma neodvisno uporabljali parlamentarne stavbe, ter podpira potrebne nadaljnje ukrepe in prilagoditve v zvezi s tem; ugotavlja, da je v ta namen predviden proračun v višini 3,7 milijona EUR;</w:t>
      </w:r>
    </w:p>
    <w:p w14:paraId="08FA2C06" w14:textId="77777777" w:rsidR="00992943" w:rsidRPr="007061EE" w:rsidRDefault="00992943" w:rsidP="00371DA8">
      <w:pPr>
        <w:spacing w:after="240"/>
        <w:ind w:left="567" w:hanging="567"/>
        <w:rPr>
          <w:color w:val="000000"/>
        </w:rPr>
      </w:pPr>
      <w:r w:rsidRPr="007061EE">
        <w:rPr>
          <w:color w:val="000000"/>
        </w:rPr>
        <w:t>36.</w:t>
      </w:r>
      <w:r w:rsidRPr="007061EE">
        <w:rPr>
          <w:color w:val="000000"/>
        </w:rPr>
        <w:tab/>
        <w:t>poudarja, da bi lahko Parlament z enim samim sedežem zmanjšal finančne in okoljske stroške; spominja, da naj bi bil v skladu s Pogodbo o Evropski uniji sedež Evropskega parlamenta v Strasbourgu; ugotavlja, da bi bilo treba za uvedbo trajnih sprememb to pogodbo spremeniti, za kar je potrebno soglasje;</w:t>
      </w:r>
    </w:p>
    <w:p w14:paraId="007795BC" w14:textId="77777777" w:rsidR="00992943" w:rsidRPr="007061EE" w:rsidRDefault="00992943" w:rsidP="00371DA8">
      <w:pPr>
        <w:spacing w:after="240"/>
        <w:ind w:left="567" w:hanging="567"/>
        <w:rPr>
          <w:color w:val="000000"/>
        </w:rPr>
      </w:pPr>
      <w:r w:rsidRPr="007061EE">
        <w:t>37.</w:t>
      </w:r>
      <w:r w:rsidRPr="007061EE">
        <w:tab/>
      </w:r>
      <w:r w:rsidRPr="007061EE">
        <w:rPr>
          <w:color w:val="000000"/>
        </w:rPr>
        <w:t xml:space="preserve">ugotavlja, da stroški službenih potovanj poslancev in uslužbencev v proračunu Parlamenta znašajo 116 milijonov EUR; poziva organe Parlamenta, naj razmislijo o praktični ureditvi službenih potovanj ter o reviziji pravil in te ureditve, da bi še naprej izboljševali naravo misij ter zmanjševali s tem povezane finančne in okoljske stroške; </w:t>
      </w:r>
      <w:r w:rsidRPr="007061EE">
        <w:t>spodbuja poslance, naj uporabljajo prevozna sredstva z nizkimi ogljičnimi emisijami, in se v zvezi s tem zavzema za odgovorno in premišljeno uporabo najugodnejših poletov in za prednostno potovanje z vlakom, kadar je to izvedljivo;</w:t>
      </w:r>
    </w:p>
    <w:p w14:paraId="06B7FF94" w14:textId="77777777" w:rsidR="00992943" w:rsidRPr="007061EE" w:rsidRDefault="00992943" w:rsidP="00371DA8">
      <w:pPr>
        <w:spacing w:after="240"/>
        <w:ind w:left="567" w:hanging="567"/>
        <w:rPr>
          <w:color w:val="000000"/>
        </w:rPr>
      </w:pPr>
      <w:r w:rsidRPr="007061EE">
        <w:rPr>
          <w:color w:val="000000"/>
        </w:rPr>
        <w:t>38.</w:t>
      </w:r>
      <w:r w:rsidRPr="007061EE">
        <w:rPr>
          <w:color w:val="000000"/>
        </w:rPr>
        <w:tab/>
        <w:t>je seznanjen, da člen 46(2) izvedbenih ukrepov v zvezi s statutom poslancev Evropskega parlamenta omogoča kritje dodatnih stroškov za parlamentarno pomoč z nadomestilom splošnih stroškov; poziva upravo Parlamenta, naj sprejme potrebne ukrepe, da bodo lahko poslanci nadomestilo splošnih stroškov uporabljali za kritje stroškov službenih potovanj akreditiranih parlamentarnih pomočnikov; poudarja, da bi s takim ukrepom krili naraščajoče stroške v pisarnah poslancev, hkrati pa ravnali proračunsko nevtralno;</w:t>
      </w:r>
    </w:p>
    <w:p w14:paraId="5BD47FAC" w14:textId="77777777" w:rsidR="00992943" w:rsidRDefault="00992943" w:rsidP="00371DA8">
      <w:pPr>
        <w:spacing w:after="240"/>
        <w:ind w:left="567" w:hanging="567"/>
        <w:rPr>
          <w:color w:val="000000"/>
        </w:rPr>
      </w:pPr>
      <w:r w:rsidRPr="007061EE">
        <w:rPr>
          <w:color w:val="000000"/>
        </w:rPr>
        <w:t>39.</w:t>
      </w:r>
      <w:r w:rsidRPr="007061EE">
        <w:rPr>
          <w:color w:val="000000"/>
        </w:rPr>
        <w:tab/>
        <w:t>poziva predsedstvo, naj nadomestila splošnih stroškov ne indeksira in naj ga ne dodeljuje nekdanjim poslancem ter tako omogoči znatne prihranke pri zakonsko predpisanih stroških;</w:t>
      </w:r>
    </w:p>
    <w:p w14:paraId="0232C397" w14:textId="77777777" w:rsidR="00435A9E" w:rsidRPr="00435A9E" w:rsidRDefault="00435A9E" w:rsidP="00371DA8">
      <w:pPr>
        <w:spacing w:after="240"/>
        <w:ind w:left="567" w:hanging="567"/>
        <w:rPr>
          <w:color w:val="000000"/>
        </w:rPr>
      </w:pPr>
      <w:r>
        <w:rPr>
          <w:color w:val="000000"/>
        </w:rPr>
        <w:t>40.</w:t>
      </w:r>
      <w:r>
        <w:rPr>
          <w:color w:val="000000"/>
        </w:rPr>
        <w:tab/>
      </w:r>
      <w:r w:rsidRPr="00C63ADC">
        <w:t>poziva predsedstvo, naj pregleda pravila in uvede obdobje mirovanja za nekdanje poslance, v katerem ne bodo smeli opravljati dejavnosti lobiranja ali zastopanja interesov v Parlamentu in ki bo enako dolgo kot obdobje, v katerem prejemajo prehodno nadomestilo;</w:t>
      </w:r>
    </w:p>
    <w:p w14:paraId="70862868" w14:textId="7F2DDB95" w:rsidR="00992943" w:rsidRPr="007061EE" w:rsidRDefault="00435A9E" w:rsidP="00371DA8">
      <w:pPr>
        <w:spacing w:after="240"/>
        <w:ind w:left="567" w:hanging="567"/>
        <w:rPr>
          <w:color w:val="000000"/>
        </w:rPr>
      </w:pPr>
      <w:r w:rsidRPr="007061EE">
        <w:rPr>
          <w:color w:val="000000"/>
        </w:rPr>
        <w:t>4</w:t>
      </w:r>
      <w:r>
        <w:rPr>
          <w:color w:val="000000"/>
        </w:rPr>
        <w:t>1</w:t>
      </w:r>
      <w:r w:rsidR="00992943" w:rsidRPr="007061EE">
        <w:rPr>
          <w:color w:val="000000"/>
        </w:rPr>
        <w:t>.</w:t>
      </w:r>
      <w:r w:rsidR="00992943" w:rsidRPr="007061EE">
        <w:rPr>
          <w:color w:val="000000"/>
        </w:rPr>
        <w:tab/>
      </w:r>
      <w:r w:rsidRPr="00C63ADC">
        <w:rPr>
          <w:sz w:val="23"/>
        </w:rPr>
        <w:t xml:space="preserve">opozarja, da Parlament od leta 2018 na plenarnem zasedanju dosledno glasuje o odpravi splošne prepovedi za akreditirane parlamentarne pomočnike, ki sodelujejo v uradnih delegacijah in </w:t>
      </w:r>
      <w:r w:rsidR="00CE50AD">
        <w:rPr>
          <w:sz w:val="23"/>
        </w:rPr>
        <w:t>službenih potovanjih</w:t>
      </w:r>
      <w:r w:rsidRPr="00C63ADC">
        <w:rPr>
          <w:sz w:val="23"/>
        </w:rPr>
        <w:t>; obžaluje, da</w:t>
      </w:r>
      <w:r w:rsidRPr="00C528F2">
        <w:rPr>
          <w:sz w:val="23"/>
        </w:rPr>
        <w:t xml:space="preserve"> </w:t>
      </w:r>
      <w:r w:rsidR="00992943" w:rsidRPr="00C528F2">
        <w:rPr>
          <w:color w:val="000000"/>
        </w:rPr>
        <w:t>sklepi konference predsednikov iz marca 2025 o izvedbenih določbah, ki urejajo službene poti zunaj treh krajev dela Evropskega parlamenta</w:t>
      </w:r>
      <w:r w:rsidRPr="00C528F2">
        <w:rPr>
          <w:color w:val="000000"/>
        </w:rPr>
        <w:t xml:space="preserve"> </w:t>
      </w:r>
      <w:r w:rsidRPr="00C63ADC">
        <w:rPr>
          <w:sz w:val="23"/>
        </w:rPr>
        <w:t>niso v skladu s pozivom Parlamenta; vztraja pri</w:t>
      </w:r>
      <w:bookmarkStart w:id="9" w:name="_GoBack"/>
      <w:bookmarkEnd w:id="9"/>
      <w:r w:rsidRPr="00C63ADC">
        <w:rPr>
          <w:sz w:val="23"/>
        </w:rPr>
        <w:t xml:space="preserve"> svojem stališču, da bi bilo treba akreditiranim parlamentarnim pomočnikom pod določenimi pogoji dovoliti, da spremljajo poslance na uradnih delegacijah in </w:t>
      </w:r>
      <w:r w:rsidR="00CE50AD">
        <w:rPr>
          <w:sz w:val="23"/>
        </w:rPr>
        <w:t>službenih potovanjih</w:t>
      </w:r>
      <w:r w:rsidRPr="00C63ADC">
        <w:rPr>
          <w:sz w:val="23"/>
        </w:rPr>
        <w:t>; poziva svoje ustrezne organe, naj spremenijo ustrezne člene svojih notranjih pravil, da bi brez nadaljnjega odlašanja omogočili sodelovanje akreditiranih parlamentarnih pomočnikov na uradnih službenih potovanjih in delegacijah zunaj treh krajev dela Parlamenta</w:t>
      </w:r>
      <w:r w:rsidR="00992943" w:rsidRPr="007061EE">
        <w:rPr>
          <w:color w:val="000000"/>
        </w:rPr>
        <w:t>;</w:t>
      </w:r>
    </w:p>
    <w:p w14:paraId="65C91298" w14:textId="1D4DEDE6" w:rsidR="00992943" w:rsidRPr="007061EE" w:rsidRDefault="00435A9E" w:rsidP="00371DA8">
      <w:pPr>
        <w:spacing w:after="240"/>
        <w:ind w:left="567" w:hanging="567"/>
        <w:rPr>
          <w:color w:val="000000"/>
        </w:rPr>
      </w:pPr>
      <w:r w:rsidRPr="007061EE">
        <w:rPr>
          <w:color w:val="000000"/>
        </w:rPr>
        <w:t>4</w:t>
      </w:r>
      <w:r>
        <w:rPr>
          <w:color w:val="000000"/>
        </w:rPr>
        <w:t>2</w:t>
      </w:r>
      <w:r w:rsidR="00992943" w:rsidRPr="007061EE">
        <w:rPr>
          <w:color w:val="000000"/>
        </w:rPr>
        <w:t>.</w:t>
      </w:r>
      <w:r w:rsidR="00992943" w:rsidRPr="007061EE">
        <w:rPr>
          <w:color w:val="000000"/>
        </w:rPr>
        <w:tab/>
        <w:t>pozdravlja delo odbora akreditiranih parlamentarnih pomočnikov, ki zastopa približno 2000 parlamentarnih pomočnikov, katerih delo je ključno za nemoten potek vsakodnevnih dejavnosti poslanca; je seznanjen, da je bilo temu odboru namenjenih 10</w:t>
      </w:r>
      <w:r w:rsidR="001D1AC6">
        <w:rPr>
          <w:color w:val="000000"/>
        </w:rPr>
        <w:t> </w:t>
      </w:r>
      <w:r w:rsidR="00992943" w:rsidRPr="007061EE">
        <w:rPr>
          <w:color w:val="000000"/>
        </w:rPr>
        <w:t>000 EUR, da bo lahko izpolnil svojo vlogo in da bo na voljo dovolj denarja za učinkovito podporo in ustrezno zastopanje akreditiranih parlamentarnih pomočnikov;</w:t>
      </w:r>
    </w:p>
    <w:p w14:paraId="6DDB48E0" w14:textId="51AC5351" w:rsidR="00992943" w:rsidRPr="007061EE" w:rsidRDefault="00435A9E" w:rsidP="00371DA8">
      <w:pPr>
        <w:widowControl/>
        <w:spacing w:after="240"/>
        <w:ind w:left="567" w:hanging="567"/>
        <w:rPr>
          <w:color w:val="000000"/>
        </w:rPr>
      </w:pPr>
      <w:r w:rsidRPr="007061EE">
        <w:rPr>
          <w:color w:val="000000"/>
        </w:rPr>
        <w:t>4</w:t>
      </w:r>
      <w:r>
        <w:rPr>
          <w:color w:val="000000"/>
        </w:rPr>
        <w:t>3</w:t>
      </w:r>
      <w:r w:rsidR="00992943" w:rsidRPr="007061EE">
        <w:rPr>
          <w:color w:val="000000"/>
        </w:rPr>
        <w:t>.</w:t>
      </w:r>
      <w:r w:rsidR="00992943" w:rsidRPr="007061EE">
        <w:rPr>
          <w:color w:val="000000"/>
        </w:rPr>
        <w:tab/>
        <w:t>pozdravlja izjemno 10-odstotno povečanje štipendij za praktikante v letu 2026, za kar je bil v proračunu za leto 2026 predviden 1 milijon EUR, da bodo lažje krili naraščajoče stanovanjske stroške v Bruslju in Luxembourgu;</w:t>
      </w:r>
    </w:p>
    <w:p w14:paraId="1087BCA7" w14:textId="5B051E32" w:rsidR="00992943" w:rsidRDefault="00435A9E" w:rsidP="00371DA8">
      <w:pPr>
        <w:widowControl/>
        <w:spacing w:after="240"/>
        <w:ind w:left="567" w:hanging="567"/>
        <w:rPr>
          <w:color w:val="000000"/>
        </w:rPr>
      </w:pPr>
      <w:r w:rsidRPr="007061EE">
        <w:rPr>
          <w:color w:val="000000"/>
        </w:rPr>
        <w:t>4</w:t>
      </w:r>
      <w:r>
        <w:rPr>
          <w:color w:val="000000"/>
        </w:rPr>
        <w:t>4</w:t>
      </w:r>
      <w:r w:rsidR="00992943" w:rsidRPr="007061EE">
        <w:rPr>
          <w:color w:val="000000"/>
        </w:rPr>
        <w:t>.</w:t>
      </w:r>
      <w:r w:rsidR="00992943" w:rsidRPr="007061EE">
        <w:rPr>
          <w:color w:val="000000"/>
        </w:rPr>
        <w:tab/>
        <w:t>pričakuje, da bodo pristojna telesa zahteve, o katerih se bo glasovalo na plenarnem zasedanju, upoštevala prednostno;</w:t>
      </w:r>
    </w:p>
    <w:p w14:paraId="425D0F23" w14:textId="77777777" w:rsidR="00EA24A2" w:rsidRDefault="00EA24A2" w:rsidP="00EA24A2">
      <w:pPr>
        <w:pStyle w:val="NormalHanging12a"/>
        <w:widowControl/>
        <w:ind w:left="0" w:firstLine="0"/>
        <w:jc w:val="center"/>
      </w:pPr>
      <w:r>
        <w:t>°</w:t>
      </w:r>
    </w:p>
    <w:p w14:paraId="071A7B99" w14:textId="77777777" w:rsidR="00EA24A2" w:rsidRPr="007061EE" w:rsidRDefault="00EA24A2" w:rsidP="00EA24A2">
      <w:pPr>
        <w:pStyle w:val="NormalHanging12a"/>
        <w:widowControl/>
        <w:ind w:left="0" w:firstLine="0"/>
        <w:jc w:val="center"/>
        <w:rPr>
          <w:color w:val="000000"/>
        </w:rPr>
      </w:pPr>
      <w:r>
        <w:t>°     °</w:t>
      </w:r>
    </w:p>
    <w:p w14:paraId="1E0453CE" w14:textId="6E6440D9" w:rsidR="00992943" w:rsidRDefault="00435A9E" w:rsidP="00371DA8">
      <w:pPr>
        <w:pStyle w:val="NormalHanging12a"/>
      </w:pPr>
      <w:r w:rsidRPr="007061EE">
        <w:t>4</w:t>
      </w:r>
      <w:r>
        <w:t>5</w:t>
      </w:r>
      <w:r w:rsidR="00992943" w:rsidRPr="007061EE">
        <w:t>.</w:t>
      </w:r>
      <w:r w:rsidR="00992943" w:rsidRPr="007061EE">
        <w:tab/>
        <w:t>sprejme načrt prihodkov in odhodkov za proračunsko leto 2026;</w:t>
      </w:r>
    </w:p>
    <w:p w14:paraId="270FDAA8" w14:textId="1718B920" w:rsidR="00992943" w:rsidRPr="007061EE" w:rsidRDefault="00435A9E" w:rsidP="00371DA8">
      <w:pPr>
        <w:pStyle w:val="NormalHanging12a"/>
      </w:pPr>
      <w:r w:rsidRPr="007061EE">
        <w:t>4</w:t>
      </w:r>
      <w:r>
        <w:t>6</w:t>
      </w:r>
      <w:r w:rsidR="00992943" w:rsidRPr="007061EE">
        <w:t>.</w:t>
      </w:r>
      <w:r w:rsidR="00992943" w:rsidRPr="007061EE">
        <w:tab/>
        <w:t xml:space="preserve">naroči svoji predsednici, naj to resolucijo </w:t>
      </w:r>
      <w:r w:rsidR="00EA24A2">
        <w:t>ter</w:t>
      </w:r>
      <w:r w:rsidR="00992943" w:rsidRPr="007061EE">
        <w:t xml:space="preserve"> načrt prihodkov in odhodkov posreduje Svetu in Komisiji.</w:t>
      </w:r>
    </w:p>
    <w:sectPr w:rsidR="00992943" w:rsidRPr="007061EE" w:rsidSect="007061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13499" w14:textId="77777777" w:rsidR="00AB2D78" w:rsidRPr="007061EE" w:rsidRDefault="00AB2D78">
      <w:r w:rsidRPr="007061EE">
        <w:separator/>
      </w:r>
    </w:p>
  </w:endnote>
  <w:endnote w:type="continuationSeparator" w:id="0">
    <w:p w14:paraId="2D67CAE6" w14:textId="77777777" w:rsidR="00AB2D78" w:rsidRPr="007061EE" w:rsidRDefault="00AB2D78">
      <w:r w:rsidRPr="007061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8D20" w14:textId="77777777" w:rsidR="00064002" w:rsidRPr="007061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561A7" w14:textId="77777777" w:rsidR="00064002" w:rsidRPr="007061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40A08" w14:textId="77777777" w:rsidR="00064002" w:rsidRPr="007061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A6CE1" w14:textId="77777777" w:rsidR="00AB2D78" w:rsidRPr="007061EE" w:rsidRDefault="00AB2D78">
      <w:r w:rsidRPr="007061EE">
        <w:separator/>
      </w:r>
    </w:p>
  </w:footnote>
  <w:footnote w:type="continuationSeparator" w:id="0">
    <w:p w14:paraId="161C80C6" w14:textId="77777777" w:rsidR="00AB2D78" w:rsidRPr="007061EE" w:rsidRDefault="00AB2D78">
      <w:r w:rsidRPr="007061EE">
        <w:continuationSeparator/>
      </w:r>
    </w:p>
  </w:footnote>
  <w:footnote w:id="1">
    <w:p w14:paraId="52E42DC0"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L 433 I, 22.12.2020, str. 11, ELI:</w:t>
      </w:r>
      <w:r w:rsidRPr="007061EE">
        <w:rPr>
          <w:color w:val="000000"/>
        </w:rPr>
        <w:t xml:space="preserve"> </w:t>
      </w:r>
      <w:hyperlink r:id="rId1" w:history="1">
        <w:r w:rsidRPr="007061EE">
          <w:rPr>
            <w:rStyle w:val="Hyperlink"/>
          </w:rPr>
          <w:t>http://data.europa.eu/eli/reg/2020/2093/oj</w:t>
        </w:r>
      </w:hyperlink>
      <w:r w:rsidRPr="007061EE">
        <w:t>.</w:t>
      </w:r>
    </w:p>
  </w:footnote>
  <w:footnote w:id="2">
    <w:p w14:paraId="16BBFA04"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C 444 I, 22.12.2020, str. 4.</w:t>
      </w:r>
    </w:p>
  </w:footnote>
  <w:footnote w:id="3">
    <w:p w14:paraId="44732812"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C 445, 29.10.2021, str. 252.</w:t>
      </w:r>
    </w:p>
  </w:footnote>
  <w:footnote w:id="4">
    <w:p w14:paraId="10D5125C" w14:textId="77777777" w:rsidR="00992943" w:rsidRPr="007061EE" w:rsidRDefault="00992943" w:rsidP="007061EE">
      <w:pPr>
        <w:ind w:left="567" w:hanging="567"/>
      </w:pPr>
      <w:r w:rsidRPr="007061EE">
        <w:rPr>
          <w:rStyle w:val="FootnoteReference"/>
          <w:rFonts w:eastAsiaTheme="majorEastAsia"/>
        </w:rPr>
        <w:footnoteRef/>
      </w:r>
      <w:r w:rsidR="007061EE" w:rsidRPr="007061EE">
        <w:t xml:space="preserve"> </w:t>
      </w:r>
      <w:r w:rsidR="007061EE" w:rsidRPr="007061EE">
        <w:tab/>
      </w:r>
      <w:r w:rsidRPr="007061EE">
        <w:t xml:space="preserve">UL L 325, 20.12.2022, str. 11, ELI: </w:t>
      </w:r>
      <w:hyperlink r:id="rId2" w:history="1">
        <w:r w:rsidRPr="007061EE">
          <w:rPr>
            <w:rStyle w:val="Hyperlink"/>
          </w:rPr>
          <w:t>http://data.europa.eu/eli/reg/2022/2496/oj</w:t>
        </w:r>
      </w:hyperlink>
      <w:r w:rsidRPr="007061EE">
        <w:t>.</w:t>
      </w:r>
    </w:p>
  </w:footnote>
  <w:footnote w:id="5">
    <w:p w14:paraId="592E0267" w14:textId="77777777" w:rsidR="00992943" w:rsidRPr="007061EE" w:rsidRDefault="00992943" w:rsidP="007061EE">
      <w:pPr>
        <w:ind w:left="567" w:hanging="567"/>
      </w:pPr>
      <w:r w:rsidRPr="007061EE">
        <w:rPr>
          <w:rStyle w:val="FootnoteReference"/>
        </w:rPr>
        <w:footnoteRef/>
      </w:r>
      <w:r w:rsidR="007061EE" w:rsidRPr="007061EE">
        <w:t xml:space="preserve"> </w:t>
      </w:r>
      <w:r w:rsidR="007061EE" w:rsidRPr="007061EE">
        <w:tab/>
      </w:r>
      <w:r w:rsidRPr="007061EE">
        <w:t xml:space="preserve">UL L, 2024/765, 29.2.2024, ELI: </w:t>
      </w:r>
      <w:hyperlink r:id="rId3" w:history="1">
        <w:r w:rsidRPr="007061EE">
          <w:rPr>
            <w:rStyle w:val="Hyperlink"/>
          </w:rPr>
          <w:t>http://data.europa.eu/eli/reg/2024/765/oj</w:t>
        </w:r>
      </w:hyperlink>
      <w:r w:rsidRPr="007061EE">
        <w:t>.</w:t>
      </w:r>
    </w:p>
  </w:footnote>
  <w:footnote w:id="6">
    <w:p w14:paraId="551EFEFC" w14:textId="77777777" w:rsidR="00992943" w:rsidRPr="007061EE" w:rsidRDefault="00992943" w:rsidP="007061EE">
      <w:pPr>
        <w:ind w:left="567" w:hanging="567"/>
        <w:rPr>
          <w:color w:val="000000"/>
        </w:rPr>
      </w:pPr>
      <w:r w:rsidRPr="00435A9E">
        <w:rPr>
          <w:rStyle w:val="FootnoteReference"/>
        </w:rPr>
        <w:footnoteRef/>
      </w:r>
      <w:r w:rsidR="007061EE" w:rsidRPr="00435A9E">
        <w:t xml:space="preserve"> </w:t>
      </w:r>
      <w:r w:rsidR="007061EE" w:rsidRPr="007061EE">
        <w:tab/>
      </w:r>
      <w:r w:rsidRPr="007061EE">
        <w:t>UL C 445, 29.10.2021, str. 240.</w:t>
      </w:r>
    </w:p>
  </w:footnote>
  <w:footnote w:id="7">
    <w:p w14:paraId="2128F406"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C 177, 17.5.2023, str. 115.</w:t>
      </w:r>
    </w:p>
  </w:footnote>
  <w:footnote w:id="8">
    <w:p w14:paraId="3B2641ED"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C, C/2024/1195, 23.2.2024, ELI:</w:t>
      </w:r>
      <w:r w:rsidRPr="007061EE">
        <w:rPr>
          <w:color w:val="000000"/>
        </w:rPr>
        <w:t xml:space="preserve"> </w:t>
      </w:r>
      <w:hyperlink r:id="rId4" w:history="1">
        <w:r w:rsidRPr="007061EE">
          <w:rPr>
            <w:rStyle w:val="Hyperlink"/>
          </w:rPr>
          <w:t>http://data.europa.eu/eli/C/2024/1195/oj</w:t>
        </w:r>
      </w:hyperlink>
      <w:r w:rsidRPr="007061EE">
        <w:t>.</w:t>
      </w:r>
    </w:p>
  </w:footnote>
  <w:footnote w:id="9">
    <w:p w14:paraId="45BC0055"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C, C/2024/6751, 26.11.2024, ELI:</w:t>
      </w:r>
      <w:r w:rsidRPr="007061EE">
        <w:rPr>
          <w:color w:val="000000"/>
        </w:rPr>
        <w:t xml:space="preserve"> </w:t>
      </w:r>
      <w:hyperlink r:id="rId5" w:history="1">
        <w:r w:rsidRPr="007061EE">
          <w:rPr>
            <w:rStyle w:val="Hyperlink"/>
          </w:rPr>
          <w:t>http://data.europa.eu/eli/C/2024/6751/oj</w:t>
        </w:r>
      </w:hyperlink>
      <w:r w:rsidRPr="007061EE">
        <w:rPr>
          <w:color w:val="000000"/>
        </w:rPr>
        <w:t>.</w:t>
      </w:r>
    </w:p>
  </w:footnote>
  <w:footnote w:id="10">
    <w:p w14:paraId="5865918C" w14:textId="77777777" w:rsidR="00992943" w:rsidRPr="007061EE" w:rsidRDefault="00992943" w:rsidP="007061EE">
      <w:pPr>
        <w:ind w:left="567" w:hanging="567"/>
        <w:rPr>
          <w:color w:val="000000"/>
        </w:rPr>
      </w:pPr>
      <w:r w:rsidRPr="007061EE">
        <w:rPr>
          <w:rStyle w:val="FootnoteReference"/>
        </w:rPr>
        <w:footnoteRef/>
      </w:r>
      <w:r w:rsidR="007061EE" w:rsidRPr="007061EE">
        <w:rPr>
          <w:color w:val="000000"/>
        </w:rPr>
        <w:t xml:space="preserve"> </w:t>
      </w:r>
      <w:r w:rsidR="007061EE" w:rsidRPr="007061EE">
        <w:rPr>
          <w:color w:val="000000"/>
        </w:rPr>
        <w:tab/>
      </w:r>
      <w:r w:rsidRPr="007061EE">
        <w:rPr>
          <w:color w:val="000000"/>
        </w:rPr>
        <w:t xml:space="preserve">UL L, 2024/2509, 26.9.2024, ELI: </w:t>
      </w:r>
      <w:r w:rsidRPr="007061EE">
        <w:rPr>
          <w:color w:val="337AB7"/>
          <w:u w:val="single"/>
        </w:rPr>
        <w:t>http://data.europa.eu/eli/reg/2024/2509/oj.</w:t>
      </w:r>
    </w:p>
  </w:footnote>
  <w:footnote w:id="11">
    <w:p w14:paraId="4B8D8B70"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L 433 I, 22.12.2020, str. 28, ELI:</w:t>
      </w:r>
      <w:r w:rsidRPr="007061EE">
        <w:rPr>
          <w:color w:val="000000"/>
        </w:rPr>
        <w:t xml:space="preserve"> </w:t>
      </w:r>
      <w:hyperlink r:id="rId6" w:history="1">
        <w:r w:rsidRPr="007061EE">
          <w:rPr>
            <w:rStyle w:val="Hyperlink"/>
          </w:rPr>
          <w:t>http://data.europa.eu/eli/agree_interinstit/2020/1222/oj</w:t>
        </w:r>
      </w:hyperlink>
      <w:r w:rsidRPr="007061EE">
        <w:t>.</w:t>
      </w:r>
    </w:p>
  </w:footnote>
  <w:footnote w:id="12">
    <w:p w14:paraId="102B30E4" w14:textId="77777777" w:rsidR="00992943" w:rsidRPr="007061EE" w:rsidRDefault="00992943" w:rsidP="007061EE">
      <w:pPr>
        <w:ind w:left="567" w:hanging="567"/>
        <w:rPr>
          <w:color w:val="000000"/>
        </w:rPr>
      </w:pPr>
      <w:r w:rsidRPr="007061EE">
        <w:rPr>
          <w:rStyle w:val="FootnoteReference"/>
        </w:rPr>
        <w:footnoteRef/>
      </w:r>
      <w:r w:rsidR="007061EE" w:rsidRPr="007061EE">
        <w:t xml:space="preserve"> </w:t>
      </w:r>
      <w:r w:rsidR="007061EE" w:rsidRPr="007061EE">
        <w:tab/>
      </w:r>
      <w:r w:rsidRPr="007061EE">
        <w:t>UL L, 2025/31, 27.2.2025, ELI:</w:t>
      </w:r>
      <w:r w:rsidRPr="007061EE">
        <w:rPr>
          <w:color w:val="000000"/>
        </w:rPr>
        <w:t xml:space="preserve"> </w:t>
      </w:r>
      <w:hyperlink r:id="rId7" w:history="1">
        <w:r w:rsidRPr="007061EE">
          <w:rPr>
            <w:rStyle w:val="Hyperlink"/>
          </w:rPr>
          <w:t>http://data.europa.eu/eli/budget/2025/31/oj</w:t>
        </w:r>
      </w:hyperlink>
      <w:r w:rsidRPr="007061EE">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15379" w14:textId="77777777" w:rsidR="00064002" w:rsidRPr="007061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0D806" w14:textId="77777777" w:rsidR="00064002" w:rsidRPr="007061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ACD91" w14:textId="77777777" w:rsidR="00064002" w:rsidRPr="007061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SL"/>
    <w:docVar w:name="dvnumam" w:val="0"/>
    <w:docVar w:name="dvpe" w:val="770.074"/>
    <w:docVar w:name="dvrapporteur" w:val="Poročevalec: "/>
    <w:docVar w:name="dvtitre" w:val="Resolucija Evropskega parlamenta z dne … 2025 o načrtu prihodkov in odhodkov Evropskega parlamenta za proračunsko leto 2026(2024/2111(BUI))"/>
  </w:docVars>
  <w:rsids>
    <w:rsidRoot w:val="00AB2D78"/>
    <w:rsid w:val="00002272"/>
    <w:rsid w:val="00064002"/>
    <w:rsid w:val="000677B9"/>
    <w:rsid w:val="000831BA"/>
    <w:rsid w:val="000A42CC"/>
    <w:rsid w:val="000E7DD9"/>
    <w:rsid w:val="0010095E"/>
    <w:rsid w:val="00125B37"/>
    <w:rsid w:val="00187494"/>
    <w:rsid w:val="001D1AC6"/>
    <w:rsid w:val="001F32AE"/>
    <w:rsid w:val="002645E3"/>
    <w:rsid w:val="002767FF"/>
    <w:rsid w:val="002B18FE"/>
    <w:rsid w:val="002B5493"/>
    <w:rsid w:val="00343214"/>
    <w:rsid w:val="00361C00"/>
    <w:rsid w:val="00371DA8"/>
    <w:rsid w:val="00395FA1"/>
    <w:rsid w:val="003E15D4"/>
    <w:rsid w:val="00411CCE"/>
    <w:rsid w:val="0041666E"/>
    <w:rsid w:val="00421060"/>
    <w:rsid w:val="00435A9E"/>
    <w:rsid w:val="00471C19"/>
    <w:rsid w:val="00474097"/>
    <w:rsid w:val="004867E3"/>
    <w:rsid w:val="00494A28"/>
    <w:rsid w:val="004C0004"/>
    <w:rsid w:val="004C5D52"/>
    <w:rsid w:val="0050519A"/>
    <w:rsid w:val="005072A1"/>
    <w:rsid w:val="00514517"/>
    <w:rsid w:val="0053668E"/>
    <w:rsid w:val="00545827"/>
    <w:rsid w:val="00560270"/>
    <w:rsid w:val="005C2568"/>
    <w:rsid w:val="005F1B17"/>
    <w:rsid w:val="005F65AC"/>
    <w:rsid w:val="006037C0"/>
    <w:rsid w:val="006631B6"/>
    <w:rsid w:val="00680577"/>
    <w:rsid w:val="006F74FA"/>
    <w:rsid w:val="007061E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943"/>
    <w:rsid w:val="00A1687D"/>
    <w:rsid w:val="00A43E52"/>
    <w:rsid w:val="00A4678D"/>
    <w:rsid w:val="00A778C7"/>
    <w:rsid w:val="00AB2D78"/>
    <w:rsid w:val="00AB441E"/>
    <w:rsid w:val="00AB6293"/>
    <w:rsid w:val="00AE0928"/>
    <w:rsid w:val="00AF3B82"/>
    <w:rsid w:val="00B12E95"/>
    <w:rsid w:val="00B22876"/>
    <w:rsid w:val="00B558F0"/>
    <w:rsid w:val="00BD48FE"/>
    <w:rsid w:val="00BD7BD8"/>
    <w:rsid w:val="00BE6ADC"/>
    <w:rsid w:val="00C05BFE"/>
    <w:rsid w:val="00C23CD4"/>
    <w:rsid w:val="00C31CA1"/>
    <w:rsid w:val="00C528F2"/>
    <w:rsid w:val="00C61C0C"/>
    <w:rsid w:val="00C63ADC"/>
    <w:rsid w:val="00C941CB"/>
    <w:rsid w:val="00CC2357"/>
    <w:rsid w:val="00CE50AD"/>
    <w:rsid w:val="00CF071A"/>
    <w:rsid w:val="00D058B8"/>
    <w:rsid w:val="00D56C11"/>
    <w:rsid w:val="00D834A0"/>
    <w:rsid w:val="00D872DF"/>
    <w:rsid w:val="00D91E21"/>
    <w:rsid w:val="00DA7FCD"/>
    <w:rsid w:val="00E15665"/>
    <w:rsid w:val="00E365E1"/>
    <w:rsid w:val="00E37644"/>
    <w:rsid w:val="00E820A4"/>
    <w:rsid w:val="00EA24A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794CD"/>
  <w15:chartTrackingRefBased/>
  <w15:docId w15:val="{AF283337-2F6E-4FF2-863A-B077B7F0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92943"/>
    <w:rPr>
      <w:b/>
      <w:kern w:val="28"/>
      <w:sz w:val="28"/>
      <w:lang w:val="fr-FR" w:eastAsia="fr-FR"/>
    </w:rPr>
  </w:style>
  <w:style w:type="character" w:customStyle="1" w:styleId="Heading2Char">
    <w:name w:val="Heading 2 Char"/>
    <w:basedOn w:val="DefaultParagraphFont"/>
    <w:link w:val="Heading2"/>
    <w:uiPriority w:val="9"/>
    <w:rsid w:val="00992943"/>
    <w:rPr>
      <w:sz w:val="24"/>
      <w:lang w:val="fr-FR" w:eastAsia="fr-FR"/>
    </w:rPr>
  </w:style>
  <w:style w:type="character" w:customStyle="1" w:styleId="Heading3Char">
    <w:name w:val="Heading 3 Char"/>
    <w:basedOn w:val="DefaultParagraphFont"/>
    <w:link w:val="Heading3"/>
    <w:uiPriority w:val="9"/>
    <w:rsid w:val="00992943"/>
    <w:rPr>
      <w:rFonts w:ascii="Arial" w:hAnsi="Arial"/>
      <w:sz w:val="24"/>
      <w:lang w:val="fr-FR" w:eastAsia="fr-FR"/>
    </w:rPr>
  </w:style>
  <w:style w:type="character" w:customStyle="1" w:styleId="Heading4Char">
    <w:name w:val="Heading 4 Char"/>
    <w:basedOn w:val="DefaultParagraphFont"/>
    <w:link w:val="Heading4"/>
    <w:uiPriority w:val="9"/>
    <w:rsid w:val="00992943"/>
    <w:rPr>
      <w:sz w:val="24"/>
      <w:lang w:val="en-US" w:eastAsia="fr-FR"/>
    </w:rPr>
  </w:style>
  <w:style w:type="character" w:customStyle="1" w:styleId="Heading5Char">
    <w:name w:val="Heading 5 Char"/>
    <w:basedOn w:val="DefaultParagraphFont"/>
    <w:link w:val="Heading5"/>
    <w:uiPriority w:val="9"/>
    <w:rsid w:val="00992943"/>
    <w:rPr>
      <w:sz w:val="24"/>
      <w:lang w:val="en-US" w:eastAsia="fr-FR"/>
    </w:rPr>
  </w:style>
  <w:style w:type="character" w:customStyle="1" w:styleId="Heading6Char">
    <w:name w:val="Heading 6 Char"/>
    <w:basedOn w:val="DefaultParagraphFont"/>
    <w:link w:val="Heading6"/>
    <w:uiPriority w:val="9"/>
    <w:rsid w:val="00992943"/>
    <w:rPr>
      <w:i/>
      <w:sz w:val="22"/>
      <w:lang w:val="sl-SI"/>
    </w:rPr>
  </w:style>
  <w:style w:type="character" w:customStyle="1" w:styleId="Heading7Char">
    <w:name w:val="Heading 7 Char"/>
    <w:basedOn w:val="DefaultParagraphFont"/>
    <w:link w:val="Heading7"/>
    <w:uiPriority w:val="9"/>
    <w:rsid w:val="00992943"/>
    <w:rPr>
      <w:rFonts w:ascii="Arial" w:hAnsi="Arial"/>
      <w:sz w:val="24"/>
      <w:lang w:val="sl-SI"/>
    </w:rPr>
  </w:style>
  <w:style w:type="character" w:customStyle="1" w:styleId="Heading8Char">
    <w:name w:val="Heading 8 Char"/>
    <w:basedOn w:val="DefaultParagraphFont"/>
    <w:link w:val="Heading8"/>
    <w:uiPriority w:val="9"/>
    <w:rsid w:val="00992943"/>
    <w:rPr>
      <w:rFonts w:ascii="Arial" w:hAnsi="Arial"/>
      <w:i/>
      <w:sz w:val="24"/>
      <w:lang w:val="sl-SI"/>
    </w:rPr>
  </w:style>
  <w:style w:type="character" w:customStyle="1" w:styleId="Heading9Char">
    <w:name w:val="Heading 9 Char"/>
    <w:basedOn w:val="DefaultParagraphFont"/>
    <w:link w:val="Heading9"/>
    <w:uiPriority w:val="9"/>
    <w:rsid w:val="00992943"/>
    <w:rPr>
      <w:rFonts w:ascii="Arial" w:hAnsi="Arial"/>
      <w:b/>
      <w:i/>
      <w:sz w:val="18"/>
      <w:lang w:val="sl-SI"/>
    </w:rPr>
  </w:style>
  <w:style w:type="paragraph" w:styleId="TOCHeading">
    <w:name w:val="TOC Heading"/>
    <w:basedOn w:val="Normal"/>
    <w:next w:val="Normal"/>
    <w:uiPriority w:val="39"/>
    <w:unhideWhenUsed/>
    <w:qFormat/>
    <w:rsid w:val="00992943"/>
    <w:pPr>
      <w:widowControl/>
      <w:spacing w:after="240"/>
    </w:pPr>
    <w:rPr>
      <w:lang w:val="en-GB"/>
    </w:rPr>
  </w:style>
  <w:style w:type="paragraph" w:customStyle="1" w:styleId="EPFooter2">
    <w:name w:val="EPFooter2"/>
    <w:basedOn w:val="Normal"/>
    <w:next w:val="Normal"/>
    <w:rsid w:val="0099294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92943"/>
    <w:pPr>
      <w:spacing w:after="240"/>
    </w:pPr>
  </w:style>
  <w:style w:type="paragraph" w:customStyle="1" w:styleId="TOCPage">
    <w:name w:val="TOC Page"/>
    <w:basedOn w:val="Normal"/>
    <w:next w:val="TOC1"/>
    <w:rsid w:val="00992943"/>
    <w:pPr>
      <w:keepNext/>
      <w:spacing w:after="240"/>
      <w:jc w:val="right"/>
    </w:pPr>
    <w:rPr>
      <w:rFonts w:ascii="Arial" w:hAnsi="Arial"/>
      <w:b/>
    </w:rPr>
  </w:style>
  <w:style w:type="paragraph" w:customStyle="1" w:styleId="PageHeading">
    <w:name w:val="PageHeading"/>
    <w:basedOn w:val="Normal"/>
    <w:rsid w:val="00992943"/>
    <w:pPr>
      <w:keepNext/>
      <w:spacing w:after="480"/>
      <w:jc w:val="center"/>
    </w:pPr>
    <w:rPr>
      <w:rFonts w:ascii="Arial" w:hAnsi="Arial" w:cs="Arial"/>
      <w:b/>
    </w:rPr>
  </w:style>
  <w:style w:type="paragraph" w:customStyle="1" w:styleId="NormalBold">
    <w:name w:val="NormalBold"/>
    <w:basedOn w:val="Normal"/>
    <w:rsid w:val="00992943"/>
    <w:rPr>
      <w:b/>
    </w:rPr>
  </w:style>
  <w:style w:type="paragraph" w:customStyle="1" w:styleId="NormalHanging12a">
    <w:name w:val="NormalHanging12a"/>
    <w:basedOn w:val="Normal"/>
    <w:link w:val="NormalHanging12aChar"/>
    <w:rsid w:val="00992943"/>
    <w:pPr>
      <w:spacing w:after="240"/>
      <w:ind w:left="567" w:hanging="567"/>
    </w:pPr>
  </w:style>
  <w:style w:type="paragraph" w:customStyle="1" w:styleId="CoverNormal24a">
    <w:name w:val="CoverNormal24a"/>
    <w:basedOn w:val="Normal"/>
    <w:rsid w:val="00992943"/>
    <w:pPr>
      <w:spacing w:after="480"/>
      <w:ind w:left="1417"/>
    </w:pPr>
  </w:style>
  <w:style w:type="paragraph" w:customStyle="1" w:styleId="CoverNormal">
    <w:name w:val="CoverNormal"/>
    <w:basedOn w:val="Normal"/>
    <w:rsid w:val="00992943"/>
    <w:pPr>
      <w:ind w:left="1418"/>
    </w:pPr>
  </w:style>
  <w:style w:type="paragraph" w:customStyle="1" w:styleId="CoverReference">
    <w:name w:val="CoverReference"/>
    <w:basedOn w:val="Normal"/>
    <w:rsid w:val="00992943"/>
    <w:pPr>
      <w:spacing w:before="1080"/>
      <w:jc w:val="right"/>
    </w:pPr>
    <w:rPr>
      <w:rFonts w:ascii="Arial" w:hAnsi="Arial" w:cs="Arial"/>
      <w:b/>
    </w:rPr>
  </w:style>
  <w:style w:type="paragraph" w:customStyle="1" w:styleId="CoverDocType24a">
    <w:name w:val="CoverDocType24a"/>
    <w:basedOn w:val="Normal"/>
    <w:rsid w:val="00992943"/>
    <w:pPr>
      <w:spacing w:after="480"/>
      <w:ind w:left="1418"/>
    </w:pPr>
    <w:rPr>
      <w:rFonts w:ascii="Arial" w:hAnsi="Arial"/>
      <w:b/>
      <w:sz w:val="48"/>
    </w:rPr>
  </w:style>
  <w:style w:type="paragraph" w:customStyle="1" w:styleId="CoverDate">
    <w:name w:val="CoverDate"/>
    <w:basedOn w:val="Normal"/>
    <w:rsid w:val="00992943"/>
    <w:pPr>
      <w:spacing w:before="240" w:after="1200"/>
    </w:pPr>
  </w:style>
  <w:style w:type="paragraph" w:customStyle="1" w:styleId="EPBody">
    <w:name w:val="EPBody"/>
    <w:basedOn w:val="Normal"/>
    <w:rsid w:val="00992943"/>
    <w:pPr>
      <w:jc w:val="center"/>
    </w:pPr>
    <w:rPr>
      <w:rFonts w:ascii="Arial" w:hAnsi="Arial" w:cs="Arial"/>
      <w:i/>
      <w:sz w:val="22"/>
      <w:szCs w:val="22"/>
    </w:rPr>
  </w:style>
  <w:style w:type="paragraph" w:customStyle="1" w:styleId="EPFooter">
    <w:name w:val="EPFooter"/>
    <w:basedOn w:val="Normal"/>
    <w:rsid w:val="00992943"/>
    <w:pPr>
      <w:tabs>
        <w:tab w:val="center" w:pos="4535"/>
        <w:tab w:val="right" w:pos="9071"/>
      </w:tabs>
      <w:spacing w:before="240" w:after="240"/>
    </w:pPr>
    <w:rPr>
      <w:color w:val="010000"/>
      <w:sz w:val="22"/>
    </w:rPr>
  </w:style>
  <w:style w:type="paragraph" w:styleId="Header">
    <w:name w:val="header"/>
    <w:basedOn w:val="Normal"/>
    <w:link w:val="HeaderChar"/>
    <w:uiPriority w:val="99"/>
    <w:rsid w:val="00992943"/>
    <w:pPr>
      <w:tabs>
        <w:tab w:val="center" w:pos="4513"/>
        <w:tab w:val="right" w:pos="9026"/>
      </w:tabs>
    </w:pPr>
  </w:style>
  <w:style w:type="character" w:customStyle="1" w:styleId="HeaderChar">
    <w:name w:val="Header Char"/>
    <w:basedOn w:val="DefaultParagraphFont"/>
    <w:link w:val="Header"/>
    <w:uiPriority w:val="99"/>
    <w:rsid w:val="00992943"/>
    <w:rPr>
      <w:sz w:val="24"/>
      <w:lang w:val="sl-SI"/>
    </w:rPr>
  </w:style>
  <w:style w:type="paragraph" w:customStyle="1" w:styleId="EPComma">
    <w:name w:val="EPComma"/>
    <w:basedOn w:val="Normal"/>
    <w:rsid w:val="00992943"/>
    <w:pPr>
      <w:spacing w:before="480" w:after="240"/>
    </w:pPr>
  </w:style>
  <w:style w:type="character" w:styleId="Hyperlink">
    <w:name w:val="Hyperlink"/>
    <w:basedOn w:val="DefaultParagraphFont"/>
    <w:uiPriority w:val="99"/>
    <w:rsid w:val="00992943"/>
    <w:rPr>
      <w:color w:val="0563C1" w:themeColor="hyperlink"/>
      <w:u w:val="single"/>
    </w:rPr>
  </w:style>
  <w:style w:type="paragraph" w:customStyle="1" w:styleId="FootnoteReference1">
    <w:name w:val="Footnote Reference1"/>
    <w:basedOn w:val="Normal"/>
    <w:link w:val="FootnoteReference"/>
    <w:rsid w:val="00992943"/>
    <w:pPr>
      <w:widowControl/>
      <w:spacing w:after="160" w:line="240" w:lineRule="exact"/>
    </w:pPr>
    <w:rPr>
      <w:sz w:val="20"/>
      <w:vertAlign w:val="superscript"/>
      <w:lang w:val="en-GB"/>
    </w:rPr>
  </w:style>
  <w:style w:type="paragraph" w:styleId="Footer">
    <w:name w:val="footer"/>
    <w:basedOn w:val="Normal"/>
    <w:link w:val="FooterChar"/>
    <w:uiPriority w:val="99"/>
    <w:rsid w:val="00992943"/>
    <w:pPr>
      <w:tabs>
        <w:tab w:val="center" w:pos="4513"/>
        <w:tab w:val="right" w:pos="9026"/>
      </w:tabs>
    </w:pPr>
  </w:style>
  <w:style w:type="character" w:customStyle="1" w:styleId="FooterChar">
    <w:name w:val="Footer Char"/>
    <w:basedOn w:val="DefaultParagraphFont"/>
    <w:link w:val="Footer"/>
    <w:uiPriority w:val="99"/>
    <w:rsid w:val="00992943"/>
    <w:rPr>
      <w:sz w:val="24"/>
      <w:lang w:val="sl-SI"/>
    </w:rPr>
  </w:style>
  <w:style w:type="character" w:customStyle="1" w:styleId="NormalHanging12aChar">
    <w:name w:val="NormalHanging12a Char"/>
    <w:basedOn w:val="DefaultParagraphFont"/>
    <w:link w:val="NormalHanging12a"/>
    <w:locked/>
    <w:rsid w:val="00992943"/>
    <w:rPr>
      <w:sz w:val="24"/>
      <w:lang w:val="sl-SI"/>
    </w:rPr>
  </w:style>
  <w:style w:type="paragraph" w:styleId="BalloonText">
    <w:name w:val="Balloon Text"/>
    <w:basedOn w:val="Normal"/>
    <w:link w:val="BalloonTextChar"/>
    <w:uiPriority w:val="99"/>
    <w:unhideWhenUsed/>
    <w:rsid w:val="00992943"/>
    <w:rPr>
      <w:rFonts w:ascii="Segoe UI" w:hAnsi="Segoe UI" w:cs="Segoe UI"/>
      <w:sz w:val="18"/>
      <w:szCs w:val="18"/>
      <w:lang w:val="en-GB"/>
    </w:rPr>
  </w:style>
  <w:style w:type="character" w:customStyle="1" w:styleId="BalloonTextChar">
    <w:name w:val="Balloon Text Char"/>
    <w:basedOn w:val="DefaultParagraphFont"/>
    <w:link w:val="BalloonText"/>
    <w:uiPriority w:val="99"/>
    <w:rsid w:val="00992943"/>
    <w:rPr>
      <w:rFonts w:ascii="Segoe UI" w:hAnsi="Segoe UI" w:cs="Segoe UI"/>
      <w:sz w:val="18"/>
      <w:szCs w:val="18"/>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992943"/>
    <w:pPr>
      <w:ind w:left="720"/>
      <w:contextualSpacing/>
    </w:pPr>
    <w:rPr>
      <w:lang w:val="en-GB"/>
    </w:rPr>
  </w:style>
  <w:style w:type="paragraph" w:customStyle="1" w:styleId="Normal24a">
    <w:name w:val="Normal24a"/>
    <w:basedOn w:val="Normal"/>
    <w:rsid w:val="00992943"/>
    <w:pPr>
      <w:spacing w:after="480"/>
    </w:pPr>
    <w:rPr>
      <w:lang w:val="en-GB"/>
    </w:rPr>
  </w:style>
  <w:style w:type="paragraph" w:customStyle="1" w:styleId="NormalBoldCenter">
    <w:name w:val="NormalBoldCenter"/>
    <w:basedOn w:val="Normal"/>
    <w:rsid w:val="00992943"/>
    <w:pPr>
      <w:jc w:val="center"/>
    </w:pPr>
    <w:rPr>
      <w:b/>
      <w:lang w:val="en-GB"/>
    </w:rPr>
  </w:style>
  <w:style w:type="paragraph" w:customStyle="1" w:styleId="Footprint12b">
    <w:name w:val="Footprint12b"/>
    <w:basedOn w:val="Normal"/>
    <w:rsid w:val="00992943"/>
    <w:pPr>
      <w:spacing w:before="240"/>
    </w:pPr>
    <w:rPr>
      <w:szCs w:val="24"/>
      <w:lang w:val="en-GB"/>
    </w:rPr>
  </w:style>
  <w:style w:type="paragraph" w:customStyle="1" w:styleId="NormalSingle">
    <w:name w:val="NormalSingle"/>
    <w:basedOn w:val="Normal"/>
    <w:qFormat/>
    <w:rsid w:val="00992943"/>
    <w:rPr>
      <w:szCs w:val="24"/>
      <w:lang w:val="en-GB"/>
    </w:rPr>
  </w:style>
  <w:style w:type="character" w:styleId="CommentReference">
    <w:name w:val="annotation reference"/>
    <w:basedOn w:val="DefaultParagraphFont"/>
    <w:rsid w:val="00992943"/>
    <w:rPr>
      <w:sz w:val="16"/>
      <w:szCs w:val="16"/>
    </w:rPr>
  </w:style>
  <w:style w:type="paragraph" w:styleId="CommentText">
    <w:name w:val="annotation text"/>
    <w:basedOn w:val="Normal"/>
    <w:link w:val="CommentTextChar"/>
    <w:uiPriority w:val="99"/>
    <w:rsid w:val="00992943"/>
    <w:rPr>
      <w:sz w:val="20"/>
      <w:lang w:val="en-GB"/>
    </w:rPr>
  </w:style>
  <w:style w:type="character" w:customStyle="1" w:styleId="CommentTextChar">
    <w:name w:val="Comment Text Char"/>
    <w:basedOn w:val="DefaultParagraphFont"/>
    <w:link w:val="CommentText"/>
    <w:uiPriority w:val="99"/>
    <w:rsid w:val="00992943"/>
  </w:style>
  <w:style w:type="paragraph" w:styleId="CommentSubject">
    <w:name w:val="annotation subject"/>
    <w:basedOn w:val="CommentText"/>
    <w:next w:val="CommentText"/>
    <w:link w:val="CommentSubjectChar"/>
    <w:uiPriority w:val="99"/>
    <w:unhideWhenUsed/>
    <w:rsid w:val="00992943"/>
    <w:rPr>
      <w:b/>
      <w:bCs/>
    </w:rPr>
  </w:style>
  <w:style w:type="character" w:customStyle="1" w:styleId="CommentSubjectChar">
    <w:name w:val="Comment Subject Char"/>
    <w:basedOn w:val="CommentTextChar"/>
    <w:link w:val="CommentSubject"/>
    <w:uiPriority w:val="99"/>
    <w:rsid w:val="00992943"/>
    <w:rPr>
      <w:b/>
      <w:bCs/>
    </w:rPr>
  </w:style>
  <w:style w:type="paragraph" w:styleId="Title">
    <w:name w:val="Title"/>
    <w:basedOn w:val="Normal"/>
    <w:next w:val="Normal"/>
    <w:link w:val="TitleChar"/>
    <w:uiPriority w:val="10"/>
    <w:qFormat/>
    <w:rsid w:val="00992943"/>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992943"/>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992943"/>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992943"/>
    <w:rPr>
      <w:rFonts w:ascii="Arial" w:eastAsiaTheme="majorEastAsia" w:hAnsi="Arial" w:cs="Arial"/>
      <w:sz w:val="24"/>
      <w:szCs w:val="24"/>
      <w:lang w:eastAsia="en-US"/>
    </w:rPr>
  </w:style>
  <w:style w:type="character" w:styleId="Strong">
    <w:name w:val="Strong"/>
    <w:basedOn w:val="DefaultParagraphFont"/>
    <w:uiPriority w:val="22"/>
    <w:qFormat/>
    <w:rsid w:val="00992943"/>
    <w:rPr>
      <w:b/>
      <w:bCs/>
    </w:rPr>
  </w:style>
  <w:style w:type="character" w:styleId="Emphasis">
    <w:name w:val="Emphasis"/>
    <w:basedOn w:val="DefaultParagraphFont"/>
    <w:uiPriority w:val="20"/>
    <w:qFormat/>
    <w:rsid w:val="00992943"/>
    <w:rPr>
      <w:rFonts w:asciiTheme="minorHAnsi" w:hAnsiTheme="minorHAnsi"/>
      <w:b/>
      <w:i/>
      <w:iCs/>
    </w:rPr>
  </w:style>
  <w:style w:type="paragraph" w:styleId="NoSpacing">
    <w:name w:val="No Spacing"/>
    <w:basedOn w:val="Normal"/>
    <w:uiPriority w:val="1"/>
    <w:qFormat/>
    <w:rsid w:val="00992943"/>
    <w:pPr>
      <w:widowControl/>
      <w:jc w:val="both"/>
    </w:pPr>
    <w:rPr>
      <w:rFonts w:eastAsiaTheme="minorHAnsi"/>
      <w:szCs w:val="32"/>
      <w:lang w:val="en-GB" w:eastAsia="en-US"/>
    </w:rPr>
  </w:style>
  <w:style w:type="paragraph" w:styleId="Quote">
    <w:name w:val="Quote"/>
    <w:basedOn w:val="Normal"/>
    <w:next w:val="Normal"/>
    <w:link w:val="QuoteChar"/>
    <w:uiPriority w:val="29"/>
    <w:qFormat/>
    <w:rsid w:val="00992943"/>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992943"/>
    <w:rPr>
      <w:rFonts w:eastAsiaTheme="minorHAnsi"/>
      <w:i/>
      <w:sz w:val="24"/>
      <w:szCs w:val="24"/>
      <w:lang w:eastAsia="en-US"/>
    </w:rPr>
  </w:style>
  <w:style w:type="paragraph" w:styleId="IntenseQuote">
    <w:name w:val="Intense Quote"/>
    <w:basedOn w:val="Normal"/>
    <w:next w:val="Normal"/>
    <w:link w:val="IntenseQuoteChar"/>
    <w:uiPriority w:val="30"/>
    <w:qFormat/>
    <w:rsid w:val="00992943"/>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992943"/>
    <w:rPr>
      <w:rFonts w:eastAsiaTheme="minorHAnsi"/>
      <w:b/>
      <w:i/>
      <w:sz w:val="24"/>
      <w:szCs w:val="22"/>
      <w:lang w:eastAsia="en-US"/>
    </w:rPr>
  </w:style>
  <w:style w:type="character" w:styleId="SubtleEmphasis">
    <w:name w:val="Subtle Emphasis"/>
    <w:uiPriority w:val="19"/>
    <w:qFormat/>
    <w:rsid w:val="00992943"/>
    <w:rPr>
      <w:i/>
      <w:color w:val="5A5A5A" w:themeColor="text1" w:themeTint="A5"/>
    </w:rPr>
  </w:style>
  <w:style w:type="character" w:styleId="IntenseEmphasis">
    <w:name w:val="Intense Emphasis"/>
    <w:basedOn w:val="DefaultParagraphFont"/>
    <w:uiPriority w:val="21"/>
    <w:qFormat/>
    <w:rsid w:val="00992943"/>
    <w:rPr>
      <w:b/>
      <w:i/>
      <w:sz w:val="24"/>
      <w:szCs w:val="24"/>
      <w:u w:val="single"/>
    </w:rPr>
  </w:style>
  <w:style w:type="character" w:styleId="SubtleReference">
    <w:name w:val="Subtle Reference"/>
    <w:basedOn w:val="DefaultParagraphFont"/>
    <w:uiPriority w:val="31"/>
    <w:qFormat/>
    <w:rsid w:val="00992943"/>
    <w:rPr>
      <w:sz w:val="24"/>
      <w:szCs w:val="24"/>
      <w:u w:val="single"/>
    </w:rPr>
  </w:style>
  <w:style w:type="character" w:styleId="IntenseReference">
    <w:name w:val="Intense Reference"/>
    <w:basedOn w:val="DefaultParagraphFont"/>
    <w:uiPriority w:val="32"/>
    <w:qFormat/>
    <w:rsid w:val="00992943"/>
    <w:rPr>
      <w:b/>
      <w:sz w:val="24"/>
      <w:u w:val="single"/>
    </w:rPr>
  </w:style>
  <w:style w:type="character" w:styleId="BookTitle">
    <w:name w:val="Book Title"/>
    <w:basedOn w:val="DefaultParagraphFont"/>
    <w:uiPriority w:val="33"/>
    <w:qFormat/>
    <w:rsid w:val="00992943"/>
    <w:rPr>
      <w:rFonts w:asciiTheme="majorHAnsi" w:eastAsiaTheme="majorEastAsia" w:hAnsiTheme="majorHAnsi"/>
      <w:b/>
      <w:i/>
      <w:sz w:val="24"/>
      <w:szCs w:val="24"/>
    </w:rPr>
  </w:style>
  <w:style w:type="paragraph" w:customStyle="1" w:styleId="TableTitle">
    <w:name w:val="Table Title"/>
    <w:basedOn w:val="Normal"/>
    <w:uiPriority w:val="99"/>
    <w:rsid w:val="00992943"/>
    <w:pPr>
      <w:keepNext/>
      <w:widowControl/>
      <w:spacing w:before="120" w:after="120"/>
    </w:pPr>
    <w:rPr>
      <w:rFonts w:eastAsiaTheme="minorEastAsia"/>
      <w:sz w:val="20"/>
      <w:lang w:val="en-GB"/>
    </w:rPr>
  </w:style>
  <w:style w:type="paragraph" w:customStyle="1" w:styleId="Tablesubtitle">
    <w:name w:val="Table subtitle"/>
    <w:basedOn w:val="Normal"/>
    <w:next w:val="Normal"/>
    <w:uiPriority w:val="99"/>
    <w:rsid w:val="00992943"/>
    <w:pPr>
      <w:keepNext/>
      <w:widowControl/>
    </w:pPr>
    <w:rPr>
      <w:rFonts w:eastAsiaTheme="minorEastAsia"/>
      <w:sz w:val="18"/>
      <w:szCs w:val="18"/>
      <w:lang w:val="en-GB"/>
    </w:rPr>
  </w:style>
  <w:style w:type="paragraph" w:customStyle="1" w:styleId="NormalRight">
    <w:name w:val="Normal Right"/>
    <w:basedOn w:val="Normal"/>
    <w:next w:val="Normal"/>
    <w:uiPriority w:val="99"/>
    <w:rsid w:val="00992943"/>
    <w:pPr>
      <w:widowControl/>
      <w:spacing w:before="120" w:after="120"/>
      <w:jc w:val="right"/>
    </w:pPr>
    <w:rPr>
      <w:rFonts w:eastAsiaTheme="minorEastAsia"/>
      <w:szCs w:val="24"/>
      <w:lang w:val="en-GB"/>
    </w:rPr>
  </w:style>
  <w:style w:type="paragraph" w:customStyle="1" w:styleId="ReusedInfo">
    <w:name w:val="ReusedInfo"/>
    <w:next w:val="Normal"/>
    <w:uiPriority w:val="99"/>
    <w:rsid w:val="00992943"/>
    <w:pPr>
      <w:shd w:val="clear" w:color="auto" w:fill="C0C0C0"/>
      <w:spacing w:before="60" w:after="60"/>
    </w:pPr>
    <w:rPr>
      <w:rFonts w:eastAsiaTheme="minorEastAsia"/>
    </w:rPr>
  </w:style>
  <w:style w:type="paragraph" w:customStyle="1" w:styleId="Section">
    <w:name w:val="Section"/>
    <w:basedOn w:val="Normal"/>
    <w:next w:val="Normal"/>
    <w:uiPriority w:val="99"/>
    <w:rsid w:val="00992943"/>
    <w:pPr>
      <w:keepNext/>
      <w:widowControl/>
      <w:spacing w:before="480" w:after="120"/>
    </w:pPr>
    <w:rPr>
      <w:rFonts w:eastAsiaTheme="minorEastAsia"/>
      <w:b/>
      <w:bCs/>
      <w:smallCaps/>
      <w:sz w:val="44"/>
      <w:szCs w:val="44"/>
      <w:lang w:val="en-GB"/>
    </w:rPr>
  </w:style>
  <w:style w:type="paragraph" w:customStyle="1" w:styleId="Part">
    <w:name w:val="Part"/>
    <w:basedOn w:val="Normal"/>
    <w:next w:val="Normal"/>
    <w:uiPriority w:val="99"/>
    <w:rsid w:val="00992943"/>
    <w:pPr>
      <w:keepNext/>
      <w:widowControl/>
      <w:spacing w:before="480" w:after="120"/>
    </w:pPr>
    <w:rPr>
      <w:rFonts w:eastAsiaTheme="minorEastAsia"/>
      <w:b/>
      <w:bCs/>
      <w:smallCaps/>
      <w:sz w:val="40"/>
      <w:szCs w:val="40"/>
      <w:lang w:val="en-GB"/>
    </w:rPr>
  </w:style>
  <w:style w:type="paragraph" w:customStyle="1" w:styleId="Revenue">
    <w:name w:val="Revenue"/>
    <w:basedOn w:val="Normal"/>
    <w:next w:val="Normal"/>
    <w:uiPriority w:val="99"/>
    <w:rsid w:val="00992943"/>
    <w:pPr>
      <w:keepNext/>
      <w:widowControl/>
      <w:spacing w:before="480" w:after="120"/>
    </w:pPr>
    <w:rPr>
      <w:rFonts w:eastAsiaTheme="minorEastAsia"/>
      <w:b/>
      <w:bCs/>
      <w:smallCaps/>
      <w:sz w:val="36"/>
      <w:szCs w:val="36"/>
      <w:lang w:val="en-GB"/>
    </w:rPr>
  </w:style>
  <w:style w:type="paragraph" w:customStyle="1" w:styleId="Expenditure">
    <w:name w:val="Expenditure"/>
    <w:basedOn w:val="Normal"/>
    <w:next w:val="Normal"/>
    <w:uiPriority w:val="99"/>
    <w:rsid w:val="00992943"/>
    <w:pPr>
      <w:keepNext/>
      <w:widowControl/>
      <w:spacing w:before="480" w:after="120"/>
    </w:pPr>
    <w:rPr>
      <w:rFonts w:eastAsiaTheme="minorEastAsia"/>
      <w:b/>
      <w:bCs/>
      <w:smallCaps/>
      <w:sz w:val="36"/>
      <w:szCs w:val="36"/>
      <w:lang w:val="en-GB"/>
    </w:rPr>
  </w:style>
  <w:style w:type="paragraph" w:customStyle="1" w:styleId="title2">
    <w:name w:val="title2"/>
    <w:basedOn w:val="Normal"/>
    <w:next w:val="Normal"/>
    <w:uiPriority w:val="99"/>
    <w:rsid w:val="00992943"/>
    <w:pPr>
      <w:keepNext/>
      <w:widowControl/>
      <w:spacing w:before="480" w:after="120"/>
    </w:pPr>
    <w:rPr>
      <w:rFonts w:eastAsiaTheme="minorEastAsia"/>
      <w:b/>
      <w:bCs/>
      <w:smallCaps/>
      <w:sz w:val="32"/>
      <w:szCs w:val="32"/>
      <w:lang w:val="en-GB"/>
    </w:rPr>
  </w:style>
  <w:style w:type="paragraph" w:customStyle="1" w:styleId="Chapter">
    <w:name w:val="Chapter"/>
    <w:basedOn w:val="Normal"/>
    <w:next w:val="Normal"/>
    <w:uiPriority w:val="99"/>
    <w:rsid w:val="00992943"/>
    <w:pPr>
      <w:keepNext/>
      <w:widowControl/>
      <w:spacing w:before="480" w:after="120"/>
    </w:pPr>
    <w:rPr>
      <w:rFonts w:eastAsiaTheme="minorEastAsia"/>
      <w:b/>
      <w:bCs/>
      <w:smallCaps/>
      <w:sz w:val="28"/>
      <w:szCs w:val="28"/>
      <w:lang w:val="en-GB"/>
    </w:rPr>
  </w:style>
  <w:style w:type="paragraph" w:customStyle="1" w:styleId="Article">
    <w:name w:val="Article"/>
    <w:basedOn w:val="Normal"/>
    <w:next w:val="Normal"/>
    <w:uiPriority w:val="99"/>
    <w:rsid w:val="00992943"/>
    <w:pPr>
      <w:keepNext/>
      <w:widowControl/>
      <w:spacing w:before="480" w:after="120"/>
    </w:pPr>
    <w:rPr>
      <w:rFonts w:eastAsiaTheme="minorEastAsia"/>
      <w:b/>
      <w:bCs/>
      <w:i/>
      <w:iCs/>
      <w:szCs w:val="24"/>
      <w:lang w:val="en-GB"/>
    </w:rPr>
  </w:style>
  <w:style w:type="paragraph" w:customStyle="1" w:styleId="Item">
    <w:name w:val="Item"/>
    <w:basedOn w:val="Normal"/>
    <w:next w:val="Normal"/>
    <w:uiPriority w:val="99"/>
    <w:rsid w:val="00992943"/>
    <w:pPr>
      <w:keepNext/>
      <w:widowControl/>
      <w:spacing w:before="480" w:after="120"/>
    </w:pPr>
    <w:rPr>
      <w:rFonts w:eastAsiaTheme="minorEastAsia"/>
      <w:sz w:val="22"/>
      <w:szCs w:val="22"/>
      <w:lang w:val="en-GB"/>
    </w:rPr>
  </w:style>
  <w:style w:type="paragraph" w:customStyle="1" w:styleId="SubItem">
    <w:name w:val="SubItem"/>
    <w:basedOn w:val="Normal"/>
    <w:next w:val="Normal"/>
    <w:uiPriority w:val="99"/>
    <w:rsid w:val="00992943"/>
    <w:pPr>
      <w:keepNext/>
      <w:widowControl/>
      <w:spacing w:before="480" w:after="120"/>
    </w:pPr>
    <w:rPr>
      <w:rFonts w:eastAsiaTheme="minorEastAsia"/>
      <w:sz w:val="20"/>
      <w:lang w:val="en-GB"/>
    </w:rPr>
  </w:style>
  <w:style w:type="paragraph" w:customStyle="1" w:styleId="Annex">
    <w:name w:val="Annex"/>
    <w:basedOn w:val="Normal"/>
    <w:next w:val="Normal"/>
    <w:uiPriority w:val="99"/>
    <w:rsid w:val="00992943"/>
    <w:pPr>
      <w:keepNext/>
      <w:widowControl/>
      <w:spacing w:before="480" w:after="120"/>
    </w:pPr>
    <w:rPr>
      <w:rFonts w:eastAsiaTheme="minorEastAsia"/>
      <w:b/>
      <w:bCs/>
      <w:sz w:val="32"/>
      <w:szCs w:val="32"/>
      <w:lang w:val="en-GB"/>
    </w:rPr>
  </w:style>
  <w:style w:type="paragraph" w:customStyle="1" w:styleId="EndofAnnex">
    <w:name w:val="End of Annex"/>
    <w:basedOn w:val="Normal"/>
    <w:next w:val="Normal"/>
    <w:uiPriority w:val="99"/>
    <w:rsid w:val="00992943"/>
    <w:pPr>
      <w:widowControl/>
      <w:spacing w:before="120" w:after="120"/>
    </w:pPr>
    <w:rPr>
      <w:rFonts w:eastAsiaTheme="minorEastAsia"/>
      <w:i/>
      <w:iCs/>
      <w:sz w:val="20"/>
      <w:lang w:val="en-GB"/>
    </w:rPr>
  </w:style>
  <w:style w:type="paragraph" w:customStyle="1" w:styleId="Objective">
    <w:name w:val="Objective"/>
    <w:basedOn w:val="Normal"/>
    <w:next w:val="Normal"/>
    <w:uiPriority w:val="99"/>
    <w:rsid w:val="00992943"/>
    <w:pPr>
      <w:keepNext/>
      <w:widowControl/>
      <w:spacing w:before="120" w:after="120"/>
    </w:pPr>
    <w:rPr>
      <w:rFonts w:eastAsiaTheme="minorEastAsia"/>
      <w:i/>
      <w:iCs/>
      <w:sz w:val="20"/>
      <w:lang w:val="en-GB"/>
    </w:rPr>
  </w:style>
  <w:style w:type="paragraph" w:customStyle="1" w:styleId="Figures">
    <w:name w:val="Figures"/>
    <w:basedOn w:val="Normal"/>
    <w:next w:val="Normal"/>
    <w:uiPriority w:val="99"/>
    <w:rsid w:val="00992943"/>
    <w:pPr>
      <w:keepNext/>
      <w:widowControl/>
      <w:spacing w:before="120" w:after="120"/>
    </w:pPr>
    <w:rPr>
      <w:rFonts w:eastAsiaTheme="minorEastAsia"/>
      <w:i/>
      <w:iCs/>
      <w:sz w:val="20"/>
      <w:lang w:val="en-GB"/>
    </w:rPr>
  </w:style>
  <w:style w:type="paragraph" w:customStyle="1" w:styleId="Remarks">
    <w:name w:val="Remarks"/>
    <w:basedOn w:val="Normal"/>
    <w:next w:val="Normal"/>
    <w:uiPriority w:val="99"/>
    <w:rsid w:val="00992943"/>
    <w:pPr>
      <w:keepNext/>
      <w:widowControl/>
      <w:spacing w:before="120" w:after="120"/>
    </w:pPr>
    <w:rPr>
      <w:rFonts w:eastAsiaTheme="minorEastAsia"/>
      <w:i/>
      <w:iCs/>
      <w:sz w:val="20"/>
      <w:lang w:val="en-GB"/>
    </w:rPr>
  </w:style>
  <w:style w:type="paragraph" w:customStyle="1" w:styleId="ReserveCond">
    <w:name w:val="ReserveCond"/>
    <w:basedOn w:val="Normal"/>
    <w:next w:val="Normal"/>
    <w:uiPriority w:val="99"/>
    <w:rsid w:val="00992943"/>
    <w:pPr>
      <w:keepNext/>
      <w:widowControl/>
      <w:spacing w:before="120" w:after="120"/>
    </w:pPr>
    <w:rPr>
      <w:rFonts w:eastAsiaTheme="minorEastAsia"/>
      <w:i/>
      <w:iCs/>
      <w:sz w:val="20"/>
      <w:lang w:val="en-GB"/>
    </w:rPr>
  </w:style>
  <w:style w:type="paragraph" w:customStyle="1" w:styleId="Legalbasis">
    <w:name w:val="Legal basis"/>
    <w:basedOn w:val="Normal"/>
    <w:next w:val="Normal"/>
    <w:uiPriority w:val="99"/>
    <w:rsid w:val="00992943"/>
    <w:pPr>
      <w:keepNext/>
      <w:widowControl/>
      <w:spacing w:before="120" w:after="120"/>
    </w:pPr>
    <w:rPr>
      <w:rFonts w:eastAsiaTheme="minorEastAsia"/>
      <w:i/>
      <w:iCs/>
      <w:sz w:val="20"/>
      <w:lang w:val="en-GB"/>
    </w:rPr>
  </w:style>
  <w:style w:type="paragraph" w:customStyle="1" w:styleId="Reference">
    <w:name w:val="Reference"/>
    <w:basedOn w:val="Normal"/>
    <w:next w:val="Normal"/>
    <w:uiPriority w:val="99"/>
    <w:rsid w:val="00992943"/>
    <w:pPr>
      <w:keepNext/>
      <w:widowControl/>
      <w:spacing w:before="120" w:after="120"/>
    </w:pPr>
    <w:rPr>
      <w:rFonts w:eastAsiaTheme="minorEastAsia"/>
      <w:i/>
      <w:iCs/>
      <w:sz w:val="20"/>
      <w:lang w:val="en-GB"/>
    </w:rPr>
  </w:style>
  <w:style w:type="character" w:customStyle="1" w:styleId="tw4winExternal">
    <w:name w:val="tw4winExternal"/>
    <w:basedOn w:val="DefaultParagraphFont"/>
    <w:uiPriority w:val="99"/>
    <w:rsid w:val="00992943"/>
  </w:style>
  <w:style w:type="character" w:customStyle="1" w:styleId="tw4winInternal">
    <w:name w:val="tw4winInternal"/>
    <w:basedOn w:val="DefaultParagraphFont"/>
    <w:uiPriority w:val="99"/>
    <w:rsid w:val="00992943"/>
    <w:rPr>
      <w:sz w:val="16"/>
      <w:szCs w:val="16"/>
      <w:u w:val="dash"/>
      <w:shd w:val="clear" w:color="auto" w:fill="FFFF00"/>
    </w:rPr>
  </w:style>
  <w:style w:type="character" w:customStyle="1" w:styleId="ReusedInlineInfo">
    <w:name w:val="ReusedInlineInfo"/>
    <w:basedOn w:val="DefaultParagraphFont"/>
    <w:uiPriority w:val="99"/>
    <w:rsid w:val="00992943"/>
    <w:rPr>
      <w:sz w:val="16"/>
      <w:szCs w:val="16"/>
      <w:u w:val="dash"/>
      <w:shd w:val="clear" w:color="auto" w:fill="FFFF00"/>
    </w:rPr>
  </w:style>
  <w:style w:type="character" w:customStyle="1" w:styleId="Error">
    <w:name w:val="Error"/>
    <w:basedOn w:val="DefaultParagraphFont"/>
    <w:uiPriority w:val="99"/>
    <w:rsid w:val="00992943"/>
    <w:rPr>
      <w:shd w:val="clear" w:color="auto" w:fill="FF0000"/>
    </w:rPr>
  </w:style>
  <w:style w:type="paragraph" w:styleId="Revision">
    <w:name w:val="Revision"/>
    <w:hidden/>
    <w:uiPriority w:val="99"/>
    <w:semiHidden/>
    <w:rsid w:val="00992943"/>
    <w:rPr>
      <w:rFonts w:eastAsiaTheme="minorHAnsi"/>
      <w:sz w:val="24"/>
      <w:szCs w:val="24"/>
      <w:lang w:eastAsia="en-US"/>
    </w:rPr>
  </w:style>
  <w:style w:type="numbering" w:customStyle="1" w:styleId="NoList1">
    <w:name w:val="No List1"/>
    <w:next w:val="NoList"/>
    <w:uiPriority w:val="99"/>
    <w:semiHidden/>
    <w:unhideWhenUsed/>
    <w:rsid w:val="00992943"/>
  </w:style>
  <w:style w:type="numbering" w:customStyle="1" w:styleId="NoList2">
    <w:name w:val="No List2"/>
    <w:next w:val="NoList"/>
    <w:uiPriority w:val="99"/>
    <w:semiHidden/>
    <w:unhideWhenUsed/>
    <w:rsid w:val="00992943"/>
  </w:style>
  <w:style w:type="paragraph" w:customStyle="1" w:styleId="Default">
    <w:name w:val="Default"/>
    <w:rsid w:val="00992943"/>
    <w:pPr>
      <w:autoSpaceDE w:val="0"/>
      <w:autoSpaceDN w:val="0"/>
      <w:adjustRightInd w:val="0"/>
    </w:pPr>
    <w:rPr>
      <w:rFonts w:eastAsiaTheme="minorHAnsi"/>
      <w:color w:val="000000"/>
      <w:sz w:val="24"/>
      <w:szCs w:val="24"/>
      <w:lang w:val="fr-FR"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992943"/>
    <w:rPr>
      <w:sz w:val="24"/>
    </w:rPr>
  </w:style>
  <w:style w:type="paragraph" w:customStyle="1" w:styleId="RollCallVotes">
    <w:name w:val="RollCallVotes"/>
    <w:basedOn w:val="Normal"/>
    <w:rsid w:val="00992943"/>
    <w:pPr>
      <w:spacing w:before="120" w:after="120"/>
      <w:jc w:val="center"/>
    </w:pPr>
    <w:rPr>
      <w:b/>
      <w:bCs/>
      <w:snapToGrid w:val="0"/>
      <w:sz w:val="16"/>
      <w:lang w:val="en-GB" w:eastAsia="en-US"/>
    </w:rPr>
  </w:style>
  <w:style w:type="paragraph" w:customStyle="1" w:styleId="RollCallTabs">
    <w:name w:val="RollCallTabs"/>
    <w:basedOn w:val="Normal"/>
    <w:qFormat/>
    <w:rsid w:val="00992943"/>
    <w:pPr>
      <w:tabs>
        <w:tab w:val="center" w:pos="284"/>
        <w:tab w:val="left" w:pos="426"/>
      </w:tabs>
    </w:pPr>
    <w:rPr>
      <w:snapToGrid w:val="0"/>
      <w:lang w:val="en-GB" w:eastAsia="en-US"/>
    </w:rPr>
  </w:style>
  <w:style w:type="paragraph" w:customStyle="1" w:styleId="RollCallSymbols14pt">
    <w:name w:val="RollCallSymbols14pt"/>
    <w:basedOn w:val="Normal"/>
    <w:rsid w:val="00992943"/>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92943"/>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A3D4F-6E00-4697-A8A4-B0AF7A39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3646</Words>
  <Characters>21763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2025-04-03T12:14:00Z</dcterms:created>
  <dcterms:modified xsi:type="dcterms:W3CDTF">2025-04-03T12:14:00Z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A10-0048/2025</vt:lpwstr>
  </property>
  <property fmtid="{D5CDD505-2E9C-101B-9397-08002B2CF9AE}" pid="4" name="&lt;Type&gt;">
    <vt:lpwstr>RR</vt:lpwstr>
  </property>
</Properties>
</file>