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740C" w14:paraId="28C5BAAE" w14:textId="77777777" w:rsidTr="0010095E">
        <w:trPr>
          <w:trHeight w:hRule="exact" w:val="1418"/>
        </w:trPr>
        <w:tc>
          <w:tcPr>
            <w:tcW w:w="6804" w:type="dxa"/>
            <w:shd w:val="clear" w:color="auto" w:fill="auto"/>
            <w:vAlign w:val="center"/>
          </w:tcPr>
          <w:p w14:paraId="611C7D23" w14:textId="77777777" w:rsidR="00751A4A" w:rsidRPr="00AD740C" w:rsidRDefault="003C5926" w:rsidP="0010095E">
            <w:pPr>
              <w:pStyle w:val="EPName"/>
            </w:pPr>
            <w:r w:rsidRPr="00AD740C">
              <w:t>Europaparlamentet</w:t>
            </w:r>
          </w:p>
          <w:p w14:paraId="1CF9A18D" w14:textId="77777777" w:rsidR="00751A4A" w:rsidRPr="00AD740C" w:rsidRDefault="005F1B17" w:rsidP="005F1B17">
            <w:pPr>
              <w:pStyle w:val="EPTerm"/>
              <w:rPr>
                <w:rStyle w:val="HideTWBExt"/>
                <w:noProof w:val="0"/>
                <w:vanish w:val="0"/>
                <w:color w:val="auto"/>
              </w:rPr>
            </w:pPr>
            <w:r w:rsidRPr="00AD740C">
              <w:t>2024</w:t>
            </w:r>
            <w:r w:rsidR="00817416" w:rsidRPr="00AD740C">
              <w:t>-202</w:t>
            </w:r>
            <w:r w:rsidRPr="00AD740C">
              <w:t>9</w:t>
            </w:r>
          </w:p>
        </w:tc>
        <w:tc>
          <w:tcPr>
            <w:tcW w:w="2268" w:type="dxa"/>
            <w:shd w:val="clear" w:color="auto" w:fill="auto"/>
          </w:tcPr>
          <w:p w14:paraId="2FB75F09" w14:textId="77777777" w:rsidR="00751A4A" w:rsidRPr="00AD740C" w:rsidRDefault="00187494" w:rsidP="0010095E">
            <w:pPr>
              <w:pStyle w:val="EPLogo"/>
            </w:pPr>
            <w:r w:rsidRPr="00AD740C">
              <w:rPr>
                <w:noProof/>
                <w:lang w:val="en-GB"/>
              </w:rPr>
              <w:drawing>
                <wp:inline distT="0" distB="0" distL="0" distR="0" wp14:anchorId="1D701B79" wp14:editId="70DAB3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9779F4" w14:textId="77777777" w:rsidR="00D058B8" w:rsidRPr="00AD740C" w:rsidRDefault="00D058B8" w:rsidP="004C5D52">
      <w:pPr>
        <w:pStyle w:val="LineTop"/>
      </w:pPr>
    </w:p>
    <w:p w14:paraId="022E7031" w14:textId="77777777" w:rsidR="00680577" w:rsidRPr="00AD740C" w:rsidRDefault="003C5926" w:rsidP="00680577">
      <w:pPr>
        <w:pStyle w:val="EPBodyTA1"/>
      </w:pPr>
      <w:r w:rsidRPr="00AD740C">
        <w:t>ANTAGNA TEXTER</w:t>
      </w:r>
    </w:p>
    <w:p w14:paraId="4A92C684" w14:textId="77777777" w:rsidR="00D058B8" w:rsidRPr="00AD740C" w:rsidRDefault="00D058B8" w:rsidP="00D058B8">
      <w:pPr>
        <w:pStyle w:val="LineBottom"/>
      </w:pPr>
    </w:p>
    <w:p w14:paraId="7BD69111" w14:textId="5EDFAB1F" w:rsidR="003C5926" w:rsidRPr="00AD740C" w:rsidRDefault="003C5926" w:rsidP="003C5926">
      <w:pPr>
        <w:pStyle w:val="ATHeading1"/>
      </w:pPr>
      <w:bookmarkStart w:id="0" w:name="TANumber"/>
      <w:r w:rsidRPr="00AD740C">
        <w:t>P10_TA(2025)</w:t>
      </w:r>
      <w:bookmarkEnd w:id="0"/>
      <w:r w:rsidR="00B627C9" w:rsidRPr="00AD740C">
        <w:t>0060</w:t>
      </w:r>
    </w:p>
    <w:p w14:paraId="71882538" w14:textId="77777777" w:rsidR="003C5926" w:rsidRPr="00AD740C" w:rsidRDefault="003C5926" w:rsidP="003C5926">
      <w:pPr>
        <w:pStyle w:val="ATHeading2"/>
      </w:pPr>
      <w:bookmarkStart w:id="1" w:name="title"/>
      <w:r w:rsidRPr="00AD740C">
        <w:t>Beräkning av inkomster och utgifter för budgetåret 2026 – Avsnitt I – Europaparlamentet</w:t>
      </w:r>
      <w:bookmarkEnd w:id="1"/>
    </w:p>
    <w:p w14:paraId="0F08D2DA" w14:textId="77777777" w:rsidR="003C5926" w:rsidRPr="00AD740C" w:rsidRDefault="003C5926" w:rsidP="003C5926">
      <w:pPr>
        <w:rPr>
          <w:i/>
          <w:vanish/>
        </w:rPr>
      </w:pPr>
      <w:r w:rsidRPr="00AD740C">
        <w:rPr>
          <w:i/>
        </w:rPr>
        <w:fldChar w:fldCharType="begin"/>
      </w:r>
      <w:r w:rsidRPr="00AD740C">
        <w:rPr>
          <w:i/>
        </w:rPr>
        <w:instrText xml:space="preserve"> TC"(</w:instrText>
      </w:r>
      <w:bookmarkStart w:id="2" w:name="DocNumber"/>
      <w:r w:rsidRPr="00AD740C">
        <w:rPr>
          <w:i/>
        </w:rPr>
        <w:instrText>A10-0048/2025</w:instrText>
      </w:r>
      <w:bookmarkEnd w:id="2"/>
      <w:r w:rsidRPr="00AD740C">
        <w:rPr>
          <w:i/>
        </w:rPr>
        <w:instrText xml:space="preserve"> - Föredragande: Matjaž Nemec)"\l3 \n&gt; \* MERGEFORMAT </w:instrText>
      </w:r>
      <w:r w:rsidRPr="00AD740C">
        <w:rPr>
          <w:i/>
        </w:rPr>
        <w:fldChar w:fldCharType="end"/>
      </w:r>
    </w:p>
    <w:p w14:paraId="608DB243" w14:textId="77777777" w:rsidR="003C5926" w:rsidRPr="00AD740C" w:rsidRDefault="003C5926" w:rsidP="003C5926">
      <w:pPr>
        <w:rPr>
          <w:vanish/>
        </w:rPr>
      </w:pPr>
      <w:bookmarkStart w:id="3" w:name="Commission"/>
      <w:r w:rsidRPr="00AD740C">
        <w:rPr>
          <w:vanish/>
        </w:rPr>
        <w:t>Budgetutskottet</w:t>
      </w:r>
      <w:bookmarkEnd w:id="3"/>
    </w:p>
    <w:p w14:paraId="36FC8F9A" w14:textId="77777777" w:rsidR="003C5926" w:rsidRPr="00AD740C" w:rsidRDefault="003C5926" w:rsidP="003C5926">
      <w:pPr>
        <w:rPr>
          <w:vanish/>
        </w:rPr>
      </w:pPr>
      <w:bookmarkStart w:id="4" w:name="PE"/>
      <w:r w:rsidRPr="00AD740C">
        <w:rPr>
          <w:vanish/>
        </w:rPr>
        <w:t>PE770.074</w:t>
      </w:r>
      <w:bookmarkEnd w:id="4"/>
    </w:p>
    <w:p w14:paraId="121DE9EE" w14:textId="3613D9A6" w:rsidR="003C5926" w:rsidRPr="00AD740C" w:rsidRDefault="003C5926" w:rsidP="003C5926">
      <w:pPr>
        <w:pStyle w:val="ATHeading3"/>
      </w:pPr>
      <w:bookmarkStart w:id="5" w:name="Sujet"/>
      <w:r w:rsidRPr="00AD740C">
        <w:t xml:space="preserve">Europaparlamentets resolution av den </w:t>
      </w:r>
      <w:r w:rsidR="00A17401" w:rsidRPr="00AD740C">
        <w:t xml:space="preserve">3 april </w:t>
      </w:r>
      <w:r w:rsidRPr="00AD740C">
        <w:t>2025 om beräkning av Europaparlamentets inkomster och utgifter för budgetåret 2026</w:t>
      </w:r>
      <w:bookmarkEnd w:id="5"/>
      <w:r w:rsidRPr="00AD740C">
        <w:t xml:space="preserve"> </w:t>
      </w:r>
      <w:bookmarkStart w:id="6" w:name="References"/>
      <w:r w:rsidRPr="00AD740C">
        <w:t>(2024/2111(BUI))</w:t>
      </w:r>
      <w:bookmarkEnd w:id="6"/>
    </w:p>
    <w:p w14:paraId="4EC3E65A" w14:textId="77777777" w:rsidR="00F11B35" w:rsidRPr="00AD740C" w:rsidRDefault="00F11B35" w:rsidP="00F11B35">
      <w:pPr>
        <w:keepNext/>
        <w:spacing w:before="480" w:after="240"/>
        <w:rPr>
          <w:color w:val="000000"/>
        </w:rPr>
      </w:pPr>
      <w:bookmarkStart w:id="7" w:name="TextBodyBegin"/>
      <w:bookmarkEnd w:id="7"/>
      <w:r w:rsidRPr="00AD740C">
        <w:rPr>
          <w:i/>
          <w:iCs/>
          <w:color w:val="000000"/>
        </w:rPr>
        <w:t>Europaparlamentet utfärdar denna resolution</w:t>
      </w:r>
      <w:bookmarkStart w:id="8" w:name="_GoBack"/>
      <w:bookmarkEnd w:id="8"/>
    </w:p>
    <w:p w14:paraId="4C68E043"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med beaktande av artikel 314 i fördraget om Europeiska unionens funktionssätt,</w:t>
      </w:r>
    </w:p>
    <w:p w14:paraId="6E7054CF"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med beaktande av rådets förordning (EU, Euratom) 2020/2093 av den 17 december 2020 om den fleråriga budgetramen för 2021–2027</w:t>
      </w:r>
      <w:r w:rsidRPr="00AD740C">
        <w:rPr>
          <w:color w:val="000000"/>
          <w:vertAlign w:val="superscript"/>
        </w:rPr>
        <w:footnoteReference w:id="1"/>
      </w:r>
      <w:r w:rsidRPr="00AD740C">
        <w:rPr>
          <w:color w:val="000000"/>
        </w:rPr>
        <w:t xml:space="preserve"> och de gemensamma förklaringar som parlamentet, rådet och kommissionen enats om i detta sammanhang</w:t>
      </w:r>
      <w:r w:rsidRPr="00AD740C">
        <w:rPr>
          <w:color w:val="000000"/>
          <w:vertAlign w:val="superscript"/>
        </w:rPr>
        <w:footnoteReference w:id="2"/>
      </w:r>
      <w:r w:rsidRPr="00AD740C">
        <w:rPr>
          <w:color w:val="000000"/>
        </w:rPr>
        <w:t>, samt de därmed sammanhängande ensidiga förklaringarna</w:t>
      </w:r>
      <w:r w:rsidRPr="00AD740C">
        <w:rPr>
          <w:color w:val="000000"/>
          <w:vertAlign w:val="superscript"/>
        </w:rPr>
        <w:footnoteReference w:id="3"/>
      </w:r>
      <w:r w:rsidRPr="00AD740C">
        <w:rPr>
          <w:color w:val="000000"/>
        </w:rPr>
        <w:t>,</w:t>
      </w:r>
    </w:p>
    <w:p w14:paraId="66728DAC" w14:textId="77777777" w:rsidR="00F11B35" w:rsidRPr="00AD740C" w:rsidRDefault="00F11B35" w:rsidP="00F11B35">
      <w:pPr>
        <w:spacing w:after="240"/>
        <w:ind w:left="567" w:hanging="567"/>
        <w:rPr>
          <w:color w:val="000000" w:themeColor="text1"/>
        </w:rPr>
      </w:pPr>
      <w:r w:rsidRPr="00AD740C">
        <w:rPr>
          <w:color w:val="000000"/>
        </w:rPr>
        <w:t>–</w:t>
      </w:r>
      <w:r w:rsidRPr="00AD740C">
        <w:rPr>
          <w:color w:val="000000"/>
        </w:rPr>
        <w:tab/>
        <w:t>med beaktande av rådets förordning (EU, Euratom) 2022/2496 av den 15 december 2022 om ändring av förordning (EU, Euratom) 2020/2093 om den fleråriga budgetramen 2021–2027</w:t>
      </w:r>
      <w:r w:rsidRPr="00AD740C">
        <w:rPr>
          <w:color w:val="000000"/>
          <w:vertAlign w:val="superscript"/>
        </w:rPr>
        <w:footnoteReference w:id="4"/>
      </w:r>
      <w:r w:rsidRPr="00AD740C">
        <w:rPr>
          <w:color w:val="000000"/>
        </w:rPr>
        <w:t>,</w:t>
      </w:r>
    </w:p>
    <w:p w14:paraId="53B1DEB8" w14:textId="5AA1431B" w:rsidR="00F11B35" w:rsidRPr="00AD740C" w:rsidRDefault="00F11B35" w:rsidP="00F11B35">
      <w:pPr>
        <w:spacing w:after="240"/>
        <w:ind w:left="567" w:hanging="567"/>
      </w:pPr>
      <w:r w:rsidRPr="00AD740C">
        <w:t>–</w:t>
      </w:r>
      <w:r w:rsidRPr="00AD740C">
        <w:tab/>
      </w:r>
      <w:r w:rsidRPr="00AD740C">
        <w:rPr>
          <w:color w:val="000000"/>
        </w:rPr>
        <w:t>med beaktande av rådets förordning (EU, Euratom) 2024/765 om ändring av förordning (EU, Euratom) 2020/2093 om den fleråriga budgetramen 2021–2027</w:t>
      </w:r>
      <w:r w:rsidRPr="00AD740C">
        <w:rPr>
          <w:rStyle w:val="FootnoteReference"/>
          <w:color w:val="000000"/>
        </w:rPr>
        <w:footnoteReference w:id="5"/>
      </w:r>
      <w:r w:rsidR="00852383" w:rsidRPr="00AD740C">
        <w:rPr>
          <w:color w:val="000000"/>
        </w:rPr>
        <w:t xml:space="preserve"> (</w:t>
      </w:r>
      <w:r w:rsidR="00852383" w:rsidRPr="00AD740C">
        <w:rPr>
          <w:i/>
          <w:color w:val="000000"/>
        </w:rPr>
        <w:t>översynen av den fleråriga budgetramen</w:t>
      </w:r>
      <w:r w:rsidR="00852383" w:rsidRPr="00AD740C">
        <w:rPr>
          <w:color w:val="000000"/>
        </w:rPr>
        <w:t>)</w:t>
      </w:r>
      <w:r w:rsidRPr="00AD740C">
        <w:rPr>
          <w:color w:val="000000"/>
        </w:rPr>
        <w:t>,</w:t>
      </w:r>
    </w:p>
    <w:p w14:paraId="69BA0D83" w14:textId="77777777" w:rsidR="00F11B35" w:rsidRPr="00AD740C" w:rsidRDefault="00F11B35" w:rsidP="00F11B35">
      <w:pPr>
        <w:spacing w:after="240"/>
        <w:ind w:left="567" w:hanging="567"/>
      </w:pPr>
      <w:r w:rsidRPr="00AD740C">
        <w:t>–</w:t>
      </w:r>
      <w:r w:rsidRPr="00AD740C">
        <w:tab/>
        <w:t>med beaktande av sin resolution av den 16 december 2020 om utkastet till rådets förordning om den fleråriga budgetramen 2021–2027</w:t>
      </w:r>
      <w:r w:rsidRPr="00AD740C">
        <w:rPr>
          <w:vertAlign w:val="superscript"/>
        </w:rPr>
        <w:footnoteReference w:id="6"/>
      </w:r>
      <w:r w:rsidRPr="00AD740C">
        <w:t>,</w:t>
      </w:r>
    </w:p>
    <w:p w14:paraId="21A53E2C"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 xml:space="preserve">med beaktande av sin resolution av den 15 december 2022 om </w:t>
      </w:r>
      <w:proofErr w:type="spellStart"/>
      <w:r w:rsidRPr="00AD740C">
        <w:rPr>
          <w:color w:val="000000"/>
        </w:rPr>
        <w:t>uppskalningen</w:t>
      </w:r>
      <w:proofErr w:type="spellEnd"/>
      <w:r w:rsidRPr="00AD740C">
        <w:rPr>
          <w:color w:val="000000"/>
        </w:rPr>
        <w:t xml:space="preserve"> av den fleråriga budgetramen 2021–2027: en </w:t>
      </w:r>
      <w:proofErr w:type="spellStart"/>
      <w:r w:rsidRPr="00AD740C">
        <w:rPr>
          <w:color w:val="000000"/>
        </w:rPr>
        <w:t>resilient</w:t>
      </w:r>
      <w:proofErr w:type="spellEnd"/>
      <w:r w:rsidRPr="00AD740C">
        <w:rPr>
          <w:color w:val="000000"/>
        </w:rPr>
        <w:t xml:space="preserve"> EU-budget som är anpassad till nya utmaningar</w:t>
      </w:r>
      <w:r w:rsidRPr="00AD740C">
        <w:rPr>
          <w:color w:val="000000"/>
          <w:vertAlign w:val="superscript"/>
        </w:rPr>
        <w:footnoteReference w:id="7"/>
      </w:r>
      <w:r w:rsidRPr="00AD740C">
        <w:rPr>
          <w:color w:val="000000"/>
        </w:rPr>
        <w:t>,</w:t>
      </w:r>
    </w:p>
    <w:p w14:paraId="5B4EE0D2" w14:textId="77777777" w:rsidR="00F11B35" w:rsidRPr="00AD740C" w:rsidRDefault="00F11B35" w:rsidP="00F11B35">
      <w:pPr>
        <w:spacing w:after="240"/>
        <w:ind w:left="567" w:hanging="567"/>
      </w:pPr>
      <w:r w:rsidRPr="00AD740C">
        <w:t>–</w:t>
      </w:r>
      <w:r w:rsidRPr="00AD740C">
        <w:tab/>
        <w:t xml:space="preserve">med beaktande av sin resolution av den 3 oktober 2023 om förslaget till halvtidsöversyn </w:t>
      </w:r>
      <w:r w:rsidRPr="00AD740C">
        <w:lastRenderedPageBreak/>
        <w:t>av den fleråriga budgetramen 2021–2027</w:t>
      </w:r>
      <w:r w:rsidRPr="00AD740C">
        <w:rPr>
          <w:vertAlign w:val="superscript"/>
        </w:rPr>
        <w:footnoteReference w:id="8"/>
      </w:r>
      <w:r w:rsidRPr="00AD740C">
        <w:t>,</w:t>
      </w:r>
    </w:p>
    <w:p w14:paraId="7C13B306"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med beaktande av sin resolution av den 27 februari 2024 om utkastet till rådets förordning om ändring av förordning (EU, Euratom) 2020/2093 om den fleråriga budgetramen för 2021–2027</w:t>
      </w:r>
      <w:r w:rsidRPr="00AD740C">
        <w:rPr>
          <w:color w:val="000000"/>
          <w:vertAlign w:val="superscript"/>
        </w:rPr>
        <w:footnoteReference w:id="9"/>
      </w:r>
      <w:r w:rsidRPr="00AD740C">
        <w:rPr>
          <w:color w:val="000000"/>
        </w:rPr>
        <w:t>,</w:t>
      </w:r>
    </w:p>
    <w:p w14:paraId="1AC7EC1C" w14:textId="09414D8F" w:rsidR="00F11B35" w:rsidRPr="00AD740C" w:rsidRDefault="00F11B35" w:rsidP="00F11B35">
      <w:pPr>
        <w:widowControl/>
        <w:spacing w:after="240"/>
        <w:ind w:left="567" w:hanging="567"/>
        <w:rPr>
          <w:color w:val="000000"/>
        </w:rPr>
      </w:pPr>
      <w:r w:rsidRPr="00AD740C">
        <w:rPr>
          <w:color w:val="000000"/>
        </w:rPr>
        <w:t>–</w:t>
      </w:r>
      <w:r w:rsidRPr="00AD740C">
        <w:rPr>
          <w:color w:val="000000"/>
        </w:rPr>
        <w:tab/>
        <w:t>med beaktande av Europaparlamentets och rådets förordning (EU, Euratom) 2024/2509 av den 23 september 2024 om finansiella regler för unionens allmänna budget (omarbetning)</w:t>
      </w:r>
      <w:r w:rsidRPr="00AD740C">
        <w:rPr>
          <w:color w:val="000000"/>
          <w:vertAlign w:val="superscript"/>
        </w:rPr>
        <w:footnoteReference w:id="10"/>
      </w:r>
      <w:r w:rsidRPr="00AD740C">
        <w:rPr>
          <w:color w:val="000000"/>
        </w:rPr>
        <w:t xml:space="preserve"> (</w:t>
      </w:r>
      <w:r w:rsidRPr="00AD740C">
        <w:rPr>
          <w:i/>
          <w:iCs/>
          <w:color w:val="000000"/>
        </w:rPr>
        <w:t>budgetförordningen</w:t>
      </w:r>
      <w:r w:rsidRPr="00AD740C">
        <w:rPr>
          <w:color w:val="000000"/>
        </w:rPr>
        <w:t>),</w:t>
      </w:r>
    </w:p>
    <w:p w14:paraId="02B9BCA0"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AD740C">
        <w:rPr>
          <w:color w:val="000000"/>
          <w:vertAlign w:val="superscript"/>
        </w:rPr>
        <w:footnoteReference w:id="11"/>
      </w:r>
      <w:r w:rsidRPr="00AD740C">
        <w:rPr>
          <w:color w:val="000000"/>
        </w:rPr>
        <w:t>,</w:t>
      </w:r>
    </w:p>
    <w:p w14:paraId="2A86006C"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med beaktande av Europeiska unionens allmänna budget för budgetåret 2025</w:t>
      </w:r>
      <w:r w:rsidRPr="00AD740C">
        <w:rPr>
          <w:color w:val="000000"/>
          <w:vertAlign w:val="superscript"/>
        </w:rPr>
        <w:footnoteReference w:id="12"/>
      </w:r>
      <w:r w:rsidRPr="00AD740C">
        <w:rPr>
          <w:color w:val="000000"/>
        </w:rPr>
        <w:t xml:space="preserve"> och de gemensamma uttalanden, bifogade till budgeten, som parlamentet, rådet och kommissionen enats om,</w:t>
      </w:r>
    </w:p>
    <w:p w14:paraId="71CAEED9" w14:textId="77777777" w:rsidR="00F11B35" w:rsidRPr="00AD740C" w:rsidRDefault="00F11B35" w:rsidP="00F11B35">
      <w:pPr>
        <w:spacing w:after="240"/>
        <w:ind w:left="567" w:hanging="567"/>
        <w:rPr>
          <w:color w:val="000000"/>
        </w:rPr>
      </w:pPr>
      <w:r w:rsidRPr="00AD740C">
        <w:rPr>
          <w:color w:val="000000"/>
        </w:rPr>
        <w:t>–</w:t>
      </w:r>
      <w:r w:rsidRPr="00AD740C">
        <w:rPr>
          <w:color w:val="000000"/>
        </w:rPr>
        <w:tab/>
        <w:t>med beaktande av generalsekreterarens rapport till presidiet inför upprättandet av det preliminära förslaget till parlamentets budgetberäkning för budgetåret 2026,</w:t>
      </w:r>
    </w:p>
    <w:p w14:paraId="1139F3D8" w14:textId="77777777" w:rsidR="00F11B35" w:rsidRPr="00AD740C" w:rsidRDefault="00F11B35" w:rsidP="00F11B35">
      <w:pPr>
        <w:tabs>
          <w:tab w:val="left" w:pos="357"/>
        </w:tabs>
        <w:spacing w:after="240"/>
        <w:ind w:left="567" w:hanging="567"/>
        <w:rPr>
          <w:color w:val="000000"/>
        </w:rPr>
      </w:pPr>
      <w:r w:rsidRPr="00AD740C">
        <w:rPr>
          <w:color w:val="000000"/>
        </w:rPr>
        <w:t>–</w:t>
      </w:r>
      <w:r w:rsidRPr="00AD740C">
        <w:rPr>
          <w:color w:val="000000"/>
        </w:rPr>
        <w:tab/>
      </w:r>
      <w:r w:rsidRPr="00AD740C">
        <w:rPr>
          <w:color w:val="000000"/>
        </w:rPr>
        <w:tab/>
        <w:t>med beaktande av det preliminära förslag till budgetberäkning som presidiet upprättade den 10 mars 2025 i enlighet med artiklarna 25.7 och 104.1 i arbetsordningen,</w:t>
      </w:r>
    </w:p>
    <w:p w14:paraId="774C666E" w14:textId="77777777" w:rsidR="00F11B35" w:rsidRPr="00AD740C" w:rsidRDefault="00F11B35" w:rsidP="00F11B35">
      <w:pPr>
        <w:tabs>
          <w:tab w:val="left" w:pos="357"/>
        </w:tabs>
        <w:spacing w:after="240"/>
        <w:ind w:left="567" w:hanging="567"/>
        <w:rPr>
          <w:color w:val="000000"/>
        </w:rPr>
      </w:pPr>
      <w:r w:rsidRPr="00AD740C">
        <w:rPr>
          <w:color w:val="000000"/>
        </w:rPr>
        <w:t>–</w:t>
      </w:r>
      <w:r w:rsidRPr="00AD740C">
        <w:rPr>
          <w:color w:val="000000"/>
        </w:rPr>
        <w:tab/>
      </w:r>
      <w:r w:rsidRPr="00AD740C">
        <w:rPr>
          <w:color w:val="000000"/>
        </w:rPr>
        <w:tab/>
        <w:t>med beaktande av förslaget till budgetberäkning som budgetutskottet upprättat i enlighet med artikel 104.2 i arbetsordningen,</w:t>
      </w:r>
    </w:p>
    <w:p w14:paraId="4902764F" w14:textId="77777777" w:rsidR="00F11B35" w:rsidRPr="00AD740C" w:rsidRDefault="00F11B35" w:rsidP="00F11B35">
      <w:pPr>
        <w:tabs>
          <w:tab w:val="left" w:pos="357"/>
        </w:tabs>
        <w:spacing w:after="240"/>
        <w:ind w:left="567" w:hanging="567"/>
        <w:rPr>
          <w:color w:val="000000"/>
        </w:rPr>
      </w:pPr>
      <w:r w:rsidRPr="00AD740C">
        <w:rPr>
          <w:color w:val="000000"/>
        </w:rPr>
        <w:t>–</w:t>
      </w:r>
      <w:r w:rsidRPr="00AD740C">
        <w:rPr>
          <w:color w:val="000000"/>
        </w:rPr>
        <w:tab/>
      </w:r>
      <w:r w:rsidRPr="00AD740C">
        <w:rPr>
          <w:color w:val="000000"/>
        </w:rPr>
        <w:tab/>
        <w:t>med beaktande av artikel 104 i arbetsordningen,</w:t>
      </w:r>
    </w:p>
    <w:p w14:paraId="7E818159" w14:textId="77777777" w:rsidR="00F11B35" w:rsidRPr="00AD740C" w:rsidRDefault="00F11B35" w:rsidP="00F11B35">
      <w:pPr>
        <w:tabs>
          <w:tab w:val="left" w:pos="357"/>
        </w:tabs>
        <w:spacing w:after="240"/>
        <w:ind w:left="567" w:hanging="567"/>
        <w:rPr>
          <w:color w:val="000000"/>
        </w:rPr>
      </w:pPr>
      <w:r w:rsidRPr="00AD740C">
        <w:rPr>
          <w:color w:val="000000"/>
        </w:rPr>
        <w:t>–</w:t>
      </w:r>
      <w:r w:rsidRPr="00AD740C">
        <w:rPr>
          <w:color w:val="000000"/>
        </w:rPr>
        <w:tab/>
      </w:r>
      <w:r w:rsidRPr="00AD740C">
        <w:rPr>
          <w:color w:val="000000"/>
        </w:rPr>
        <w:tab/>
        <w:t>med beaktande av betänkandet från budgetutskottet (A10-0048/2025), och av följande skäl:</w:t>
      </w:r>
    </w:p>
    <w:p w14:paraId="494C2C91" w14:textId="77777777" w:rsidR="00F11B35" w:rsidRPr="00AD740C" w:rsidRDefault="00F11B35" w:rsidP="00F11B35">
      <w:pPr>
        <w:widowControl/>
        <w:tabs>
          <w:tab w:val="left" w:pos="357"/>
        </w:tabs>
        <w:spacing w:after="240"/>
        <w:ind w:left="567" w:hanging="567"/>
        <w:rPr>
          <w:color w:val="000000"/>
        </w:rPr>
      </w:pPr>
      <w:r w:rsidRPr="00AD740C">
        <w:rPr>
          <w:color w:val="000000"/>
        </w:rPr>
        <w:t>A.</w:t>
      </w:r>
      <w:r w:rsidRPr="00AD740C">
        <w:rPr>
          <w:color w:val="000000"/>
        </w:rPr>
        <w:tab/>
      </w:r>
      <w:r w:rsidRPr="00AD740C">
        <w:rPr>
          <w:color w:val="000000"/>
        </w:rPr>
        <w:tab/>
        <w:t xml:space="preserve">Den budget som generalsekreteraren den 10 februari 2025 föreslog för parlamentets preliminära förslag till budgetberäkning för 2026 uppgår till 2 641 609 620 EUR och innebär en ökning med 4,30 % eller 108 914 512 EUR jämfört med 2025 års budget. </w:t>
      </w:r>
    </w:p>
    <w:p w14:paraId="0A568C9F" w14:textId="77777777" w:rsidR="00F11B35" w:rsidRPr="00AD740C" w:rsidRDefault="00F11B35" w:rsidP="00F11B35">
      <w:pPr>
        <w:widowControl/>
        <w:tabs>
          <w:tab w:val="left" w:pos="357"/>
        </w:tabs>
        <w:spacing w:after="240"/>
        <w:ind w:left="567" w:hanging="567"/>
        <w:rPr>
          <w:color w:val="000000"/>
        </w:rPr>
      </w:pPr>
      <w:r w:rsidRPr="00AD740C">
        <w:rPr>
          <w:color w:val="000000"/>
        </w:rPr>
        <w:t>B.</w:t>
      </w:r>
      <w:r w:rsidRPr="00AD740C">
        <w:rPr>
          <w:color w:val="000000"/>
        </w:rPr>
        <w:tab/>
      </w:r>
      <w:r w:rsidRPr="00AD740C">
        <w:rPr>
          <w:color w:val="000000"/>
        </w:rPr>
        <w:tab/>
        <w:t>Enligt Eurostat var den årliga inflationen i unionen 2,8 % i januari 2025, vilket var en ökning från 2,7 % i december 2024. Utgiftsnivån i rubrik 7 i den fleråriga budgetramen 2021–2027 baseras på en årlig ökning på 2 %.</w:t>
      </w:r>
    </w:p>
    <w:p w14:paraId="355D705A" w14:textId="77777777" w:rsidR="00F11B35" w:rsidRPr="00AD740C" w:rsidRDefault="00F11B35" w:rsidP="00F11B35">
      <w:pPr>
        <w:widowControl/>
        <w:tabs>
          <w:tab w:val="left" w:pos="357"/>
        </w:tabs>
        <w:spacing w:after="240"/>
        <w:ind w:left="567" w:hanging="567"/>
        <w:rPr>
          <w:color w:val="000000"/>
        </w:rPr>
      </w:pPr>
      <w:r w:rsidRPr="00AD740C">
        <w:rPr>
          <w:color w:val="000000"/>
        </w:rPr>
        <w:t>C.</w:t>
      </w:r>
      <w:r w:rsidRPr="00AD740C">
        <w:rPr>
          <w:color w:val="000000"/>
        </w:rPr>
        <w:tab/>
      </w:r>
      <w:r w:rsidRPr="00AD740C">
        <w:rPr>
          <w:color w:val="000000"/>
        </w:rPr>
        <w:tab/>
        <w:t xml:space="preserve">Parlamentets trovärdighet beror på dess förmåga att genomföra sitt centrala budget-, lagstiftnings- och kontrollarbete och att utföra det enligt högsta standard, samtidigt som man föregår med gott exempel gentemot andra unionsinstitutioner med avseende på att </w:t>
      </w:r>
      <w:r w:rsidRPr="00AD740C">
        <w:rPr>
          <w:color w:val="000000"/>
        </w:rPr>
        <w:lastRenderedPageBreak/>
        <w:t xml:space="preserve">planera och genomföra sina utgifter på ett försiktigt och effektivt sätt och återspegla den rådande ekonomiska verkligheten. </w:t>
      </w:r>
    </w:p>
    <w:p w14:paraId="5CABF633" w14:textId="77777777" w:rsidR="00F11B35" w:rsidRPr="00AD740C" w:rsidRDefault="00F11B35" w:rsidP="00F11B35">
      <w:pPr>
        <w:widowControl/>
        <w:spacing w:after="240"/>
        <w:ind w:left="567" w:hanging="567"/>
        <w:rPr>
          <w:b/>
          <w:i/>
          <w:color w:val="000000"/>
        </w:rPr>
      </w:pPr>
      <w:r w:rsidRPr="00AD740C">
        <w:rPr>
          <w:b/>
          <w:i/>
          <w:color w:val="000000"/>
        </w:rPr>
        <w:t>Allmänna ramar</w:t>
      </w:r>
    </w:p>
    <w:p w14:paraId="4C10E3A2" w14:textId="50576134" w:rsidR="00F11B35" w:rsidRPr="00AD740C" w:rsidRDefault="00F11B35" w:rsidP="00F11B35">
      <w:pPr>
        <w:widowControl/>
        <w:spacing w:after="240"/>
        <w:ind w:left="567" w:hanging="567"/>
        <w:rPr>
          <w:color w:val="000000"/>
        </w:rPr>
      </w:pPr>
      <w:r w:rsidRPr="00AD740C">
        <w:rPr>
          <w:color w:val="000000"/>
        </w:rPr>
        <w:t>1.</w:t>
      </w:r>
      <w:r w:rsidRPr="00AD740C">
        <w:rPr>
          <w:color w:val="000000"/>
        </w:rPr>
        <w:tab/>
        <w:t xml:space="preserve">Europaparlamentet är bekymrat över situationen för rubrik 7 i den nuvarande fleråriga budgetramen. Parlamentet påminner om att begränsningarna är resultatet av rådets nedskärningar i kommissionens redan mycket låga ursprungliga förslag när man enades om den nuvarande fleråriga budgetramen 2021–2027. Parlamentet beklagar rådets motstånd mot kommissionens förslag att höja taket för rubrik 7 från och med 2024 i samband med </w:t>
      </w:r>
      <w:r w:rsidR="00852383" w:rsidRPr="00AD740C">
        <w:rPr>
          <w:color w:val="000000"/>
        </w:rPr>
        <w:t xml:space="preserve">översynen </w:t>
      </w:r>
      <w:r w:rsidRPr="00AD740C">
        <w:rPr>
          <w:color w:val="000000"/>
        </w:rPr>
        <w:t xml:space="preserve">av den fleråriga budgetramen. Parlamentet påpekar att man inte har tagit itu med frågan om taket för rubrik 7 i </w:t>
      </w:r>
      <w:r w:rsidR="00852383" w:rsidRPr="00AD740C">
        <w:rPr>
          <w:color w:val="000000"/>
        </w:rPr>
        <w:t xml:space="preserve">översynen </w:t>
      </w:r>
      <w:r w:rsidRPr="00AD740C">
        <w:rPr>
          <w:color w:val="000000"/>
        </w:rPr>
        <w:t>av den fleråriga budgetramen. Parlamentet framhåller att den beräknade negativa marginalen för 2026 förutsätter att de särskilda instrumenten i rubrik 7 används för detta ändamål.</w:t>
      </w:r>
    </w:p>
    <w:p w14:paraId="3EF9A747" w14:textId="77777777" w:rsidR="00F11B35" w:rsidRPr="00AD740C" w:rsidRDefault="00F11B35" w:rsidP="00F11B35">
      <w:pPr>
        <w:widowControl/>
        <w:spacing w:after="240"/>
        <w:ind w:left="567" w:hanging="567"/>
        <w:rPr>
          <w:color w:val="000000"/>
        </w:rPr>
      </w:pPr>
      <w:r w:rsidRPr="00AD740C">
        <w:rPr>
          <w:color w:val="000000"/>
        </w:rPr>
        <w:t>2.</w:t>
      </w:r>
      <w:r w:rsidRPr="00AD740C">
        <w:rPr>
          <w:color w:val="000000"/>
        </w:rPr>
        <w:tab/>
        <w:t>Europaparlamentet stöder den överenskommelse som nåddes den 18 mars 2025 i förlikningen mellan presidiet och budgetutskottet om att fastställa ökningen jämfört med budgeten för 2025 till 4,09 %, vilket motsvarar en total budgetberäkning på 2 636 241 620 EUR för 2026, och att i enlighet med detta minska de föreslagna anslagen för följande budgetposter med totalt 12 378 000 EUR:</w:t>
      </w:r>
    </w:p>
    <w:p w14:paraId="0A931814" w14:textId="77777777" w:rsidR="00F11B35" w:rsidRPr="00AD740C" w:rsidRDefault="00F11B35" w:rsidP="00F11B35">
      <w:pPr>
        <w:widowControl/>
        <w:spacing w:after="240"/>
        <w:ind w:left="567"/>
        <w:rPr>
          <w:color w:val="000000"/>
        </w:rPr>
      </w:pPr>
      <w:r w:rsidRPr="00AD740C">
        <w:rPr>
          <w:color w:val="000000"/>
        </w:rPr>
        <w:t>1 0 0 6 — Ersättning för allmänna utgifter, 1 4 2 — Externa översättningstjänster, 2 0 0 0 — Hyra, 2 0 0 7 — Uppförande av byggnader och inredning av lokaler, 2 0 2 4 — Energiförbrukning, 2 1 0 1 — Förvaltning av operativa tillämpningar, 3 2 0 — Experthjälp, 3 2 4 3 — Europaparlamentets besökscentrum, 3 2 4 8 — Utgifter för audiovisuell information, 4 4 — Sammanträden och annan verksamhet för ledamöter och före detta ledamöter.</w:t>
      </w:r>
    </w:p>
    <w:p w14:paraId="480F5D1B" w14:textId="77777777" w:rsidR="00F11B35" w:rsidRPr="00AD740C" w:rsidRDefault="00F11B35" w:rsidP="00F11B35">
      <w:pPr>
        <w:widowControl/>
        <w:spacing w:after="240"/>
        <w:ind w:left="567"/>
        <w:rPr>
          <w:color w:val="000000"/>
        </w:rPr>
      </w:pPr>
      <w:r w:rsidRPr="00AD740C">
        <w:rPr>
          <w:color w:val="000000"/>
        </w:rPr>
        <w:t>Dessutom beslutade man att öka utgiftsnivån i det preliminära förslaget till budgetberäkning som godkändes av presidiet den 10 mars 2025 med 7 010 000 EUR och att i enlighet med detta öka de föreslagna anslagen för följande budgetposter:</w:t>
      </w:r>
    </w:p>
    <w:p w14:paraId="1073A43C" w14:textId="77777777" w:rsidR="00F11B35" w:rsidRPr="00AD740C" w:rsidRDefault="00F11B35" w:rsidP="00F11B35">
      <w:pPr>
        <w:widowControl/>
        <w:spacing w:after="240"/>
        <w:ind w:left="567"/>
        <w:rPr>
          <w:color w:val="000000"/>
        </w:rPr>
      </w:pPr>
      <w:r w:rsidRPr="00AD740C">
        <w:rPr>
          <w:color w:val="000000"/>
        </w:rPr>
        <w:t>1 2 0 0 — Löner och ersättningar, 1 6 3 0 — Socialt stöd: sociala insatser, 4 0 0 — Utgifter för de politiska gruppernas och de grupplösa ledamöternas administration, politiska verksamhet och informationsverksamhet, och 4 0 3 — Finansiering av europeiska politiska stiftelser.</w:t>
      </w:r>
    </w:p>
    <w:p w14:paraId="3F7059F4" w14:textId="77777777" w:rsidR="00F11B35" w:rsidRPr="00AD740C" w:rsidRDefault="00F11B35" w:rsidP="00F11B35">
      <w:pPr>
        <w:widowControl/>
        <w:spacing w:after="240"/>
        <w:ind w:left="567"/>
        <w:rPr>
          <w:color w:val="000000"/>
        </w:rPr>
      </w:pPr>
      <w:r w:rsidRPr="00AD740C">
        <w:rPr>
          <w:color w:val="000000"/>
        </w:rPr>
        <w:t>Slutligen enades man om att ändra budgetanmärkningarna till budgetpost 1 6 3 0 – Socialt stöd: sociala insatser ska innehålla en hänvisning till kommittén för ackrediterade assistenter.</w:t>
      </w:r>
    </w:p>
    <w:p w14:paraId="5437BC68" w14:textId="4338E686" w:rsidR="00F11B35" w:rsidRPr="00AD740C" w:rsidRDefault="00F11B35" w:rsidP="00F11B35">
      <w:pPr>
        <w:widowControl/>
        <w:spacing w:after="240"/>
        <w:ind w:left="567" w:hanging="567"/>
        <w:rPr>
          <w:color w:val="000000"/>
        </w:rPr>
      </w:pPr>
      <w:r w:rsidRPr="00AD740C">
        <w:rPr>
          <w:color w:val="000000"/>
        </w:rPr>
        <w:t>3.</w:t>
      </w:r>
      <w:r w:rsidRPr="00AD740C">
        <w:rPr>
          <w:color w:val="000000"/>
        </w:rPr>
        <w:tab/>
        <w:t xml:space="preserve">Europaparlamentet påminner om att nästan två tredjedelar av budgeten </w:t>
      </w:r>
      <w:r w:rsidR="00852383" w:rsidRPr="00AD740C">
        <w:rPr>
          <w:color w:val="000000"/>
        </w:rPr>
        <w:t>är baserad på</w:t>
      </w:r>
      <w:r w:rsidRPr="00AD740C">
        <w:rPr>
          <w:color w:val="000000"/>
        </w:rPr>
        <w:t xml:space="preserve"> lagstadgade skyldigheter. Parlamentet noterar att av ökningen på 103,5 miljoner EUR jämfört med 2025 års budget beror en ökning på 85,3 miljoner EUR på lagstadgade ekonomiska skyldigheter, främst för löneuppdateringar för tjänstemän och tillfälligt anställda (52,7 miljoner EUR), kontraktsanställda (9,2 miljoner EUR) och ackrediterade assistenter (15,1 miljoner EUR). Parlamentet påminner om att löneindexeringen, i linje med tjänsteföreskrifterna och Europaparlamentets ledamotsstadga, enligt kommissionens beräkningar för närvarande förväntas uppgå till 1,2 % för april 2025, 4,6 % för juli 2025, 0,6 % för april 2026 och 3,4 % för juli 2026.</w:t>
      </w:r>
    </w:p>
    <w:p w14:paraId="7943C8A8" w14:textId="77777777" w:rsidR="00F11B35" w:rsidRPr="00AD740C" w:rsidRDefault="00F11B35" w:rsidP="00F11B35">
      <w:pPr>
        <w:widowControl/>
        <w:spacing w:after="240"/>
        <w:ind w:left="567" w:hanging="567"/>
        <w:rPr>
          <w:color w:val="000000"/>
        </w:rPr>
      </w:pPr>
      <w:r w:rsidRPr="00AD740C">
        <w:rPr>
          <w:color w:val="000000"/>
        </w:rPr>
        <w:lastRenderedPageBreak/>
        <w:t>4.</w:t>
      </w:r>
      <w:r w:rsidRPr="00AD740C">
        <w:rPr>
          <w:color w:val="000000"/>
        </w:rPr>
        <w:tab/>
        <w:t>Europaparlamentet noterar att parlamentet för tredje året i rad inte begär några ytterligare tjänster för 2026.</w:t>
      </w:r>
    </w:p>
    <w:p w14:paraId="3875BDEF" w14:textId="77777777" w:rsidR="00F11B35" w:rsidRPr="00AD740C" w:rsidRDefault="00F11B35" w:rsidP="00F11B35">
      <w:pPr>
        <w:widowControl/>
        <w:spacing w:after="240"/>
        <w:ind w:left="567" w:hanging="567"/>
        <w:rPr>
          <w:color w:val="000000"/>
        </w:rPr>
      </w:pPr>
      <w:r w:rsidRPr="00AD740C">
        <w:rPr>
          <w:color w:val="000000"/>
        </w:rPr>
        <w:t>5.</w:t>
      </w:r>
      <w:r w:rsidRPr="00AD740C">
        <w:rPr>
          <w:color w:val="000000"/>
        </w:rPr>
        <w:tab/>
        <w:t>Europaparlamentet noterar att ökningen av icke-lagstadgade utgifter mellan 2025 och 2026 uppgår till 1,96 %.</w:t>
      </w:r>
    </w:p>
    <w:p w14:paraId="180438B1" w14:textId="77777777" w:rsidR="00F11B35" w:rsidRPr="00AD740C" w:rsidRDefault="00F11B35" w:rsidP="00F11B35">
      <w:pPr>
        <w:widowControl/>
        <w:spacing w:after="240"/>
        <w:ind w:left="567" w:hanging="567"/>
        <w:rPr>
          <w:color w:val="000000"/>
        </w:rPr>
      </w:pPr>
      <w:r w:rsidRPr="00AD740C">
        <w:rPr>
          <w:color w:val="000000"/>
        </w:rPr>
        <w:t>6.</w:t>
      </w:r>
      <w:r w:rsidRPr="00AD740C">
        <w:rPr>
          <w:color w:val="000000"/>
        </w:rPr>
        <w:tab/>
        <w:t>Europaparlamentet välkomnar generalsekreterarens initiativ att genomföra en omfattande granskning som syftar till att identifiera möjligheter till administrativ förenkling, undanröja ineffektivitet och säkerställa påtagliga kostnadsminskningar och därmed öka effektiviteten och säkerställa en smart resursanvändning. Parlamentet uppmanar generalsekreteraren att förse budgetutskottet med halvårsvisa uppdateringar om de åtgärder som vidtagits och om handlingsplanen för förenkling samt deras inverkan på budgeten och personalen. Parlamentet understryker att administrativa förfaranden och personalförvaltning utgör en tung börda för ledamöterna, särskilt när de anställer lokala assistenter, och efterlyser förenkling i detta avseende.</w:t>
      </w:r>
    </w:p>
    <w:p w14:paraId="74FFA0FC" w14:textId="77777777" w:rsidR="00F11B35" w:rsidRPr="00AD740C" w:rsidRDefault="00F11B35" w:rsidP="00F11B35">
      <w:pPr>
        <w:pStyle w:val="NormalHanging12a"/>
      </w:pPr>
      <w:r w:rsidRPr="00AD740C">
        <w:t>7.</w:t>
      </w:r>
      <w:r w:rsidRPr="00AD740C">
        <w:tab/>
        <w:t>Europaparlamentets noterar att parlamentets budget bör fastställas på en realistisk grund och i enlighet med principerna om budgetdisciplin och sund ekonomisk förvaltning. Parlamentet framhåller att det är viktigt att säkerställa att finansiell försiktighet och säkerhet förblir centrala prioriteringar samtidigt som man garanterar att dessa åtgärder inte hindrar institutionens och dess nyckelpersonals effektivitet, ändamålsenlighet och operativa kapacitet att utföra sina uppgifter på ett framgångsrikt sätt. Parlamentet betonar att parlamentet, med tanke på det geopolitiska sammanhanget och de investeringar som unionen kommer att behöva göra för sitt strategiska oberoende, måste föregå med gott exempel i samband med förvaltningen av sin budget.</w:t>
      </w:r>
    </w:p>
    <w:p w14:paraId="0DCFD6B7" w14:textId="77777777" w:rsidR="00F11B35" w:rsidRPr="00AD740C" w:rsidRDefault="00F11B35" w:rsidP="00F11B35">
      <w:pPr>
        <w:pStyle w:val="NormalHanging12a"/>
      </w:pPr>
      <w:r w:rsidRPr="00AD740C">
        <w:t>8.</w:t>
      </w:r>
      <w:r w:rsidRPr="00AD740C">
        <w:tab/>
        <w:t>Europaparlamentet framhåller parlamentets roll när det gäller att skapa en europeisk politisk medvetenhet och främja unionens värden, såsom den digitala och den gröna omställningen. Parlamentet betonar att transparens, ansvarsskyldighet, jämställdhet och integritet är grundläggande principer för unionens institutioner och särskilt för parlamentet, såsom säte för den europeiska demokratin.</w:t>
      </w:r>
    </w:p>
    <w:p w14:paraId="796CE4FF" w14:textId="77777777" w:rsidR="00F11B35" w:rsidRPr="00AD740C" w:rsidRDefault="00F11B35" w:rsidP="00F11B35">
      <w:pPr>
        <w:widowControl/>
        <w:spacing w:after="240"/>
        <w:rPr>
          <w:b/>
          <w:i/>
          <w:color w:val="000000"/>
        </w:rPr>
      </w:pPr>
      <w:r w:rsidRPr="00AD740C">
        <w:rPr>
          <w:b/>
          <w:i/>
          <w:color w:val="000000"/>
        </w:rPr>
        <w:t>Förstärkning av parlamentets kärnverksamhet</w:t>
      </w:r>
    </w:p>
    <w:p w14:paraId="619A0584" w14:textId="77777777" w:rsidR="00F11B35" w:rsidRPr="00AD740C" w:rsidRDefault="00F11B35" w:rsidP="00F11B35">
      <w:pPr>
        <w:pStyle w:val="NormalHanging12a"/>
      </w:pPr>
      <w:r w:rsidRPr="00AD740C">
        <w:t>9.</w:t>
      </w:r>
      <w:r w:rsidRPr="00AD740C">
        <w:tab/>
        <w:t>Europaparlamentet noterar de fyra nya tematiska generaldirektorat med ansvar för lagstiftnings-, budget- och kontrollverksamhet som inrättades i september 2024 på grundval av det tidigare generaldirektoratet för EU-intern politik, i syfte att förbättra parlamentets funktion som medlagstiftare, som en av budgetmyndighetens två parter och som ansvarsfrihetsbeviljande myndighet. Parlamentet uppmanar generalsekreteraren att förse budgetutskottet med regelbundna uppdateringar om utvecklingen av arbetet och om personalutvecklingen i dessa generaldirektorat.</w:t>
      </w:r>
    </w:p>
    <w:p w14:paraId="6CD294F5" w14:textId="77777777" w:rsidR="00F11B35" w:rsidRPr="00AD740C" w:rsidRDefault="00F11B35" w:rsidP="00F11B35">
      <w:pPr>
        <w:pStyle w:val="NormalHanging12a"/>
        <w:spacing w:after="0"/>
      </w:pPr>
      <w:r w:rsidRPr="00AD740C">
        <w:t>10.</w:t>
      </w:r>
      <w:r w:rsidRPr="00AD740C">
        <w:tab/>
        <w:t>Europaparlamentet erkänner att politiska beslut måste baseras mer på bevis och fakta. Parlamentet noterar budgeten på 16,75 miljoner EUR för att stärka parlamentets administrativa kapacitet att stödja ledamöterna i deras parlamentariska arbete och stärka parlamentets förmåga att hantera komplexitet och osäkerhet.</w:t>
      </w:r>
    </w:p>
    <w:p w14:paraId="65A96C72" w14:textId="77777777" w:rsidR="00F11B35" w:rsidRPr="00AD740C" w:rsidRDefault="00F11B35" w:rsidP="00F11B35">
      <w:pPr>
        <w:widowControl/>
        <w:ind w:left="567" w:hanging="567"/>
        <w:rPr>
          <w:color w:val="000000"/>
        </w:rPr>
      </w:pPr>
    </w:p>
    <w:p w14:paraId="2FB22B8E" w14:textId="77777777" w:rsidR="00F11B35" w:rsidRPr="00AD740C" w:rsidRDefault="00F11B35" w:rsidP="00F11B35">
      <w:pPr>
        <w:widowControl/>
        <w:spacing w:after="240"/>
        <w:ind w:left="567" w:hanging="567"/>
        <w:rPr>
          <w:color w:val="000000"/>
        </w:rPr>
      </w:pPr>
      <w:r w:rsidRPr="00AD740C">
        <w:rPr>
          <w:color w:val="000000"/>
        </w:rPr>
        <w:t>11.</w:t>
      </w:r>
      <w:r w:rsidRPr="00AD740C">
        <w:rPr>
          <w:color w:val="000000"/>
        </w:rPr>
        <w:tab/>
        <w:t>Europaparlamentet betonar de politiska gruppernas avgörande roll när det gäller att tillhandahålla sakkunskap och politiskt stöd till ledamöterna i deras lagstiftningsarbete och parlamentariska arbete. Parlamentet understryker behovet av att säkerställa det viktiga målet att stärka parlamentets kapacitet att stödja ledamöternas arbete.</w:t>
      </w:r>
    </w:p>
    <w:p w14:paraId="613DADC4" w14:textId="77777777" w:rsidR="00F11B35" w:rsidRPr="00AD740C" w:rsidRDefault="00F11B35" w:rsidP="00F11B35">
      <w:pPr>
        <w:widowControl/>
        <w:spacing w:after="240"/>
        <w:ind w:left="567" w:hanging="567"/>
        <w:rPr>
          <w:b/>
          <w:i/>
          <w:color w:val="000000"/>
        </w:rPr>
      </w:pPr>
      <w:r w:rsidRPr="00AD740C">
        <w:rPr>
          <w:b/>
          <w:i/>
          <w:color w:val="000000"/>
        </w:rPr>
        <w:lastRenderedPageBreak/>
        <w:t xml:space="preserve">Digital omställning </w:t>
      </w:r>
    </w:p>
    <w:p w14:paraId="16402779" w14:textId="77777777" w:rsidR="00F11B35" w:rsidRPr="00AD740C" w:rsidRDefault="00F11B35" w:rsidP="00F11B35">
      <w:pPr>
        <w:widowControl/>
        <w:spacing w:after="240"/>
        <w:ind w:left="567" w:hanging="567"/>
        <w:rPr>
          <w:color w:val="000000"/>
        </w:rPr>
      </w:pPr>
      <w:r w:rsidRPr="00AD740C">
        <w:rPr>
          <w:color w:val="000000"/>
        </w:rPr>
        <w:t>12.</w:t>
      </w:r>
      <w:r w:rsidRPr="00AD740C">
        <w:rPr>
          <w:color w:val="000000"/>
        </w:rPr>
        <w:tab/>
        <w:t xml:space="preserve">Europaparlamentet understryker att parlamentets cybersäkerhet är en central prioritering. Parlamentet noterar att den totala </w:t>
      </w:r>
      <w:proofErr w:type="spellStart"/>
      <w:r w:rsidRPr="00AD740C">
        <w:rPr>
          <w:color w:val="000000"/>
        </w:rPr>
        <w:t>it-budgeten</w:t>
      </w:r>
      <w:proofErr w:type="spellEnd"/>
      <w:r w:rsidRPr="00AD740C">
        <w:rPr>
          <w:color w:val="000000"/>
        </w:rPr>
        <w:t xml:space="preserve"> utgör 7,40 % av den totala budgeten i budgetberäkningen för 2026. Parlamentet betonar vikten av en sund cybersäkerhetsinfrastruktur i geopolitiskt turbulenta tider och välkomnar ökningen av anslagen till cybersäkerhet. Parlamentet stöder den planerade gradvisa ökningen av anslagen för cybersäkerhet till 10 % av parlamentets IKT-budget senast 2027.</w:t>
      </w:r>
    </w:p>
    <w:p w14:paraId="36371CAF" w14:textId="77777777" w:rsidR="00F11B35" w:rsidRPr="00AD740C" w:rsidRDefault="00F11B35" w:rsidP="00F11B35">
      <w:pPr>
        <w:widowControl/>
        <w:spacing w:after="240"/>
        <w:ind w:left="567" w:hanging="567"/>
        <w:rPr>
          <w:color w:val="000000"/>
        </w:rPr>
      </w:pPr>
      <w:r w:rsidRPr="00AD740C">
        <w:rPr>
          <w:color w:val="000000"/>
        </w:rPr>
        <w:t>13.</w:t>
      </w:r>
      <w:r w:rsidRPr="00AD740C">
        <w:rPr>
          <w:color w:val="000000"/>
        </w:rPr>
        <w:tab/>
        <w:t xml:space="preserve">Europaparlamentet välkomnar presidiets antagande den 10 februari 2025 av den interna ramen för hantering, styrning och kontroll av cybersäkerhetsrisker. Parlamentet påminner om att investeringar i cybersäkerhet är avgörande för att skydda parlamentets och unionens demokratiska röst. </w:t>
      </w:r>
    </w:p>
    <w:p w14:paraId="7B54233D" w14:textId="77777777" w:rsidR="00F11B35" w:rsidRPr="00AD740C" w:rsidRDefault="00F11B35" w:rsidP="00F11B35">
      <w:pPr>
        <w:widowControl/>
        <w:spacing w:after="240"/>
        <w:ind w:left="567" w:hanging="567"/>
        <w:rPr>
          <w:color w:val="000000"/>
        </w:rPr>
      </w:pPr>
      <w:r w:rsidRPr="00AD740C">
        <w:rPr>
          <w:color w:val="000000"/>
        </w:rPr>
        <w:t>14.</w:t>
      </w:r>
      <w:r w:rsidRPr="00AD740C">
        <w:rPr>
          <w:color w:val="000000"/>
        </w:rPr>
        <w:tab/>
        <w:t>Europaparlamentet välkomnar investeringar i artificiell intelligens (AI) som uppgår till 1 miljon EUR. Parlamentet efterlyser ökad användning av AI för att uppnå effektivitetsvinster, samtidigt som man beaktar de därmed sammanhängande riskerna, inbegripet etik och dataskydd. Parlamentet framhåller AI:s potential att effektivisera de administrativa processerna. Parlamentet betonar att införandet av AI måste balansera innovation med nödvändiga skyddsåtgärder. Parlamentet noterar att utvecklingen av AI kommer att övervakas noga i enlighet med de principer som fastställts av presidiet, som bland annat omfattar en grundlig riskbedömning vid användning av ny teknik. Parlamentet uppmanar sekretariatet att tillhandahålla lösningar, såsom applikationer och verktyg, som ska göras tillgängliga för ledamöterna och personalen så snart som möjligt.</w:t>
      </w:r>
    </w:p>
    <w:p w14:paraId="65D8C7CE" w14:textId="77777777" w:rsidR="00F11B35" w:rsidRPr="00AD740C" w:rsidRDefault="00F11B35" w:rsidP="00F11B35">
      <w:pPr>
        <w:keepNext/>
        <w:widowControl/>
        <w:ind w:left="357" w:hanging="357"/>
        <w:rPr>
          <w:b/>
          <w:i/>
          <w:color w:val="000000"/>
        </w:rPr>
      </w:pPr>
      <w:r w:rsidRPr="00AD740C">
        <w:rPr>
          <w:b/>
          <w:i/>
          <w:color w:val="000000"/>
        </w:rPr>
        <w:t>Den gröna omställningen</w:t>
      </w:r>
    </w:p>
    <w:p w14:paraId="4876125C" w14:textId="77777777" w:rsidR="00F11B35" w:rsidRPr="00AD740C" w:rsidRDefault="00F11B35" w:rsidP="00F11B35">
      <w:pPr>
        <w:widowControl/>
        <w:ind w:left="567" w:hanging="567"/>
        <w:rPr>
          <w:color w:val="000000"/>
        </w:rPr>
      </w:pPr>
    </w:p>
    <w:p w14:paraId="74AB3C2B" w14:textId="77777777" w:rsidR="00F11B35" w:rsidRPr="00AD740C" w:rsidRDefault="00F11B35" w:rsidP="00F11B35">
      <w:pPr>
        <w:widowControl/>
        <w:ind w:left="567" w:hanging="567"/>
        <w:rPr>
          <w:color w:val="000000"/>
        </w:rPr>
      </w:pPr>
      <w:r w:rsidRPr="00AD740C">
        <w:rPr>
          <w:color w:val="000000"/>
        </w:rPr>
        <w:t>15.</w:t>
      </w:r>
      <w:r w:rsidRPr="00AD740C">
        <w:rPr>
          <w:color w:val="000000"/>
        </w:rPr>
        <w:tab/>
        <w:t>Europaparlamentet välkomnar målen för parlamentets miljöledningssystem (Emas) för 2025–2029. Parlamentet påminner om att investeringar i energieffektivitet är en bra metod för att uppnå valuta för pengarna. Parlamentet noterar budgeten på 8,45 miljoner EUR för investeringar i energieffektivitet och miljö i budgetberäkningen för 2026 för att ytterligare förbättra byggnadernas miljöprestanda. Parlamentet noterar att detta motsvarar en ökning med 74 % jämfört med 2025 års budget. Parlamentet konstaterar dock att dessa miljöåtgärder ingår i budgetpost 2007 ”Uppförande av byggnader och inredning av lokaler”, vars totala belopp har minskat med 3,7 miljoner EUR 2026 jämfört med 2025.</w:t>
      </w:r>
    </w:p>
    <w:p w14:paraId="68303B46" w14:textId="77777777" w:rsidR="00F11B35" w:rsidRPr="00AD740C" w:rsidRDefault="00F11B35" w:rsidP="00F11B35">
      <w:pPr>
        <w:widowControl/>
        <w:ind w:left="567" w:hanging="567"/>
        <w:rPr>
          <w:color w:val="000000"/>
        </w:rPr>
      </w:pPr>
    </w:p>
    <w:p w14:paraId="1D5EDDCC" w14:textId="77777777" w:rsidR="00F11B35" w:rsidRPr="00AD740C" w:rsidRDefault="00F11B35" w:rsidP="00F11B35">
      <w:pPr>
        <w:widowControl/>
        <w:ind w:left="567" w:hanging="567"/>
        <w:rPr>
          <w:color w:val="000000"/>
        </w:rPr>
      </w:pPr>
      <w:r w:rsidRPr="00AD740C">
        <w:rPr>
          <w:color w:val="000000"/>
        </w:rPr>
        <w:t>16.</w:t>
      </w:r>
      <w:r w:rsidRPr="00AD740C">
        <w:rPr>
          <w:color w:val="000000"/>
        </w:rPr>
        <w:tab/>
        <w:t>Europaparlamentet påminner om att nästan två tredjedelar av parlamentets koldioxidavtryck härrör från persontransporter. Parlamentet efterlyser en rimlig minskning av antalet resor i samband med sammanträden som på ett effektivt sätt kan genomföras på distans eller i hybridform, och främjande av en övergång till koldioxidsnåla alternativ för alla övriga resor, så länge detta inte påverkar kvaliteten på lagstiftningsarbetet och det politiska arbetet.</w:t>
      </w:r>
    </w:p>
    <w:p w14:paraId="5B6FAE21" w14:textId="77777777" w:rsidR="00F11B35" w:rsidRPr="00AD740C" w:rsidRDefault="00F11B35" w:rsidP="00F11B35">
      <w:pPr>
        <w:widowControl/>
        <w:ind w:left="567" w:hanging="567"/>
        <w:rPr>
          <w:color w:val="000000"/>
        </w:rPr>
      </w:pPr>
      <w:r w:rsidRPr="00AD740C">
        <w:rPr>
          <w:color w:val="000000"/>
        </w:rPr>
        <w:t xml:space="preserve"> </w:t>
      </w:r>
    </w:p>
    <w:p w14:paraId="66780BB7" w14:textId="77777777" w:rsidR="00F11B35" w:rsidRPr="00AD740C" w:rsidRDefault="00F11B35" w:rsidP="00F11B35">
      <w:pPr>
        <w:widowControl/>
        <w:ind w:left="567" w:hanging="567"/>
        <w:rPr>
          <w:color w:val="000000"/>
        </w:rPr>
      </w:pPr>
      <w:r w:rsidRPr="00AD740C">
        <w:rPr>
          <w:color w:val="000000"/>
        </w:rPr>
        <w:t>17.</w:t>
      </w:r>
      <w:r w:rsidRPr="00AD740C">
        <w:rPr>
          <w:color w:val="000000"/>
        </w:rPr>
        <w:tab/>
        <w:t>Europaparlamentet noterar den beräknade ökningen av priserna på koldioxidkrediter som med de nuvarande utsläppsnivåerna skulle kräva uppskattningsvis 900 000 EUR för 2026. Parlamentet uppmanar administrationen att fortsätta att minska parlamentets utsläpp i stället för att köpa koldioxidkrediter, i linje med en sund ekonomisk förvaltning. Parlamentet välkomnar införandet av ett förbättrat tågutbud för resor till Strasbourg från och med juli 2025, som ett positivt steg mot att minska koldioxidutsläppen.</w:t>
      </w:r>
    </w:p>
    <w:p w14:paraId="2666629E" w14:textId="77777777" w:rsidR="00F11B35" w:rsidRPr="00AD740C" w:rsidRDefault="00F11B35" w:rsidP="00F11B35">
      <w:pPr>
        <w:widowControl/>
        <w:ind w:left="567" w:hanging="567"/>
        <w:rPr>
          <w:color w:val="000000"/>
        </w:rPr>
      </w:pPr>
    </w:p>
    <w:p w14:paraId="40E219E5" w14:textId="77777777" w:rsidR="00F11B35" w:rsidRPr="00AD740C" w:rsidRDefault="00F11B35" w:rsidP="00F11B35">
      <w:pPr>
        <w:widowControl/>
        <w:spacing w:after="240"/>
        <w:ind w:left="567" w:hanging="567"/>
        <w:rPr>
          <w:color w:val="000000"/>
        </w:rPr>
      </w:pPr>
      <w:r w:rsidRPr="00AD740C">
        <w:rPr>
          <w:color w:val="000000"/>
        </w:rPr>
        <w:t>18.</w:t>
      </w:r>
      <w:r w:rsidRPr="00AD740C">
        <w:rPr>
          <w:color w:val="000000"/>
        </w:rPr>
        <w:tab/>
        <w:t>Europaparlamentet noterar att parlamentet dessutom har installerat och fortsätter att installera solcellspaneler för att ytterligare öka andelen förnybar energi som produceras på plats för att nå målet på 25 %. Parlamentet noterar generalsekreterarens svar på beräkningen av Europaparlamentets inkomster och utgifter för budgetåret 2024, där det påpekas att en studie om användningen av solcellspaneler på byggnaderna i Strasbourg genomfördes 2022 och slutfördes 2023, och att ytterligare studier skulle genomföras under 2024 för genomförbara lösningar, särskilt för WEISS-byggnaden.</w:t>
      </w:r>
    </w:p>
    <w:p w14:paraId="3D083F82" w14:textId="77777777" w:rsidR="00F11B35" w:rsidRPr="00AD740C" w:rsidRDefault="00F11B35" w:rsidP="00F11B35">
      <w:pPr>
        <w:rPr>
          <w:b/>
          <w:i/>
          <w:color w:val="000000"/>
        </w:rPr>
      </w:pPr>
      <w:r w:rsidRPr="00AD740C">
        <w:rPr>
          <w:b/>
          <w:i/>
          <w:color w:val="000000"/>
        </w:rPr>
        <w:t>Flerspråkighet, kommunikation och desinformation</w:t>
      </w:r>
    </w:p>
    <w:p w14:paraId="0079257D" w14:textId="77777777" w:rsidR="00F11B35" w:rsidRPr="00AD740C" w:rsidRDefault="00F11B35" w:rsidP="00F11B35">
      <w:pPr>
        <w:widowControl/>
        <w:ind w:left="567" w:hanging="567"/>
        <w:rPr>
          <w:color w:val="000000"/>
        </w:rPr>
      </w:pPr>
    </w:p>
    <w:p w14:paraId="429FD5EC" w14:textId="77777777" w:rsidR="00F11B35" w:rsidRPr="00AD740C" w:rsidRDefault="00F11B35" w:rsidP="00F11B35">
      <w:pPr>
        <w:widowControl/>
        <w:ind w:left="567" w:hanging="567"/>
        <w:rPr>
          <w:color w:val="000000"/>
        </w:rPr>
      </w:pPr>
      <w:r w:rsidRPr="00AD740C">
        <w:rPr>
          <w:color w:val="000000"/>
        </w:rPr>
        <w:t>19.</w:t>
      </w:r>
      <w:r w:rsidRPr="00AD740C">
        <w:rPr>
          <w:color w:val="000000"/>
        </w:rPr>
        <w:tab/>
        <w:t>Europaparlamentet framhåller att flerspråkighet är en central princip som parlamentets arbete bygger på. Parlamentet noterar översynen av riktlinjerna för flerspråkigheten som planeras äga rum under våren 2025. Parlamentet uppmanas att, när så är lämpligt, dra nytta av den betydande tekniska utvecklingen när det gäller tjänster med anknytning till flerspråkighet, inbegripet utveckling och användning av AI. Parlamentet uppmanar generalsekreteraren att i god tid informera budgetutskottet om eventuella budgetkonsekvenser till följd av denna översyn.</w:t>
      </w:r>
    </w:p>
    <w:p w14:paraId="08DE8A58" w14:textId="77777777" w:rsidR="00F11B35" w:rsidRPr="00AD740C" w:rsidRDefault="00F11B35" w:rsidP="00F11B35">
      <w:pPr>
        <w:widowControl/>
        <w:ind w:left="567" w:hanging="567"/>
        <w:rPr>
          <w:color w:val="000000"/>
        </w:rPr>
      </w:pPr>
    </w:p>
    <w:p w14:paraId="5C6DF51C" w14:textId="77777777" w:rsidR="00F11B35" w:rsidRPr="00AD740C" w:rsidRDefault="00F11B35" w:rsidP="00F11B35">
      <w:pPr>
        <w:widowControl/>
        <w:ind w:left="567" w:hanging="567"/>
        <w:rPr>
          <w:color w:val="000000"/>
        </w:rPr>
      </w:pPr>
      <w:r w:rsidRPr="00AD740C">
        <w:rPr>
          <w:color w:val="000000"/>
        </w:rPr>
        <w:t>20.</w:t>
      </w:r>
      <w:r w:rsidRPr="00AD740C">
        <w:rPr>
          <w:color w:val="000000"/>
        </w:rPr>
        <w:tab/>
        <w:t>Europaparlamentet framhåller den roll som Europaparlamentets förbindelsekontor spelar för att motverka utländsk inblandning och desinformation. Parlamentet noterar i detta avseende det arbete som utförs av förbindelsekontoren för att proaktivt främja parlamentets arbete på sina lokala språk via flera kanaler. Parlamentet framhåller förbindelsekontorets roll i Förenade kungariket som den viktigaste kontaktpunkten för unionsmedborgare som är bosatta i Förenade kungariket, som förser dem med information om parlamentet och uppmuntrar dem att rösta i valet till Europaparlamentet. Parlamentet uppmanar presidiet att utöka produktionen och spridningen av kommunikationsmaterial på ett tillgängligt och inkluderande sätt.</w:t>
      </w:r>
    </w:p>
    <w:p w14:paraId="01611448" w14:textId="77777777" w:rsidR="00F11B35" w:rsidRPr="00AD740C" w:rsidRDefault="00F11B35" w:rsidP="00F11B35">
      <w:pPr>
        <w:widowControl/>
        <w:ind w:left="567" w:hanging="567"/>
        <w:rPr>
          <w:color w:val="000000"/>
        </w:rPr>
      </w:pPr>
    </w:p>
    <w:p w14:paraId="0453D139" w14:textId="77777777" w:rsidR="00F11B35" w:rsidRPr="00AD740C" w:rsidRDefault="00F11B35" w:rsidP="00F11B35">
      <w:pPr>
        <w:widowControl/>
        <w:ind w:left="567" w:hanging="567"/>
        <w:rPr>
          <w:color w:val="000000"/>
        </w:rPr>
      </w:pPr>
      <w:r w:rsidRPr="00AD740C">
        <w:rPr>
          <w:color w:val="000000"/>
        </w:rPr>
        <w:t>21.</w:t>
      </w:r>
      <w:r w:rsidRPr="00AD740C">
        <w:rPr>
          <w:color w:val="000000"/>
        </w:rPr>
        <w:tab/>
        <w:t>Europaparlamentet framhåller det låga deltagandet bland ungdomar i det senaste valet till Europaparlamentet i vissa regioner i unionen och parlamentets roll när det gäller att stärka EU-medborgarutbildningen.</w:t>
      </w:r>
    </w:p>
    <w:p w14:paraId="1E8E1AA1" w14:textId="77777777" w:rsidR="00F11B35" w:rsidRPr="00AD740C" w:rsidRDefault="00F11B35" w:rsidP="00F11B35">
      <w:pPr>
        <w:widowControl/>
        <w:ind w:left="567" w:hanging="567"/>
        <w:rPr>
          <w:color w:val="000000"/>
        </w:rPr>
      </w:pPr>
    </w:p>
    <w:p w14:paraId="4CA043D3" w14:textId="77777777" w:rsidR="00F11B35" w:rsidRPr="00AD740C" w:rsidRDefault="00F11B35" w:rsidP="00F11B35">
      <w:pPr>
        <w:widowControl/>
        <w:ind w:left="567" w:hanging="567"/>
        <w:rPr>
          <w:color w:val="000000"/>
        </w:rPr>
      </w:pPr>
      <w:r w:rsidRPr="00AD740C">
        <w:rPr>
          <w:color w:val="000000"/>
        </w:rPr>
        <w:t>22.</w:t>
      </w:r>
      <w:r w:rsidRPr="00AD740C">
        <w:rPr>
          <w:color w:val="000000"/>
        </w:rPr>
        <w:tab/>
        <w:t xml:space="preserve">Europaparlamentet påminner om vikten av Europaparlamentets </w:t>
      </w:r>
      <w:proofErr w:type="spellStart"/>
      <w:r w:rsidRPr="00AD740C">
        <w:rPr>
          <w:color w:val="000000"/>
        </w:rPr>
        <w:t>ambassadörsskoleprogram</w:t>
      </w:r>
      <w:proofErr w:type="spellEnd"/>
      <w:r w:rsidRPr="00AD740C">
        <w:rPr>
          <w:color w:val="000000"/>
        </w:rPr>
        <w:t xml:space="preserve"> för att främja ett aktivt engagemang bland unga européer och vikten av utbildningsprogrammet för unga journalister, uppkallat efter David </w:t>
      </w:r>
      <w:proofErr w:type="spellStart"/>
      <w:r w:rsidRPr="00AD740C">
        <w:rPr>
          <w:color w:val="000000"/>
        </w:rPr>
        <w:t>Sassoli</w:t>
      </w:r>
      <w:proofErr w:type="spellEnd"/>
      <w:r w:rsidRPr="00AD740C">
        <w:rPr>
          <w:color w:val="000000"/>
        </w:rPr>
        <w:t>, för att stärka förståelsen av unionen och dess funktion bland journalister, som det bästa motståndet mot desinformation, mot bakgrund av den senaste tidens utveckling med en oroande nedgång i mediernas frihet och oberoende i hela unionen.</w:t>
      </w:r>
    </w:p>
    <w:p w14:paraId="3B56CC15" w14:textId="77777777" w:rsidR="00F11B35" w:rsidRPr="00AD740C" w:rsidRDefault="00F11B35" w:rsidP="00F11B35">
      <w:pPr>
        <w:widowControl/>
        <w:ind w:left="567" w:hanging="567"/>
        <w:rPr>
          <w:color w:val="000000"/>
        </w:rPr>
      </w:pPr>
    </w:p>
    <w:p w14:paraId="0BE01C4C" w14:textId="77777777" w:rsidR="00F11B35" w:rsidRPr="00AD740C" w:rsidRDefault="00F11B35" w:rsidP="00F11B35">
      <w:pPr>
        <w:widowControl/>
        <w:ind w:left="567" w:hanging="567"/>
        <w:rPr>
          <w:color w:val="000000"/>
        </w:rPr>
      </w:pPr>
      <w:r w:rsidRPr="00AD740C">
        <w:rPr>
          <w:color w:val="000000"/>
        </w:rPr>
        <w:t>23.</w:t>
      </w:r>
      <w:r w:rsidRPr="00AD740C">
        <w:rPr>
          <w:color w:val="000000"/>
        </w:rPr>
        <w:tab/>
        <w:t>Europaparlamentet erkänner besöksgruppernas betydelse som ett viktigt verktyg för att knyta medborgarna till ledamöternas arbete. Parlamentet välkomnar i detta avseende höjningen av taken och kostnadsfaktorerna för beräkningen av det ekonomiska bidraget till sponsrade besökare från och med den 1 januari 2025.</w:t>
      </w:r>
      <w:r w:rsidRPr="00AD740C">
        <w:t xml:space="preserve"> </w:t>
      </w:r>
      <w:r w:rsidRPr="00AD740C">
        <w:rPr>
          <w:color w:val="000000"/>
        </w:rPr>
        <w:t>Parlamentet uppmanar presidiet att bedöma effekterna av de reviderade reglerna för besöksgrupper när det gäller resekostnader, med beaktande av marknadsfluktuationer, och att undvika indirekt geografisk diskriminering av besökare. Parlamentet noterar att omkring 15 % av kvoten för besökare historiskt sett inte har utnyttjats av ledamöterna. Parlamentet uppmanar generalsekreteraren att föreslå presidiet att göra den outnyttjade kvoten tillgänglig för intresserade ledamöter. Parlamentet noterar att budgeten för besöksgrupper utgör 22 % av den totala budgeten för generaldirektoratet för kommunikation.</w:t>
      </w:r>
    </w:p>
    <w:p w14:paraId="2FAA3AD8" w14:textId="77777777" w:rsidR="00F11B35" w:rsidRPr="00AD740C" w:rsidRDefault="00F11B35" w:rsidP="00F11B35">
      <w:pPr>
        <w:widowControl/>
        <w:ind w:left="567" w:hanging="567"/>
        <w:rPr>
          <w:color w:val="000000"/>
        </w:rPr>
      </w:pPr>
    </w:p>
    <w:p w14:paraId="30A042E4" w14:textId="77777777" w:rsidR="00F11B35" w:rsidRPr="00AD740C" w:rsidRDefault="00F11B35" w:rsidP="00F11B35">
      <w:pPr>
        <w:widowControl/>
        <w:spacing w:after="240"/>
        <w:ind w:left="567" w:hanging="567"/>
        <w:rPr>
          <w:color w:val="000000"/>
        </w:rPr>
      </w:pPr>
      <w:r w:rsidRPr="00AD740C">
        <w:rPr>
          <w:color w:val="000000"/>
        </w:rPr>
        <w:t>24.</w:t>
      </w:r>
      <w:r w:rsidRPr="00AD740C">
        <w:rPr>
          <w:color w:val="000000"/>
        </w:rPr>
        <w:tab/>
        <w:t>Europaparlamentet noterar med oro de interna bestämmelserna om ledamöternas besöksgrupper, som leder till att 30 % av de initiala kostnaderna under vissa omständigheter måste bäras av ackrediterade assistenter. Parlamentet betonar att dessa bestämmelser inte är möjliga att genomföra och framhåller den ekonomiska börda som detta lägger på ackrediterade assistenter. Parlamentet noterar generalsekreterarens svar på beräkningen av Europaparlamentets inkomster och utgifter för budgetåret 2024 när det gäller logiken bakom tvåstegsstrategin. Parlamentet förstår logiken men betonar de växande utmaningar som detta medför för ackrediterade assistenter, särskilt till följd av införandet av allt strängare regler.</w:t>
      </w:r>
    </w:p>
    <w:p w14:paraId="0F32F72D" w14:textId="77777777" w:rsidR="00F11B35" w:rsidRPr="00AD740C" w:rsidRDefault="00F11B35" w:rsidP="00F11B35">
      <w:pPr>
        <w:widowControl/>
        <w:spacing w:after="240"/>
        <w:ind w:left="567" w:hanging="567"/>
        <w:rPr>
          <w:color w:val="000000"/>
        </w:rPr>
      </w:pPr>
      <w:r w:rsidRPr="00AD740C">
        <w:rPr>
          <w:color w:val="000000"/>
        </w:rPr>
        <w:t>25.</w:t>
      </w:r>
      <w:r w:rsidRPr="00AD740C">
        <w:rPr>
          <w:color w:val="000000"/>
        </w:rPr>
        <w:tab/>
        <w:t>Europaparlamentet betonar det alltmer utmanande kommunikationslandskapet och de många olika sätt på vilka politisk kommunikation bör äga rum, bland annat genom deltagande i olika sociala medier-plattformar och andra medier. Parlamentet understryker att de politiska grupperna måste förmedla sina budskap till alla medlemsstater som en central princip för en välfungerande europeisk demokrati.</w:t>
      </w:r>
    </w:p>
    <w:p w14:paraId="314144BA" w14:textId="77777777" w:rsidR="00F11B35" w:rsidRPr="00AD740C" w:rsidRDefault="00F11B35" w:rsidP="00F11B35">
      <w:pPr>
        <w:rPr>
          <w:b/>
          <w:i/>
          <w:color w:val="000000"/>
        </w:rPr>
      </w:pPr>
      <w:r w:rsidRPr="00AD740C">
        <w:rPr>
          <w:b/>
          <w:i/>
          <w:color w:val="000000"/>
        </w:rPr>
        <w:t>Infrastruktur</w:t>
      </w:r>
    </w:p>
    <w:p w14:paraId="2FF66312" w14:textId="77777777" w:rsidR="00F11B35" w:rsidRPr="00AD740C" w:rsidRDefault="00F11B35" w:rsidP="00F11B35">
      <w:pPr>
        <w:widowControl/>
        <w:ind w:left="567" w:hanging="567"/>
        <w:rPr>
          <w:color w:val="000000"/>
        </w:rPr>
      </w:pPr>
      <w:r w:rsidRPr="00AD740C">
        <w:rPr>
          <w:color w:val="000000"/>
        </w:rPr>
        <w:t xml:space="preserve"> </w:t>
      </w:r>
    </w:p>
    <w:p w14:paraId="1A4378AA" w14:textId="77777777" w:rsidR="00F11B35" w:rsidRPr="00AD740C" w:rsidRDefault="00F11B35" w:rsidP="00F11B35">
      <w:pPr>
        <w:widowControl/>
        <w:ind w:left="567" w:hanging="567"/>
        <w:rPr>
          <w:color w:val="000000"/>
        </w:rPr>
      </w:pPr>
      <w:r w:rsidRPr="00AD740C">
        <w:rPr>
          <w:color w:val="000000"/>
        </w:rPr>
        <w:t>26.</w:t>
      </w:r>
      <w:r w:rsidRPr="00AD740C">
        <w:rPr>
          <w:color w:val="000000"/>
        </w:rPr>
        <w:tab/>
        <w:t>Europaparlamentet erkänner den nya strategin för byggnader, där parlamentet efter en förvärvsperiod har gått in i en era av byggnadskonsolidering som tar hänsyn till hållbarhet, tillgänglighet och rörlighet när det gäller ledamöterna och personalen.</w:t>
      </w:r>
    </w:p>
    <w:p w14:paraId="2978E468" w14:textId="77777777" w:rsidR="00F11B35" w:rsidRPr="00AD740C" w:rsidRDefault="00F11B35" w:rsidP="00F11B35">
      <w:pPr>
        <w:widowControl/>
        <w:ind w:left="567" w:hanging="567"/>
        <w:rPr>
          <w:color w:val="000000"/>
        </w:rPr>
      </w:pPr>
    </w:p>
    <w:p w14:paraId="1DDF2AAC" w14:textId="77777777" w:rsidR="00F11B35" w:rsidRPr="00AD740C" w:rsidRDefault="00F11B35" w:rsidP="00F11B35">
      <w:pPr>
        <w:widowControl/>
        <w:ind w:left="567" w:hanging="567"/>
        <w:rPr>
          <w:color w:val="000000"/>
        </w:rPr>
      </w:pPr>
      <w:r w:rsidRPr="00AD740C">
        <w:rPr>
          <w:color w:val="000000"/>
        </w:rPr>
        <w:t>27.</w:t>
      </w:r>
      <w:r w:rsidRPr="00AD740C">
        <w:rPr>
          <w:color w:val="000000"/>
        </w:rPr>
        <w:tab/>
        <w:t>Europaparlamentet noterar att 4 miljoner EUR ingår i budgetberäkningen för 2026 för studier och uppdragstagarens förberedande arbete i samband med renoveringen av SPAAK-byggnaden, och att de totala kostnaderna uppskattas till 36 miljoner EUR. Parlamentet noterar därför att 32 miljoner EUR i kostnader i samband med renoveringen av SPAAK-byggnaden inte ingår i budgetberäkningen för 2026. Parlamentet noterar att generalsekreteraren har för avsikt att täcka dessa kostnader genom en uppsamlingsöverföring eller genom att ta upp ett lån. Parlamentet uppmanar generalsekreteraren att så snart som möjligt förse budgetutskottet med detaljerad information om ett eventuellt lån för att täcka dessa kostnader, i enlighet med artikel 272.6 i budgetförordningen, samt en fullständig planering av arbetena, inklusive planeringen av kostnaderna. Parlamentet insisterar på att kostnader som inte är direkt kopplade till renoveringsarbetena också bör anges tydligt och budgeteras. Parlamentet noterar att i december 2024 uppgick de direkta kostnaderna för SPAAK-projektet till 14,12 miljoner EUR.</w:t>
      </w:r>
    </w:p>
    <w:p w14:paraId="1574C781" w14:textId="77777777" w:rsidR="00F11B35" w:rsidRPr="00AD740C" w:rsidRDefault="00F11B35" w:rsidP="00F11B35">
      <w:pPr>
        <w:widowControl/>
        <w:ind w:left="567" w:hanging="567"/>
        <w:rPr>
          <w:color w:val="000000"/>
        </w:rPr>
      </w:pPr>
    </w:p>
    <w:p w14:paraId="3C164A20" w14:textId="77777777" w:rsidR="00F11B35" w:rsidRPr="00AD740C" w:rsidRDefault="00F11B35" w:rsidP="00F11B35">
      <w:pPr>
        <w:widowControl/>
        <w:ind w:left="567" w:hanging="567"/>
        <w:rPr>
          <w:color w:val="000000"/>
        </w:rPr>
      </w:pPr>
      <w:r w:rsidRPr="00AD740C">
        <w:rPr>
          <w:color w:val="000000"/>
        </w:rPr>
        <w:t>28.</w:t>
      </w:r>
      <w:r w:rsidRPr="00AD740C">
        <w:rPr>
          <w:color w:val="000000"/>
        </w:rPr>
        <w:tab/>
        <w:t xml:space="preserve">Europaparlamentet välkomnar GD </w:t>
      </w:r>
      <w:proofErr w:type="spellStart"/>
      <w:r w:rsidRPr="00AD740C">
        <w:rPr>
          <w:color w:val="000000"/>
        </w:rPr>
        <w:t>INLO:s</w:t>
      </w:r>
      <w:proofErr w:type="spellEnd"/>
      <w:r w:rsidRPr="00AD740C">
        <w:rPr>
          <w:color w:val="000000"/>
        </w:rPr>
        <w:t xml:space="preserve"> pilotprojekt för att avlägsna </w:t>
      </w:r>
      <w:proofErr w:type="spellStart"/>
      <w:r w:rsidRPr="00AD740C">
        <w:rPr>
          <w:color w:val="000000"/>
        </w:rPr>
        <w:t>legionella</w:t>
      </w:r>
      <w:proofErr w:type="spellEnd"/>
      <w:r w:rsidRPr="00AD740C">
        <w:rPr>
          <w:color w:val="000000"/>
        </w:rPr>
        <w:t xml:space="preserve"> från parlamentets rörledningsnät och betonar att det enda effektiva sättet att bekämpa ytterligare spridning av </w:t>
      </w:r>
      <w:proofErr w:type="spellStart"/>
      <w:r w:rsidRPr="00AD740C">
        <w:rPr>
          <w:color w:val="000000"/>
        </w:rPr>
        <w:t>legionella</w:t>
      </w:r>
      <w:proofErr w:type="spellEnd"/>
      <w:r w:rsidRPr="00AD740C">
        <w:rPr>
          <w:color w:val="000000"/>
        </w:rPr>
        <w:t xml:space="preserve"> är att höja vattentemperaturen i rörledningarna till 55 grader Celsius under en begränsad tid.</w:t>
      </w:r>
    </w:p>
    <w:p w14:paraId="3E26722F" w14:textId="77777777" w:rsidR="00F11B35" w:rsidRPr="00AD740C" w:rsidRDefault="00F11B35" w:rsidP="00F11B35">
      <w:pPr>
        <w:widowControl/>
        <w:ind w:left="567" w:hanging="567"/>
        <w:rPr>
          <w:color w:val="000000"/>
        </w:rPr>
      </w:pPr>
      <w:bookmarkStart w:id="9" w:name="_heading=h.30j0zll"/>
      <w:bookmarkEnd w:id="9"/>
    </w:p>
    <w:p w14:paraId="63F756A1" w14:textId="77777777" w:rsidR="00F11B35" w:rsidRPr="00AD740C" w:rsidRDefault="00F11B35" w:rsidP="00F11B35">
      <w:pPr>
        <w:widowControl/>
        <w:ind w:left="567" w:hanging="567"/>
        <w:rPr>
          <w:color w:val="000000"/>
        </w:rPr>
      </w:pPr>
      <w:r w:rsidRPr="00AD740C">
        <w:rPr>
          <w:color w:val="000000"/>
        </w:rPr>
        <w:t>29.</w:t>
      </w:r>
      <w:r w:rsidRPr="00AD740C">
        <w:rPr>
          <w:color w:val="000000"/>
        </w:rPr>
        <w:tab/>
        <w:t xml:space="preserve">Europaparlamentet noterar att man planerar att investera 11,45 miljoner EUR i Europa </w:t>
      </w:r>
      <w:proofErr w:type="spellStart"/>
      <w:r w:rsidRPr="00AD740C">
        <w:rPr>
          <w:color w:val="000000"/>
        </w:rPr>
        <w:t>Experience</w:t>
      </w:r>
      <w:proofErr w:type="spellEnd"/>
      <w:r w:rsidRPr="00AD740C">
        <w:rPr>
          <w:color w:val="000000"/>
        </w:rPr>
        <w:t xml:space="preserve">-centrum under 2026. Parlamentet noterar presidiets beslut i november 2024 att se över konceptet för Europa </w:t>
      </w:r>
      <w:proofErr w:type="spellStart"/>
      <w:r w:rsidRPr="00AD740C">
        <w:rPr>
          <w:color w:val="000000"/>
        </w:rPr>
        <w:t>Experience</w:t>
      </w:r>
      <w:proofErr w:type="spellEnd"/>
      <w:r w:rsidRPr="00AD740C">
        <w:rPr>
          <w:color w:val="000000"/>
        </w:rPr>
        <w:t xml:space="preserve">-centrum och förväntar sig att det reviderade konceptet blir mer kostnadseffektivt och mer attraktivt för besökare. Parlamentet beklagar att det fortfarande inte finns några Europa </w:t>
      </w:r>
      <w:proofErr w:type="spellStart"/>
      <w:r w:rsidRPr="00AD740C">
        <w:rPr>
          <w:color w:val="000000"/>
        </w:rPr>
        <w:t>Experience</w:t>
      </w:r>
      <w:proofErr w:type="spellEnd"/>
      <w:r w:rsidRPr="00AD740C">
        <w:rPr>
          <w:color w:val="000000"/>
        </w:rPr>
        <w:t xml:space="preserve">-centrum i Bukarest, Riga, Madrid, Lissabon, Nicosia, Valletta eller Vilnius. Parlamentet efterlyser inrättandet av Europa </w:t>
      </w:r>
      <w:proofErr w:type="spellStart"/>
      <w:r w:rsidRPr="00AD740C">
        <w:rPr>
          <w:color w:val="000000"/>
        </w:rPr>
        <w:t>Experience</w:t>
      </w:r>
      <w:proofErr w:type="spellEnd"/>
      <w:r w:rsidRPr="00AD740C">
        <w:rPr>
          <w:color w:val="000000"/>
        </w:rPr>
        <w:t xml:space="preserve">-centrum i alla medlemsstater så snart ett reviderat koncept har fastställts. Parlamentet påminner om att Europa </w:t>
      </w:r>
      <w:proofErr w:type="spellStart"/>
      <w:r w:rsidRPr="00AD740C">
        <w:rPr>
          <w:color w:val="000000"/>
        </w:rPr>
        <w:t>Experience</w:t>
      </w:r>
      <w:proofErr w:type="spellEnd"/>
      <w:r w:rsidRPr="00AD740C">
        <w:rPr>
          <w:color w:val="000000"/>
        </w:rPr>
        <w:t xml:space="preserve">-centrum skulle göra det möjligt för medborgarna att få en bättre förståelse för hur unionens institutioner </w:t>
      </w:r>
      <w:r w:rsidRPr="00AD740C">
        <w:rPr>
          <w:color w:val="000000"/>
        </w:rPr>
        <w:lastRenderedPageBreak/>
        <w:t xml:space="preserve">fungerar och att lära sig om våra gemensamma värden. Parlamentet upprepar därför att Europa </w:t>
      </w:r>
      <w:proofErr w:type="spellStart"/>
      <w:r w:rsidRPr="00AD740C">
        <w:rPr>
          <w:color w:val="000000"/>
        </w:rPr>
        <w:t>Experience</w:t>
      </w:r>
      <w:proofErr w:type="spellEnd"/>
      <w:r w:rsidRPr="00AD740C">
        <w:rPr>
          <w:color w:val="000000"/>
        </w:rPr>
        <w:t>-centrum är en integrerad del av parlamentets kontinuerliga dialog med unionsmedborgarna.</w:t>
      </w:r>
    </w:p>
    <w:p w14:paraId="22C34B5C" w14:textId="77777777" w:rsidR="00F11B35" w:rsidRPr="00AD740C" w:rsidRDefault="00F11B35" w:rsidP="00F11B35">
      <w:pPr>
        <w:widowControl/>
        <w:ind w:left="567" w:hanging="567"/>
        <w:rPr>
          <w:color w:val="000000"/>
        </w:rPr>
      </w:pPr>
    </w:p>
    <w:p w14:paraId="392EDF57" w14:textId="77777777" w:rsidR="00F11B35" w:rsidRPr="00AD740C" w:rsidRDefault="00F11B35" w:rsidP="00F11B35">
      <w:pPr>
        <w:widowControl/>
        <w:ind w:left="567" w:hanging="567"/>
        <w:rPr>
          <w:color w:val="000000"/>
        </w:rPr>
      </w:pPr>
      <w:r w:rsidRPr="00AD740C">
        <w:rPr>
          <w:color w:val="000000"/>
        </w:rPr>
        <w:t>30.</w:t>
      </w:r>
      <w:r w:rsidRPr="00AD740C">
        <w:rPr>
          <w:color w:val="000000"/>
        </w:rPr>
        <w:tab/>
        <w:t>Europaparlamentet noterar att det inte behövs någon ytterligare finansiering för öppnandet av parlamentets kontor i Moldavien och västra Balkan, eftersom dessa kontor skulle inrättas i utrikestjänstens lokaler. Parlamentet betonar vikten av parlamentets närvaro i dessa länder som ett tecken på europeisk solidaritet och ett tecken på parlamentets engagemang för anslutningsprocessen.</w:t>
      </w:r>
    </w:p>
    <w:p w14:paraId="563ADB0E" w14:textId="77777777" w:rsidR="00F11B35" w:rsidRPr="00AD740C" w:rsidRDefault="00F11B35" w:rsidP="00F11B35">
      <w:pPr>
        <w:widowControl/>
        <w:ind w:left="567" w:hanging="567"/>
        <w:rPr>
          <w:color w:val="000000"/>
        </w:rPr>
      </w:pPr>
      <w:r w:rsidRPr="00AD740C">
        <w:rPr>
          <w:color w:val="000000"/>
        </w:rPr>
        <w:t xml:space="preserve"> </w:t>
      </w:r>
    </w:p>
    <w:p w14:paraId="2AF288BF" w14:textId="77777777" w:rsidR="00F11B35" w:rsidRPr="00AD740C" w:rsidRDefault="00F11B35" w:rsidP="00F11B35">
      <w:pPr>
        <w:widowControl/>
        <w:ind w:left="567" w:hanging="567"/>
        <w:rPr>
          <w:color w:val="000000"/>
        </w:rPr>
      </w:pPr>
      <w:r w:rsidRPr="00AD740C">
        <w:rPr>
          <w:color w:val="000000"/>
        </w:rPr>
        <w:t>31.</w:t>
      </w:r>
      <w:r w:rsidRPr="00AD740C">
        <w:rPr>
          <w:color w:val="000000"/>
        </w:rPr>
        <w:tab/>
        <w:t xml:space="preserve">Europaparlamentet noterar att avtalet med den tidigare leverantören av tjänster när det gäller </w:t>
      </w:r>
      <w:proofErr w:type="spellStart"/>
      <w:r w:rsidRPr="00AD740C">
        <w:rPr>
          <w:color w:val="000000"/>
        </w:rPr>
        <w:t>Wayenberg</w:t>
      </w:r>
      <w:proofErr w:type="spellEnd"/>
      <w:r w:rsidRPr="00AD740C">
        <w:rPr>
          <w:color w:val="000000"/>
        </w:rPr>
        <w:t>-daghemmet sagts upp i förtid efter ett antal allvarliga anklagelser mot uppdragstagaren. Parlamentet välkomnar avtalet med en ny leverantör med bättre arbetsvillkor för personalen och bättre kvalitet på tjänsterna för barnen. Parlamentet konstaterar dock att detta leder till en ökning av den budget som krävs för detta ändamål, men betonar att anständiga arbetsvillkor för extern personal, i förekommande fall, i princip bör prioriteras i samband med parlamentets offentliga upphandlingar.</w:t>
      </w:r>
    </w:p>
    <w:p w14:paraId="3574C700" w14:textId="77777777" w:rsidR="00F11B35" w:rsidRPr="00AD740C" w:rsidRDefault="00F11B35" w:rsidP="00F11B35">
      <w:pPr>
        <w:widowControl/>
        <w:ind w:left="567" w:hanging="567"/>
        <w:rPr>
          <w:color w:val="000000"/>
        </w:rPr>
      </w:pPr>
    </w:p>
    <w:p w14:paraId="5C032D01" w14:textId="77777777" w:rsidR="00F11B35" w:rsidRPr="00AD740C" w:rsidRDefault="00F11B35" w:rsidP="00F11B35">
      <w:pPr>
        <w:widowControl/>
        <w:spacing w:after="240"/>
        <w:ind w:left="567" w:hanging="567"/>
        <w:rPr>
          <w:color w:val="000000"/>
        </w:rPr>
      </w:pPr>
      <w:r w:rsidRPr="00AD740C">
        <w:rPr>
          <w:color w:val="000000"/>
        </w:rPr>
        <w:t>32.</w:t>
      </w:r>
      <w:r w:rsidRPr="00AD740C">
        <w:rPr>
          <w:color w:val="000000"/>
        </w:rPr>
        <w:tab/>
        <w:t>Europaparlamentet upprepar behovet av amningsrum av hög kvalitet i parlamentets lokaler och uppmanar de behöriga avdelningarna att förbättra de nuvarande lokalerna när det gäller utrustning, utrymme och tillgänglighet för att göra dem barnvänliga. Parlamentet efterlyser en konsekvensbedömning av behovet av ett familjerum i parlamentets lokaler i Bryssel för barn till ledamöter som inte är permanent bosatta i Bryssel, liknande det i Strasbourg.</w:t>
      </w:r>
    </w:p>
    <w:p w14:paraId="00E26FAF" w14:textId="77777777" w:rsidR="00F11B35" w:rsidRPr="00AD740C" w:rsidRDefault="00F11B35" w:rsidP="00F11B35">
      <w:pPr>
        <w:spacing w:after="240"/>
        <w:rPr>
          <w:b/>
          <w:i/>
          <w:color w:val="000000"/>
        </w:rPr>
      </w:pPr>
      <w:r w:rsidRPr="00AD740C">
        <w:rPr>
          <w:b/>
          <w:i/>
          <w:color w:val="000000"/>
        </w:rPr>
        <w:t>Övrigt</w:t>
      </w:r>
    </w:p>
    <w:p w14:paraId="09E34AC5" w14:textId="77777777" w:rsidR="00F11B35" w:rsidRPr="00AD740C" w:rsidRDefault="00F11B35" w:rsidP="00F11B35">
      <w:pPr>
        <w:spacing w:after="240"/>
        <w:ind w:left="567" w:hanging="567"/>
        <w:rPr>
          <w:color w:val="000000"/>
        </w:rPr>
      </w:pPr>
      <w:r w:rsidRPr="00AD740C">
        <w:rPr>
          <w:color w:val="000000"/>
        </w:rPr>
        <w:t>33.</w:t>
      </w:r>
      <w:r w:rsidRPr="00AD740C">
        <w:rPr>
          <w:color w:val="000000"/>
        </w:rPr>
        <w:tab/>
        <w:t xml:space="preserve">Europaparlamentet upprepar sin begäran till de berörda organen, som antagits på </w:t>
      </w:r>
      <w:proofErr w:type="spellStart"/>
      <w:r w:rsidRPr="00AD740C">
        <w:rPr>
          <w:color w:val="000000"/>
        </w:rPr>
        <w:t>plenarnivå</w:t>
      </w:r>
      <w:proofErr w:type="spellEnd"/>
      <w:r w:rsidRPr="00AD740C">
        <w:rPr>
          <w:color w:val="000000"/>
        </w:rPr>
        <w:t xml:space="preserve"> vid flera tillfällen, om att överväga en lösning som gör det möjligt för ledamöterna att utöva sin rätt att rösta på distans under mamma- eller pappaledighet eller under långtidssjukskrivning, styrkt genom ett läkarintyg, med utgångspunkt i de erfarenheter som gjorts under pandemin när det gäller de tekniska aspekterna av ett sådant omröstningsförfarande.</w:t>
      </w:r>
    </w:p>
    <w:p w14:paraId="6FB811E6" w14:textId="77777777" w:rsidR="00F11B35" w:rsidRPr="00AD740C" w:rsidRDefault="00F11B35" w:rsidP="00F11B35">
      <w:pPr>
        <w:spacing w:after="240"/>
        <w:ind w:left="567" w:hanging="567"/>
        <w:rPr>
          <w:color w:val="000000"/>
        </w:rPr>
      </w:pPr>
      <w:r w:rsidRPr="00AD740C">
        <w:rPr>
          <w:color w:val="000000"/>
        </w:rPr>
        <w:t>34.</w:t>
      </w:r>
      <w:r w:rsidRPr="00AD740C">
        <w:rPr>
          <w:color w:val="000000"/>
        </w:rPr>
        <w:tab/>
        <w:t>Europaparlamentet upprepar sin uppmaning till generalsekreteraren att betona den grundläggande principen att all rekrytering bör baseras på kompetens och samtidigt säkerställa geografisk balans mellan alla medlemsstater på alla personalnivåer. Parlamentet uppmanas att bygga upp sin egen kapacitet när det gäller utåtriktad verksamhet i syfte att locka till sig de kvalificerade kandidater till uttagningsprov som parlamentet behöver i fråga om profil, ålder, kön och nationalitet och särskilt från underrepresenterade länder. Parlamentet understryker att en rättvis geografisk representation är avgörande för att främja en genuint europeisk offentlig förvaltning. Parlamentet noterar att parlamentet konsekvent har vidtagit åtgärder för att stödja detta mål, inbegripet anordnandet av nationalitetsspecifika uttagningsprov, samtidigt som man upprätthåller en strikt meritbaserad urvalsmetod.</w:t>
      </w:r>
    </w:p>
    <w:p w14:paraId="0393A1F4" w14:textId="77777777" w:rsidR="00F11B35" w:rsidRPr="00AD740C" w:rsidRDefault="00F11B35" w:rsidP="00F11B35">
      <w:pPr>
        <w:ind w:left="567" w:hanging="567"/>
        <w:rPr>
          <w:color w:val="000000"/>
        </w:rPr>
      </w:pPr>
      <w:r w:rsidRPr="00AD740C">
        <w:rPr>
          <w:color w:val="000000"/>
        </w:rPr>
        <w:t>35.</w:t>
      </w:r>
      <w:r w:rsidRPr="00AD740C">
        <w:rPr>
          <w:color w:val="000000"/>
        </w:rPr>
        <w:tab/>
        <w:t xml:space="preserve">Europaparlamentet anser att parlamentet bör föregå med gott exempel när det gäller rättigheter för personer med funktionsnedsättning, både som arbetsgivare och som en offentlig institution. Parlamentet välkomnar parlamentets policy som syftar till att säkerställa att personer med funktionsnedsättning kan använda parlamentets byggnader på ett helt oberoende sätt, och stöder ytterligare åtgärder och anpassningar som kommer att bli nödvändiga i detta avseende. Parlamentet noterar att det i budgeten anslås </w:t>
      </w:r>
      <w:r w:rsidRPr="00AD740C">
        <w:rPr>
          <w:color w:val="000000"/>
        </w:rPr>
        <w:lastRenderedPageBreak/>
        <w:t>3,7 miljoner EUR för detta ändamål.</w:t>
      </w:r>
    </w:p>
    <w:p w14:paraId="51B8AD09" w14:textId="77777777" w:rsidR="00F11B35" w:rsidRPr="00AD740C" w:rsidRDefault="00F11B35" w:rsidP="00F11B35">
      <w:pPr>
        <w:ind w:left="567" w:hanging="567"/>
        <w:rPr>
          <w:color w:val="000000"/>
        </w:rPr>
      </w:pPr>
    </w:p>
    <w:p w14:paraId="34D3103B" w14:textId="77777777" w:rsidR="00F11B35" w:rsidRPr="00AD740C" w:rsidRDefault="00F11B35" w:rsidP="00F11B35">
      <w:pPr>
        <w:ind w:left="567" w:hanging="567"/>
        <w:rPr>
          <w:color w:val="000000"/>
        </w:rPr>
      </w:pPr>
      <w:r w:rsidRPr="00AD740C">
        <w:rPr>
          <w:color w:val="000000"/>
        </w:rPr>
        <w:t>36.</w:t>
      </w:r>
      <w:r w:rsidRPr="00AD740C">
        <w:rPr>
          <w:color w:val="000000"/>
        </w:rPr>
        <w:tab/>
        <w:t>Europaparlamentet betonar att ett enda säte skulle kunna minska de ekonomiska och miljömässiga kostnaderna. Parlamentet påminner om att enligt fördraget om Europeiska unionen ska parlamentet ha sitt säte i Strasbourg. Parlamentet noterar att permanenta ändringar skulle kräva en ändring av fördraget, och att enhällighet krävs för detta.</w:t>
      </w:r>
    </w:p>
    <w:p w14:paraId="202278BC" w14:textId="77777777" w:rsidR="00F11B35" w:rsidRPr="00AD740C" w:rsidRDefault="00F11B35" w:rsidP="00F11B35">
      <w:pPr>
        <w:ind w:left="567" w:hanging="567"/>
        <w:rPr>
          <w:color w:val="000000"/>
        </w:rPr>
      </w:pPr>
    </w:p>
    <w:p w14:paraId="657E7AD8" w14:textId="77777777" w:rsidR="00F11B35" w:rsidRPr="00AD740C" w:rsidRDefault="00F11B35" w:rsidP="00F11B35">
      <w:pPr>
        <w:ind w:left="567" w:hanging="567"/>
        <w:rPr>
          <w:color w:val="000000"/>
        </w:rPr>
      </w:pPr>
      <w:r w:rsidRPr="00AD740C">
        <w:t>37.</w:t>
      </w:r>
      <w:r w:rsidRPr="00AD740C">
        <w:tab/>
      </w:r>
      <w:r w:rsidRPr="00AD740C">
        <w:rPr>
          <w:color w:val="000000"/>
        </w:rPr>
        <w:t xml:space="preserve">Europaparlamentet noterar att ledamöternas och personalens utgifter för tjänsteresor uppgår till 116 miljoner EUR i parlamentets budget. Parlamentet uppmanar parlamentets organ att diskutera praxis för tjänsteresor och en översyn av regler och praxis för tjänsteresor med det övergripande målet att fortsätta att förbättra tjänsteresornas karaktär och ytterligare minska de ekonomiska och miljömässiga kostnaderna i samband med dessa resor. </w:t>
      </w:r>
      <w:r w:rsidRPr="00AD740C">
        <w:t>Parlamentet uppmuntrar ledamöterna att använda koldioxidsnåla transportalternativ och förespråkar en ansvarsfull och väl genomtänkt användning av de mest fördelaktiga flygalternativen och en preferens för tågresor där detta är ett genomförbart alternativ.</w:t>
      </w:r>
    </w:p>
    <w:p w14:paraId="403B934D" w14:textId="77777777" w:rsidR="00F11B35" w:rsidRPr="00AD740C" w:rsidRDefault="00F11B35" w:rsidP="00F11B35">
      <w:pPr>
        <w:rPr>
          <w:color w:val="000000"/>
        </w:rPr>
      </w:pPr>
    </w:p>
    <w:p w14:paraId="488EBADA" w14:textId="77777777" w:rsidR="00F11B35" w:rsidRPr="00AD740C" w:rsidRDefault="00F11B35" w:rsidP="00F11B35">
      <w:pPr>
        <w:ind w:left="567" w:hanging="567"/>
        <w:rPr>
          <w:color w:val="000000"/>
        </w:rPr>
      </w:pPr>
      <w:r w:rsidRPr="00AD740C">
        <w:rPr>
          <w:color w:val="000000"/>
        </w:rPr>
        <w:t>38.</w:t>
      </w:r>
      <w:r w:rsidRPr="00AD740C">
        <w:rPr>
          <w:color w:val="000000"/>
        </w:rPr>
        <w:tab/>
        <w:t>Europaparlamentet noterar att det i artikel 46.2 i tillämpningsföreskrifterna för Europaparlamentets ledamotsstadga föreskrivs en möjlighet att finansiera extra kostnader i samband med anslaget för assistentstöd till ledamöterna med medel från ersättningen för allmänna utgifter. Parlamentets administration uppmanas att vidta nödvändiga åtgärder för att göra det möjligt för ledamöter som så önskar att använda sin ersättning för allmänna utgifter för att täcka kostnaderna för ackrediterade assistenters tjänsteresor. Parlamentet framhåller att denna åtgärd skulle göra det möjligt att hantera de ökade kostnaderna för ledamöternas kontor utan att påverka budgeten.</w:t>
      </w:r>
    </w:p>
    <w:p w14:paraId="26A31AC8" w14:textId="77777777" w:rsidR="00F11B35" w:rsidRPr="00AD740C" w:rsidRDefault="00F11B35" w:rsidP="00F11B35">
      <w:pPr>
        <w:ind w:left="567" w:hanging="567"/>
        <w:rPr>
          <w:color w:val="000000"/>
        </w:rPr>
      </w:pPr>
    </w:p>
    <w:p w14:paraId="5A473F79" w14:textId="09F5B28F" w:rsidR="00F11B35" w:rsidRPr="00AD740C" w:rsidRDefault="00F11B35" w:rsidP="00F11B35">
      <w:pPr>
        <w:ind w:left="567" w:hanging="567"/>
        <w:rPr>
          <w:color w:val="000000"/>
        </w:rPr>
      </w:pPr>
      <w:r w:rsidRPr="00AD740C">
        <w:rPr>
          <w:color w:val="000000"/>
        </w:rPr>
        <w:t>39.</w:t>
      </w:r>
      <w:r w:rsidRPr="00AD740C">
        <w:rPr>
          <w:color w:val="000000"/>
        </w:rPr>
        <w:tab/>
        <w:t>Europaparlamentet uppmanar presidiet att inte indexera ersättningen för allmänna utgifter och att inte bevilja före detta ledamöter ersättning för allmänna utgifter, vilket skulle möjliggöra betydande besparingar av de lagstadgade kostnaderna.</w:t>
      </w:r>
    </w:p>
    <w:p w14:paraId="31CFC3A2" w14:textId="77777777" w:rsidR="00B627C9" w:rsidRPr="00AD740C" w:rsidRDefault="00B627C9" w:rsidP="00F11B35">
      <w:pPr>
        <w:ind w:left="567" w:hanging="567"/>
        <w:rPr>
          <w:color w:val="000000"/>
        </w:rPr>
      </w:pPr>
    </w:p>
    <w:p w14:paraId="44F9E58D" w14:textId="0769F3E8" w:rsidR="00B627C9" w:rsidRPr="00AD740C" w:rsidRDefault="00B94DED" w:rsidP="00F11B35">
      <w:pPr>
        <w:ind w:left="567" w:hanging="567"/>
        <w:rPr>
          <w:color w:val="000000"/>
        </w:rPr>
      </w:pPr>
      <w:r w:rsidRPr="00AD740C">
        <w:rPr>
          <w:color w:val="000000"/>
        </w:rPr>
        <w:t>40</w:t>
      </w:r>
      <w:r w:rsidR="00B627C9" w:rsidRPr="00AD740C">
        <w:rPr>
          <w:color w:val="000000"/>
        </w:rPr>
        <w:t>.</w:t>
      </w:r>
      <w:r w:rsidR="00B627C9" w:rsidRPr="00AD740C">
        <w:rPr>
          <w:color w:val="000000"/>
        </w:rPr>
        <w:tab/>
        <w:t>Europaparlamentet uppmanar presidiet att revidera bestämmelserna och att införa en karensperiod för före detta ledamöter under vilken de inte kan bedriva lobbyverksamhet eller representationsverksamhet gentemot parlamentet, som ska motsvara den tid under vilken ledamöterna får övergångsersättning.</w:t>
      </w:r>
    </w:p>
    <w:p w14:paraId="7A5AF678" w14:textId="77777777" w:rsidR="00F11B35" w:rsidRPr="00AD740C" w:rsidRDefault="00F11B35" w:rsidP="00F11B35">
      <w:pPr>
        <w:ind w:left="567" w:hanging="567"/>
        <w:rPr>
          <w:color w:val="000000"/>
        </w:rPr>
      </w:pPr>
    </w:p>
    <w:p w14:paraId="0EAE60EB" w14:textId="76A1C422" w:rsidR="00F11B35" w:rsidRPr="00AD740C" w:rsidRDefault="00F11B35" w:rsidP="00F11B35">
      <w:pPr>
        <w:spacing w:after="240"/>
        <w:ind w:left="567" w:hanging="567"/>
        <w:rPr>
          <w:color w:val="000000"/>
        </w:rPr>
      </w:pPr>
      <w:r w:rsidRPr="00AD740C">
        <w:rPr>
          <w:color w:val="000000"/>
        </w:rPr>
        <w:t>4</w:t>
      </w:r>
      <w:r w:rsidR="00B94DED" w:rsidRPr="00AD740C">
        <w:rPr>
          <w:color w:val="000000"/>
        </w:rPr>
        <w:t>1</w:t>
      </w:r>
      <w:r w:rsidRPr="00AD740C">
        <w:rPr>
          <w:color w:val="000000"/>
        </w:rPr>
        <w:t>.</w:t>
      </w:r>
      <w:r w:rsidRPr="00AD740C">
        <w:rPr>
          <w:color w:val="000000"/>
        </w:rPr>
        <w:tab/>
      </w:r>
      <w:r w:rsidR="00B627C9" w:rsidRPr="00AD740C">
        <w:rPr>
          <w:color w:val="000000"/>
        </w:rPr>
        <w:t>Europaparlamentet påminner om att man sedan 2018 konsekvent har röstat i kammaren för att överväga ett upphävande av det allmänna förbudet för ackrediterade assistenter att delta i officiella delegationsresor och tjänsteresor. Parlamentet beklagar att talmanskonferensens beslut från mars 2025 om genomförandebestämmelserna för tjänsteresor utanför Europaparlamentets tre arbetsorter inte följde plenarsammanträdets uppmaning. Parlamentet vidhåller sin ståndpunkt att ackrediterade assistenter på vissa villkor bör tillåtas att följa med ledamöter på officiella delegationsresor och tjänsteresor. Parlamentet uppmanar sina relevanta organ att ändra de berörda artiklarna i de interna reglerna för att göra det möjligt för ackrediterade assistenter att delta i officiella tjänsteresor och delegationsresor utanför parlamentets tre arbetsorter utan ytterligare dröjsmål.</w:t>
      </w:r>
    </w:p>
    <w:p w14:paraId="52C8CCA5" w14:textId="36EE419D" w:rsidR="00F11B35" w:rsidRPr="00AD740C" w:rsidRDefault="00F11B35" w:rsidP="00F11B35">
      <w:pPr>
        <w:spacing w:after="240"/>
        <w:ind w:left="567" w:hanging="567"/>
        <w:rPr>
          <w:color w:val="000000"/>
        </w:rPr>
      </w:pPr>
      <w:r w:rsidRPr="00AD740C">
        <w:rPr>
          <w:color w:val="000000"/>
        </w:rPr>
        <w:t>4</w:t>
      </w:r>
      <w:r w:rsidR="00B94DED" w:rsidRPr="00AD740C">
        <w:rPr>
          <w:color w:val="000000"/>
        </w:rPr>
        <w:t>2</w:t>
      </w:r>
      <w:r w:rsidRPr="00AD740C">
        <w:rPr>
          <w:color w:val="000000"/>
        </w:rPr>
        <w:t>.</w:t>
      </w:r>
      <w:r w:rsidRPr="00AD740C">
        <w:rPr>
          <w:color w:val="000000"/>
        </w:rPr>
        <w:tab/>
        <w:t xml:space="preserve">Europaparlamentet välkomnar arbetet i kommittén för ackrediterade assistenter, som företräder omkring 2 000 ackrediterade assistenter, vars arbete är avgörande för att parlamentsledamöternas dagliga verksamhet ska fungera smidigt. Parlamentet noterar öronmärkningen av 10 000 EUR för att kommittén för ackrediterade assistenter ska </w:t>
      </w:r>
      <w:r w:rsidRPr="00AD740C">
        <w:rPr>
          <w:color w:val="000000"/>
        </w:rPr>
        <w:lastRenderedPageBreak/>
        <w:t>kunna fullgöra sin roll och säkerställa tillräckliga resurser för att effektivt stödja och företräda de ackrediterade assistenterna på ett korrekt sätt.</w:t>
      </w:r>
    </w:p>
    <w:p w14:paraId="7C5FB566" w14:textId="6D580836" w:rsidR="00F11B35" w:rsidRPr="00AD740C" w:rsidRDefault="00F11B35" w:rsidP="00F11B35">
      <w:pPr>
        <w:widowControl/>
        <w:spacing w:after="240"/>
        <w:ind w:left="567" w:hanging="567"/>
        <w:rPr>
          <w:color w:val="000000"/>
        </w:rPr>
      </w:pPr>
      <w:r w:rsidRPr="00AD740C">
        <w:rPr>
          <w:color w:val="000000"/>
        </w:rPr>
        <w:t>4</w:t>
      </w:r>
      <w:r w:rsidR="00B94DED" w:rsidRPr="00AD740C">
        <w:rPr>
          <w:color w:val="000000"/>
        </w:rPr>
        <w:t>3</w:t>
      </w:r>
      <w:r w:rsidRPr="00AD740C">
        <w:rPr>
          <w:color w:val="000000"/>
        </w:rPr>
        <w:t>.</w:t>
      </w:r>
      <w:r w:rsidRPr="00AD740C">
        <w:rPr>
          <w:color w:val="000000"/>
        </w:rPr>
        <w:tab/>
        <w:t>Europaparlamentet välkomnar den exceptionella ökningen på 10 % av stipendierna till alla praktikanter under 2026, som budgeterats med 1 miljon EUR för 2026, för att hjälpa dem att hantera de ökande boendekostnaderna i Bryssel och Luxemburg.</w:t>
      </w:r>
    </w:p>
    <w:p w14:paraId="7EBEF3A0" w14:textId="653FFA33" w:rsidR="00F11B35" w:rsidRPr="00AD740C" w:rsidRDefault="00F11B35" w:rsidP="00F11B35">
      <w:pPr>
        <w:widowControl/>
        <w:spacing w:after="240"/>
        <w:ind w:left="567" w:hanging="567"/>
        <w:rPr>
          <w:color w:val="000000"/>
        </w:rPr>
      </w:pPr>
      <w:r w:rsidRPr="00AD740C">
        <w:rPr>
          <w:color w:val="000000"/>
        </w:rPr>
        <w:t>4</w:t>
      </w:r>
      <w:r w:rsidR="00B94DED" w:rsidRPr="00AD740C">
        <w:rPr>
          <w:color w:val="000000"/>
        </w:rPr>
        <w:t>4</w:t>
      </w:r>
      <w:r w:rsidRPr="00AD740C">
        <w:rPr>
          <w:color w:val="000000"/>
        </w:rPr>
        <w:t>.</w:t>
      </w:r>
      <w:r w:rsidRPr="00AD740C">
        <w:rPr>
          <w:color w:val="000000"/>
        </w:rPr>
        <w:tab/>
        <w:t>Europaparlamentet förväntar sig att begäranden som röstats igenom i kammaren behandlas av de ansvariga organen som en högprioriterad fråga.</w:t>
      </w:r>
    </w:p>
    <w:p w14:paraId="7E953EC7" w14:textId="77777777" w:rsidR="00A17401" w:rsidRPr="00AD740C" w:rsidRDefault="00A17401" w:rsidP="00A17401">
      <w:pPr>
        <w:widowControl/>
        <w:spacing w:after="240"/>
        <w:jc w:val="center"/>
        <w:rPr>
          <w:color w:val="000000"/>
        </w:rPr>
      </w:pPr>
      <w:r w:rsidRPr="00AD740C">
        <w:rPr>
          <w:color w:val="000000"/>
        </w:rPr>
        <w:t>°</w:t>
      </w:r>
    </w:p>
    <w:p w14:paraId="3E9649A9" w14:textId="77777777" w:rsidR="00A17401" w:rsidRPr="00AD740C" w:rsidRDefault="00A17401" w:rsidP="00A17401">
      <w:pPr>
        <w:widowControl/>
        <w:spacing w:after="240"/>
        <w:jc w:val="center"/>
        <w:rPr>
          <w:color w:val="000000"/>
        </w:rPr>
      </w:pPr>
      <w:r w:rsidRPr="00AD740C">
        <w:rPr>
          <w:color w:val="000000"/>
        </w:rPr>
        <w:t>°     °</w:t>
      </w:r>
    </w:p>
    <w:p w14:paraId="2694AB7E" w14:textId="626E56A9" w:rsidR="00F11B35" w:rsidRPr="00AD740C" w:rsidRDefault="00F11B35" w:rsidP="00F11B35">
      <w:pPr>
        <w:tabs>
          <w:tab w:val="left" w:pos="357"/>
        </w:tabs>
        <w:spacing w:after="240"/>
        <w:ind w:left="567" w:hanging="567"/>
        <w:rPr>
          <w:color w:val="000000"/>
        </w:rPr>
      </w:pPr>
      <w:r w:rsidRPr="00AD740C">
        <w:rPr>
          <w:color w:val="000000"/>
        </w:rPr>
        <w:t>4</w:t>
      </w:r>
      <w:r w:rsidR="00B94DED" w:rsidRPr="00AD740C">
        <w:rPr>
          <w:color w:val="000000"/>
        </w:rPr>
        <w:t>5</w:t>
      </w:r>
      <w:r w:rsidRPr="00AD740C">
        <w:rPr>
          <w:color w:val="000000"/>
        </w:rPr>
        <w:t>.</w:t>
      </w:r>
      <w:r w:rsidRPr="00AD740C">
        <w:rPr>
          <w:color w:val="000000"/>
        </w:rPr>
        <w:tab/>
      </w:r>
      <w:r w:rsidRPr="00AD740C">
        <w:rPr>
          <w:color w:val="000000"/>
        </w:rPr>
        <w:tab/>
        <w:t>Europaparlamentet antar budgetberäkningen för budgetåret 2026.</w:t>
      </w:r>
    </w:p>
    <w:p w14:paraId="3083C51C" w14:textId="3DFF6CF5" w:rsidR="00F11B35" w:rsidRPr="00AD740C" w:rsidRDefault="00F11B35" w:rsidP="00F47EA1">
      <w:pPr>
        <w:tabs>
          <w:tab w:val="left" w:pos="357"/>
        </w:tabs>
        <w:spacing w:after="240"/>
        <w:ind w:left="567" w:hanging="567"/>
        <w:rPr>
          <w:color w:val="000000"/>
        </w:rPr>
      </w:pPr>
      <w:r w:rsidRPr="00AD740C">
        <w:rPr>
          <w:color w:val="000000"/>
        </w:rPr>
        <w:t>4</w:t>
      </w:r>
      <w:r w:rsidR="00B94DED" w:rsidRPr="00AD740C">
        <w:rPr>
          <w:color w:val="000000"/>
        </w:rPr>
        <w:t>6</w:t>
      </w:r>
      <w:r w:rsidRPr="00AD740C">
        <w:rPr>
          <w:color w:val="000000"/>
        </w:rPr>
        <w:t>.</w:t>
      </w:r>
      <w:r w:rsidRPr="00AD740C">
        <w:rPr>
          <w:color w:val="000000"/>
        </w:rPr>
        <w:tab/>
      </w:r>
      <w:r w:rsidRPr="00AD740C">
        <w:rPr>
          <w:color w:val="000000"/>
        </w:rPr>
        <w:tab/>
        <w:t>Europaparlamentet uppdrar åt talmannen att översända denna resolution och budgetberäkningen till rådet och kommissionen.</w:t>
      </w:r>
    </w:p>
    <w:p w14:paraId="4A2D8FD3" w14:textId="77777777" w:rsidR="00F11B35" w:rsidRPr="00AD740C" w:rsidRDefault="00F11B35" w:rsidP="00F47EA1">
      <w:pPr>
        <w:tabs>
          <w:tab w:val="left" w:pos="357"/>
        </w:tabs>
        <w:spacing w:after="240"/>
        <w:ind w:left="567" w:hanging="567"/>
        <w:rPr>
          <w:color w:val="000000"/>
        </w:rPr>
      </w:pPr>
    </w:p>
    <w:p w14:paraId="4BC69C89" w14:textId="77777777" w:rsidR="00E365E1" w:rsidRPr="00AD740C" w:rsidRDefault="00E365E1" w:rsidP="003C5926"/>
    <w:sectPr w:rsidR="00E365E1" w:rsidRPr="00AD740C" w:rsidSect="00BB147C">
      <w:headerReference w:type="first"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B9A2A" w14:textId="77777777" w:rsidR="00852383" w:rsidRPr="00BB147C" w:rsidRDefault="00852383">
      <w:r w:rsidRPr="00BB147C">
        <w:separator/>
      </w:r>
    </w:p>
  </w:endnote>
  <w:endnote w:type="continuationSeparator" w:id="0">
    <w:p w14:paraId="546380E8" w14:textId="77777777" w:rsidR="00852383" w:rsidRPr="00BB147C" w:rsidRDefault="00852383">
      <w:r w:rsidRPr="00BB14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1B110" w14:textId="77777777" w:rsidR="00852383" w:rsidRPr="00BB147C" w:rsidRDefault="00852383" w:rsidP="00852383">
    <w:pPr>
      <w:pStyle w:val="Footer"/>
      <w:tabs>
        <w:tab w:val="clear" w:pos="9026"/>
        <w:tab w:val="right" w:pos="10206"/>
      </w:tabs>
      <w:ind w:right="-428"/>
      <w:rPr>
        <w:b/>
      </w:rPr>
    </w:pPr>
    <w:r w:rsidRPr="00BB147C">
      <w:rPr>
        <w:rFonts w:ascii="Arial" w:hAnsi="Arial"/>
        <w:b/>
        <w:sz w:val="48"/>
      </w:rPr>
      <w:t>SV</w:t>
    </w:r>
    <w:r w:rsidRPr="00BB147C">
      <w:rPr>
        <w:rFonts w:ascii="Arial" w:hAnsi="Arial"/>
        <w:sz w:val="22"/>
      </w:rPr>
      <w:tab/>
    </w:r>
    <w:r w:rsidRPr="00BB147C">
      <w:rPr>
        <w:rFonts w:ascii="Arial" w:hAnsi="Arial"/>
        <w:sz w:val="22"/>
      </w:rPr>
      <w:tab/>
      <w:t>PE 766.071/BUR/PART_III_3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8A1F0" w14:textId="77777777" w:rsidR="00852383" w:rsidRPr="00BB147C" w:rsidRDefault="00852383">
      <w:r w:rsidRPr="00BB147C">
        <w:separator/>
      </w:r>
    </w:p>
  </w:footnote>
  <w:footnote w:type="continuationSeparator" w:id="0">
    <w:p w14:paraId="11EC09BE" w14:textId="77777777" w:rsidR="00852383" w:rsidRPr="00BB147C" w:rsidRDefault="00852383">
      <w:r w:rsidRPr="00BB147C">
        <w:continuationSeparator/>
      </w:r>
    </w:p>
  </w:footnote>
  <w:footnote w:id="1">
    <w:p w14:paraId="5EBC70DF" w14:textId="77777777" w:rsidR="00852383" w:rsidRPr="00F47EA1" w:rsidRDefault="00852383" w:rsidP="00BB147C">
      <w:pPr>
        <w:ind w:left="567" w:hanging="567"/>
        <w:rPr>
          <w:color w:val="000000"/>
          <w:lang w:val="fi-FI"/>
        </w:rPr>
      </w:pPr>
      <w:r w:rsidRPr="00BB147C">
        <w:rPr>
          <w:rStyle w:val="FootnoteReference"/>
        </w:rPr>
        <w:footnoteRef/>
      </w:r>
      <w:r w:rsidRPr="00F47EA1">
        <w:rPr>
          <w:color w:val="000000"/>
          <w:lang w:val="fi-FI"/>
        </w:rPr>
        <w:t xml:space="preserve"> </w:t>
      </w:r>
      <w:r w:rsidRPr="00F47EA1">
        <w:rPr>
          <w:color w:val="000000"/>
          <w:lang w:val="fi-FI"/>
        </w:rPr>
        <w:tab/>
        <w:t xml:space="preserve">EUT L 433 I, 22.12.2020, s. 11, ELI: </w:t>
      </w:r>
      <w:hyperlink r:id="rId1" w:history="1">
        <w:r w:rsidRPr="00F47EA1">
          <w:rPr>
            <w:rStyle w:val="Hyperlink"/>
            <w:lang w:val="fi-FI"/>
          </w:rPr>
          <w:t>http://data.europa.eu/eli/reg/2020/2093/oj</w:t>
        </w:r>
      </w:hyperlink>
      <w:r w:rsidRPr="00F47EA1">
        <w:rPr>
          <w:color w:val="000000"/>
          <w:lang w:val="fi-FI"/>
        </w:rPr>
        <w:t>.</w:t>
      </w:r>
    </w:p>
  </w:footnote>
  <w:footnote w:id="2">
    <w:p w14:paraId="7E42FE37" w14:textId="77777777" w:rsidR="00852383" w:rsidRPr="00BB147C" w:rsidRDefault="00852383" w:rsidP="00BB147C">
      <w:pPr>
        <w:ind w:left="567" w:hanging="567"/>
        <w:rPr>
          <w:color w:val="000000"/>
        </w:rPr>
      </w:pPr>
      <w:r w:rsidRPr="00BB147C">
        <w:rPr>
          <w:rStyle w:val="FootnoteReference"/>
        </w:rPr>
        <w:footnoteRef/>
      </w:r>
      <w:r w:rsidRPr="00BB147C">
        <w:rPr>
          <w:color w:val="000000"/>
        </w:rPr>
        <w:t xml:space="preserve"> </w:t>
      </w:r>
      <w:r w:rsidRPr="00BB147C">
        <w:rPr>
          <w:color w:val="000000"/>
        </w:rPr>
        <w:tab/>
        <w:t>EUT C 444 I, 22.12.2020, s. 4.</w:t>
      </w:r>
    </w:p>
  </w:footnote>
  <w:footnote w:id="3">
    <w:p w14:paraId="6B1F70B3" w14:textId="77777777" w:rsidR="00852383" w:rsidRPr="00BB147C" w:rsidRDefault="00852383" w:rsidP="00BB147C">
      <w:pPr>
        <w:ind w:left="567" w:hanging="567"/>
        <w:rPr>
          <w:color w:val="000000"/>
        </w:rPr>
      </w:pPr>
      <w:r w:rsidRPr="00BB147C">
        <w:rPr>
          <w:rStyle w:val="FootnoteReference"/>
        </w:rPr>
        <w:footnoteRef/>
      </w:r>
      <w:r w:rsidRPr="00BB147C">
        <w:rPr>
          <w:color w:val="000000"/>
        </w:rPr>
        <w:t xml:space="preserve"> </w:t>
      </w:r>
      <w:r w:rsidRPr="00BB147C">
        <w:rPr>
          <w:color w:val="000000"/>
        </w:rPr>
        <w:tab/>
        <w:t>EUT C 445, 29.10.2021, s. 252.</w:t>
      </w:r>
    </w:p>
  </w:footnote>
  <w:footnote w:id="4">
    <w:p w14:paraId="30337272" w14:textId="77777777" w:rsidR="00852383" w:rsidRPr="00F47EA1" w:rsidRDefault="00852383" w:rsidP="00BB147C">
      <w:pPr>
        <w:ind w:left="567" w:hanging="567"/>
        <w:rPr>
          <w:lang w:val="fi-FI"/>
        </w:rPr>
      </w:pPr>
      <w:r w:rsidRPr="00BB147C">
        <w:rPr>
          <w:rStyle w:val="FootnoteReference"/>
          <w:rFonts w:eastAsiaTheme="majorEastAsia"/>
        </w:rPr>
        <w:footnoteRef/>
      </w:r>
      <w:r w:rsidRPr="00F47EA1">
        <w:rPr>
          <w:lang w:val="fi-FI"/>
        </w:rPr>
        <w:t xml:space="preserve"> </w:t>
      </w:r>
      <w:r w:rsidRPr="00F47EA1">
        <w:rPr>
          <w:lang w:val="fi-FI"/>
        </w:rPr>
        <w:tab/>
        <w:t xml:space="preserve">EUT L 325, 20.12.2022, s. 11, ELI: </w:t>
      </w:r>
      <w:hyperlink r:id="rId2" w:history="1">
        <w:r w:rsidRPr="00F47EA1">
          <w:rPr>
            <w:rStyle w:val="Hyperlink"/>
            <w:lang w:val="fi-FI"/>
          </w:rPr>
          <w:t>http://data.europa.eu/eli/reg/2022/2496/oj</w:t>
        </w:r>
      </w:hyperlink>
      <w:r w:rsidRPr="00F47EA1">
        <w:rPr>
          <w:lang w:val="fi-FI"/>
        </w:rPr>
        <w:t>.</w:t>
      </w:r>
    </w:p>
  </w:footnote>
  <w:footnote w:id="5">
    <w:p w14:paraId="40BA5D26" w14:textId="77777777" w:rsidR="00852383" w:rsidRPr="00F47EA1" w:rsidRDefault="00852383" w:rsidP="00BB147C">
      <w:pPr>
        <w:ind w:left="567" w:hanging="567"/>
        <w:rPr>
          <w:lang w:val="fi-FI"/>
        </w:rPr>
      </w:pPr>
      <w:r w:rsidRPr="00BB147C">
        <w:rPr>
          <w:rStyle w:val="FootnoteReference"/>
        </w:rPr>
        <w:footnoteRef/>
      </w:r>
      <w:r w:rsidRPr="00F47EA1">
        <w:rPr>
          <w:lang w:val="fi-FI"/>
        </w:rPr>
        <w:t xml:space="preserve"> </w:t>
      </w:r>
      <w:r w:rsidRPr="00F47EA1">
        <w:rPr>
          <w:lang w:val="fi-FI"/>
        </w:rPr>
        <w:tab/>
        <w:t xml:space="preserve">EUT L, 2024/765, 29.2.2024, ELI: </w:t>
      </w:r>
      <w:hyperlink r:id="rId3" w:history="1">
        <w:r w:rsidRPr="00F47EA1">
          <w:rPr>
            <w:rStyle w:val="Hyperlink"/>
            <w:lang w:val="fi-FI"/>
          </w:rPr>
          <w:t>http://data.europa.eu/eli/reg/2024/765/oj</w:t>
        </w:r>
      </w:hyperlink>
      <w:r w:rsidRPr="00F47EA1">
        <w:rPr>
          <w:lang w:val="fi-FI"/>
        </w:rPr>
        <w:t>.</w:t>
      </w:r>
    </w:p>
  </w:footnote>
  <w:footnote w:id="6">
    <w:p w14:paraId="48945D8F" w14:textId="77777777" w:rsidR="00852383" w:rsidRPr="00F47EA1" w:rsidRDefault="00852383" w:rsidP="00BB147C">
      <w:pPr>
        <w:ind w:left="567" w:hanging="567"/>
        <w:rPr>
          <w:color w:val="000000"/>
          <w:lang w:val="fr-FR"/>
        </w:rPr>
      </w:pPr>
      <w:r w:rsidRPr="00BB147C">
        <w:rPr>
          <w:rStyle w:val="FootnoteReference"/>
        </w:rPr>
        <w:footnoteRef/>
      </w:r>
      <w:r w:rsidRPr="00F47EA1">
        <w:rPr>
          <w:color w:val="000000"/>
          <w:lang w:val="fr-FR"/>
        </w:rPr>
        <w:t xml:space="preserve"> </w:t>
      </w:r>
      <w:r w:rsidRPr="00F47EA1">
        <w:rPr>
          <w:color w:val="000000"/>
          <w:lang w:val="fr-FR"/>
        </w:rPr>
        <w:tab/>
        <w:t>EUT C 445, 29.10.2021, s. 240.</w:t>
      </w:r>
    </w:p>
  </w:footnote>
  <w:footnote w:id="7">
    <w:p w14:paraId="7ED62038" w14:textId="77777777" w:rsidR="00852383" w:rsidRPr="00F47EA1" w:rsidRDefault="00852383" w:rsidP="00BB147C">
      <w:pPr>
        <w:ind w:left="567" w:hanging="567"/>
        <w:rPr>
          <w:color w:val="000000"/>
          <w:lang w:val="fr-FR"/>
        </w:rPr>
      </w:pPr>
      <w:r w:rsidRPr="00BB147C">
        <w:rPr>
          <w:rStyle w:val="FootnoteReference"/>
        </w:rPr>
        <w:footnoteRef/>
      </w:r>
      <w:r w:rsidRPr="00F47EA1">
        <w:rPr>
          <w:color w:val="000000"/>
          <w:lang w:val="fr-FR"/>
        </w:rPr>
        <w:t xml:space="preserve"> </w:t>
      </w:r>
      <w:r w:rsidRPr="00F47EA1">
        <w:rPr>
          <w:color w:val="000000"/>
          <w:lang w:val="fr-FR"/>
        </w:rPr>
        <w:tab/>
        <w:t>EUT C 177, 17.5.2023, s. 115.</w:t>
      </w:r>
    </w:p>
  </w:footnote>
  <w:footnote w:id="8">
    <w:p w14:paraId="779F0C69" w14:textId="77777777" w:rsidR="00852383" w:rsidRPr="00F47EA1" w:rsidRDefault="00852383" w:rsidP="00BB147C">
      <w:pPr>
        <w:ind w:left="567" w:hanging="567"/>
        <w:rPr>
          <w:color w:val="000000"/>
          <w:lang w:val="fi-FI"/>
        </w:rPr>
      </w:pPr>
      <w:r w:rsidRPr="00BB147C">
        <w:rPr>
          <w:rStyle w:val="FootnoteReference"/>
        </w:rPr>
        <w:footnoteRef/>
      </w:r>
      <w:r w:rsidRPr="00F47EA1">
        <w:rPr>
          <w:color w:val="000000"/>
          <w:lang w:val="fi-FI"/>
        </w:rPr>
        <w:t xml:space="preserve"> </w:t>
      </w:r>
      <w:r w:rsidRPr="00F47EA1">
        <w:rPr>
          <w:color w:val="000000"/>
          <w:lang w:val="fi-FI"/>
        </w:rPr>
        <w:tab/>
        <w:t xml:space="preserve">EUT C, C/2024/1195, 23.2.2024, ELI: </w:t>
      </w:r>
      <w:hyperlink r:id="rId4" w:history="1">
        <w:r w:rsidRPr="00F47EA1">
          <w:rPr>
            <w:rStyle w:val="Hyperlink"/>
            <w:lang w:val="fi-FI"/>
          </w:rPr>
          <w:t>http://data.europa.eu/eli/C/2024/1195/oj</w:t>
        </w:r>
      </w:hyperlink>
      <w:r w:rsidRPr="00F47EA1">
        <w:rPr>
          <w:color w:val="000000"/>
          <w:lang w:val="fi-FI"/>
        </w:rPr>
        <w:t>.</w:t>
      </w:r>
    </w:p>
  </w:footnote>
  <w:footnote w:id="9">
    <w:p w14:paraId="2BAC12F4" w14:textId="77777777" w:rsidR="00852383" w:rsidRPr="00F47EA1" w:rsidRDefault="00852383" w:rsidP="00BB147C">
      <w:pPr>
        <w:ind w:left="567" w:hanging="567"/>
        <w:rPr>
          <w:color w:val="000000"/>
          <w:lang w:val="fi-FI"/>
        </w:rPr>
      </w:pPr>
      <w:r w:rsidRPr="00BB147C">
        <w:rPr>
          <w:rStyle w:val="FootnoteReference"/>
        </w:rPr>
        <w:footnoteRef/>
      </w:r>
      <w:r w:rsidRPr="00F47EA1">
        <w:rPr>
          <w:color w:val="000000"/>
          <w:lang w:val="fi-FI"/>
        </w:rPr>
        <w:t xml:space="preserve"> </w:t>
      </w:r>
      <w:r w:rsidRPr="00F47EA1">
        <w:rPr>
          <w:color w:val="000000"/>
          <w:lang w:val="fi-FI"/>
        </w:rPr>
        <w:tab/>
        <w:t xml:space="preserve">EUT C, C/2024/6751, 26.11.2024, ELI: </w:t>
      </w:r>
      <w:hyperlink r:id="rId5" w:history="1">
        <w:r w:rsidRPr="00F47EA1">
          <w:rPr>
            <w:rStyle w:val="Hyperlink"/>
            <w:lang w:val="fi-FI"/>
          </w:rPr>
          <w:t>http://data.europa.eu/eli/C/2024/6751/oj</w:t>
        </w:r>
      </w:hyperlink>
      <w:r w:rsidRPr="00F47EA1">
        <w:rPr>
          <w:color w:val="000000"/>
          <w:lang w:val="fi-FI"/>
        </w:rPr>
        <w:t>.</w:t>
      </w:r>
    </w:p>
  </w:footnote>
  <w:footnote w:id="10">
    <w:p w14:paraId="035FE965" w14:textId="77777777" w:rsidR="00852383" w:rsidRPr="00F47EA1" w:rsidRDefault="00852383" w:rsidP="00BB147C">
      <w:pPr>
        <w:ind w:left="567" w:hanging="567"/>
        <w:rPr>
          <w:color w:val="000000"/>
          <w:lang w:val="fi-FI"/>
        </w:rPr>
      </w:pPr>
      <w:r w:rsidRPr="00BB147C">
        <w:rPr>
          <w:rStyle w:val="FootnoteReference"/>
        </w:rPr>
        <w:footnoteRef/>
      </w:r>
      <w:r w:rsidRPr="00F47EA1">
        <w:rPr>
          <w:color w:val="000000"/>
          <w:lang w:val="fi-FI"/>
        </w:rPr>
        <w:t xml:space="preserve"> </w:t>
      </w:r>
      <w:r w:rsidRPr="00F47EA1">
        <w:rPr>
          <w:color w:val="000000"/>
          <w:lang w:val="fi-FI"/>
        </w:rPr>
        <w:tab/>
        <w:t xml:space="preserve">EUT L, 2024/2509, 26.9.2024, ELI: </w:t>
      </w:r>
      <w:hyperlink r:id="rId6" w:history="1">
        <w:r w:rsidRPr="00F47EA1">
          <w:rPr>
            <w:rStyle w:val="Hyperlink"/>
            <w:lang w:val="fi-FI"/>
          </w:rPr>
          <w:t>http://data.europa.eu/eli/reg/2024/2509/oj</w:t>
        </w:r>
      </w:hyperlink>
      <w:r w:rsidRPr="00F47EA1">
        <w:rPr>
          <w:color w:val="337AB7"/>
          <w:u w:val="single"/>
          <w:lang w:val="fi-FI"/>
        </w:rPr>
        <w:t>.</w:t>
      </w:r>
    </w:p>
  </w:footnote>
  <w:footnote w:id="11">
    <w:p w14:paraId="11897780" w14:textId="77777777" w:rsidR="00852383" w:rsidRPr="00F47EA1" w:rsidRDefault="00852383" w:rsidP="00BB147C">
      <w:pPr>
        <w:ind w:left="567" w:hanging="567"/>
        <w:rPr>
          <w:color w:val="000000"/>
          <w:lang w:val="fi-FI"/>
        </w:rPr>
      </w:pPr>
      <w:r w:rsidRPr="00BB147C">
        <w:rPr>
          <w:rStyle w:val="FootnoteReference"/>
        </w:rPr>
        <w:footnoteRef/>
      </w:r>
      <w:r w:rsidRPr="00F47EA1">
        <w:rPr>
          <w:color w:val="000000"/>
          <w:lang w:val="fi-FI"/>
        </w:rPr>
        <w:t xml:space="preserve"> </w:t>
      </w:r>
      <w:r w:rsidRPr="00F47EA1">
        <w:rPr>
          <w:color w:val="000000"/>
          <w:lang w:val="fi-FI"/>
        </w:rPr>
        <w:tab/>
        <w:t xml:space="preserve">EUT L 433 I, 22.12.2020, s. 28, ELI: </w:t>
      </w:r>
      <w:hyperlink r:id="rId7" w:history="1">
        <w:r w:rsidRPr="00F47EA1">
          <w:rPr>
            <w:rStyle w:val="Hyperlink"/>
            <w:lang w:val="fi-FI"/>
          </w:rPr>
          <w:t>http://data.europa.eu/eli/agree_interinstit/2020/1222/oj</w:t>
        </w:r>
      </w:hyperlink>
      <w:r w:rsidRPr="00F47EA1">
        <w:rPr>
          <w:color w:val="000000"/>
          <w:lang w:val="fi-FI"/>
        </w:rPr>
        <w:t>.</w:t>
      </w:r>
    </w:p>
  </w:footnote>
  <w:footnote w:id="12">
    <w:p w14:paraId="61BA18A1" w14:textId="77777777" w:rsidR="00852383" w:rsidRPr="00F47EA1" w:rsidRDefault="00852383" w:rsidP="00BB147C">
      <w:pPr>
        <w:ind w:left="567" w:hanging="567"/>
        <w:rPr>
          <w:color w:val="000000"/>
          <w:lang w:val="fi-FI"/>
        </w:rPr>
      </w:pPr>
      <w:r w:rsidRPr="00BB147C">
        <w:rPr>
          <w:rStyle w:val="FootnoteReference"/>
        </w:rPr>
        <w:footnoteRef/>
      </w:r>
      <w:r w:rsidRPr="00F47EA1">
        <w:rPr>
          <w:color w:val="000000"/>
          <w:lang w:val="fi-FI"/>
        </w:rPr>
        <w:t xml:space="preserve"> </w:t>
      </w:r>
      <w:r w:rsidRPr="00F47EA1">
        <w:rPr>
          <w:color w:val="000000"/>
          <w:lang w:val="fi-FI"/>
        </w:rPr>
        <w:tab/>
        <w:t xml:space="preserve">EUT L, 2025/31, 27.2.2025, ELI: </w:t>
      </w:r>
      <w:hyperlink r:id="rId8" w:history="1">
        <w:r w:rsidRPr="00F47EA1">
          <w:rPr>
            <w:rStyle w:val="Hyperlink"/>
            <w:lang w:val="fi-FI"/>
          </w:rPr>
          <w:t>http://data.europa.eu/eli/budget/2025/31/oj</w:t>
        </w:r>
      </w:hyperlink>
      <w:r w:rsidRPr="00F47EA1">
        <w:rPr>
          <w:color w:val="000000"/>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DBF47" w14:textId="77777777" w:rsidR="00852383" w:rsidRPr="00BB147C" w:rsidRDefault="00852383" w:rsidP="00852383">
    <w:pPr>
      <w:keepNext/>
      <w:tabs>
        <w:tab w:val="left" w:pos="1418"/>
        <w:tab w:val="left" w:pos="1786"/>
        <w:tab w:val="left" w:pos="2381"/>
        <w:tab w:val="left" w:pos="2948"/>
        <w:tab w:val="left" w:pos="3572"/>
        <w:tab w:val="left" w:pos="4139"/>
        <w:tab w:val="left" w:pos="4763"/>
        <w:tab w:val="left" w:pos="5387"/>
        <w:tab w:val="left" w:pos="5954"/>
        <w:tab w:val="left" w:pos="6577"/>
        <w:tab w:val="left" w:pos="7144"/>
      </w:tabs>
      <w:jc w:val="right"/>
      <w:outlineLvl w:val="5"/>
      <w:rPr>
        <w:rFonts w:ascii="Arial" w:hAnsi="Arial" w:cs="Arial"/>
        <w:bCs/>
        <w:color w:val="1F4E79" w:themeColor="accent1" w:themeShade="80"/>
        <w:sz w:val="28"/>
        <w:szCs w:val="28"/>
      </w:rPr>
    </w:pPr>
    <w:r w:rsidRPr="00BB147C">
      <w:rPr>
        <w:rFonts w:ascii="Arial" w:hAnsi="Arial"/>
        <w:color w:val="1F4E79" w:themeColor="accent1" w:themeShade="80"/>
        <w:sz w:val="28"/>
      </w:rPr>
      <w:t>DEL III – Preliminärt förslag till budgetberäkning 2026</w:t>
    </w:r>
  </w:p>
  <w:p w14:paraId="2CBFF324" w14:textId="77777777" w:rsidR="00852383" w:rsidRPr="00BB147C" w:rsidRDefault="00852383" w:rsidP="00852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SV"/>
    <w:docVar w:name="dvnumam" w:val="0"/>
    <w:docVar w:name="dvpe" w:val="770.074"/>
    <w:docVar w:name="dvrapporteur" w:val="Föredragande: "/>
    <w:docVar w:name="dvtitre" w:val="Europaparlamentets resolution av den xx xx 2025 om beräkning av Europaparlamentets inkomster och utgifter för budgetåret 2026(2024/2111(BUI))"/>
  </w:docVars>
  <w:rsids>
    <w:rsidRoot w:val="003C5926"/>
    <w:rsid w:val="00002272"/>
    <w:rsid w:val="00064002"/>
    <w:rsid w:val="000677B9"/>
    <w:rsid w:val="000831BA"/>
    <w:rsid w:val="000A42CC"/>
    <w:rsid w:val="000E7DD9"/>
    <w:rsid w:val="0010095E"/>
    <w:rsid w:val="00125B37"/>
    <w:rsid w:val="00187494"/>
    <w:rsid w:val="001B63D9"/>
    <w:rsid w:val="001F32AE"/>
    <w:rsid w:val="002767FF"/>
    <w:rsid w:val="002B18FE"/>
    <w:rsid w:val="002B5493"/>
    <w:rsid w:val="00343214"/>
    <w:rsid w:val="00361C00"/>
    <w:rsid w:val="00395FA1"/>
    <w:rsid w:val="003C592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788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383"/>
    <w:rsid w:val="00865F67"/>
    <w:rsid w:val="00881A7B"/>
    <w:rsid w:val="008840E5"/>
    <w:rsid w:val="00887B3E"/>
    <w:rsid w:val="008C2AC6"/>
    <w:rsid w:val="00921C4E"/>
    <w:rsid w:val="00930C23"/>
    <w:rsid w:val="0093193B"/>
    <w:rsid w:val="009509D8"/>
    <w:rsid w:val="00950B64"/>
    <w:rsid w:val="00981893"/>
    <w:rsid w:val="00A1687D"/>
    <w:rsid w:val="00A17401"/>
    <w:rsid w:val="00A43E52"/>
    <w:rsid w:val="00A4678D"/>
    <w:rsid w:val="00A778C7"/>
    <w:rsid w:val="00A85351"/>
    <w:rsid w:val="00AB441E"/>
    <w:rsid w:val="00AB6293"/>
    <w:rsid w:val="00AD740C"/>
    <w:rsid w:val="00AE0928"/>
    <w:rsid w:val="00AF3B82"/>
    <w:rsid w:val="00B12E95"/>
    <w:rsid w:val="00B22876"/>
    <w:rsid w:val="00B45282"/>
    <w:rsid w:val="00B558F0"/>
    <w:rsid w:val="00B627C9"/>
    <w:rsid w:val="00B94DED"/>
    <w:rsid w:val="00BB147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B35"/>
    <w:rsid w:val="00F149E9"/>
    <w:rsid w:val="00F47EA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17930"/>
  <w15:chartTrackingRefBased/>
  <w15:docId w15:val="{76933CE4-74BE-40C8-B81A-FAA776D34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11B35"/>
    <w:rPr>
      <w:b/>
      <w:kern w:val="28"/>
      <w:sz w:val="28"/>
      <w:lang w:val="fr-FR" w:eastAsia="fr-FR"/>
    </w:rPr>
  </w:style>
  <w:style w:type="character" w:customStyle="1" w:styleId="Heading2Char">
    <w:name w:val="Heading 2 Char"/>
    <w:basedOn w:val="DefaultParagraphFont"/>
    <w:link w:val="Heading2"/>
    <w:uiPriority w:val="9"/>
    <w:rsid w:val="00F11B35"/>
    <w:rPr>
      <w:sz w:val="24"/>
      <w:lang w:val="fr-FR" w:eastAsia="fr-FR"/>
    </w:rPr>
  </w:style>
  <w:style w:type="character" w:customStyle="1" w:styleId="Heading3Char">
    <w:name w:val="Heading 3 Char"/>
    <w:basedOn w:val="DefaultParagraphFont"/>
    <w:link w:val="Heading3"/>
    <w:uiPriority w:val="9"/>
    <w:rsid w:val="00F11B35"/>
    <w:rPr>
      <w:rFonts w:ascii="Arial" w:hAnsi="Arial"/>
      <w:sz w:val="24"/>
      <w:lang w:val="fr-FR" w:eastAsia="fr-FR"/>
    </w:rPr>
  </w:style>
  <w:style w:type="character" w:customStyle="1" w:styleId="Heading4Char">
    <w:name w:val="Heading 4 Char"/>
    <w:basedOn w:val="DefaultParagraphFont"/>
    <w:link w:val="Heading4"/>
    <w:uiPriority w:val="9"/>
    <w:rsid w:val="00F11B35"/>
    <w:rPr>
      <w:sz w:val="24"/>
      <w:lang w:val="en-US" w:eastAsia="fr-FR"/>
    </w:rPr>
  </w:style>
  <w:style w:type="character" w:customStyle="1" w:styleId="Heading5Char">
    <w:name w:val="Heading 5 Char"/>
    <w:basedOn w:val="DefaultParagraphFont"/>
    <w:link w:val="Heading5"/>
    <w:uiPriority w:val="9"/>
    <w:rsid w:val="00F11B35"/>
    <w:rPr>
      <w:sz w:val="24"/>
      <w:lang w:val="en-US" w:eastAsia="fr-FR"/>
    </w:rPr>
  </w:style>
  <w:style w:type="character" w:customStyle="1" w:styleId="Heading6Char">
    <w:name w:val="Heading 6 Char"/>
    <w:basedOn w:val="DefaultParagraphFont"/>
    <w:link w:val="Heading6"/>
    <w:uiPriority w:val="9"/>
    <w:rsid w:val="00F11B35"/>
    <w:rPr>
      <w:i/>
      <w:sz w:val="22"/>
      <w:lang w:val="sv-SE"/>
    </w:rPr>
  </w:style>
  <w:style w:type="character" w:customStyle="1" w:styleId="Heading7Char">
    <w:name w:val="Heading 7 Char"/>
    <w:basedOn w:val="DefaultParagraphFont"/>
    <w:link w:val="Heading7"/>
    <w:uiPriority w:val="9"/>
    <w:rsid w:val="00F11B35"/>
    <w:rPr>
      <w:rFonts w:ascii="Arial" w:hAnsi="Arial"/>
      <w:sz w:val="24"/>
      <w:lang w:val="sv-SE"/>
    </w:rPr>
  </w:style>
  <w:style w:type="character" w:customStyle="1" w:styleId="Heading8Char">
    <w:name w:val="Heading 8 Char"/>
    <w:basedOn w:val="DefaultParagraphFont"/>
    <w:link w:val="Heading8"/>
    <w:uiPriority w:val="9"/>
    <w:rsid w:val="00F11B35"/>
    <w:rPr>
      <w:rFonts w:ascii="Arial" w:hAnsi="Arial"/>
      <w:i/>
      <w:sz w:val="24"/>
      <w:lang w:val="sv-SE"/>
    </w:rPr>
  </w:style>
  <w:style w:type="character" w:customStyle="1" w:styleId="Heading9Char">
    <w:name w:val="Heading 9 Char"/>
    <w:basedOn w:val="DefaultParagraphFont"/>
    <w:link w:val="Heading9"/>
    <w:uiPriority w:val="9"/>
    <w:rsid w:val="00F11B35"/>
    <w:rPr>
      <w:rFonts w:ascii="Arial" w:hAnsi="Arial"/>
      <w:b/>
      <w:i/>
      <w:sz w:val="18"/>
      <w:lang w:val="sv-SE"/>
    </w:rPr>
  </w:style>
  <w:style w:type="paragraph" w:styleId="TOCHeading">
    <w:name w:val="TOC Heading"/>
    <w:basedOn w:val="Normal"/>
    <w:next w:val="Normal"/>
    <w:uiPriority w:val="39"/>
    <w:unhideWhenUsed/>
    <w:qFormat/>
    <w:rsid w:val="00F11B35"/>
    <w:pPr>
      <w:widowControl/>
      <w:spacing w:after="240"/>
    </w:pPr>
    <w:rPr>
      <w:lang w:val="en-GB"/>
    </w:rPr>
  </w:style>
  <w:style w:type="paragraph" w:customStyle="1" w:styleId="EPFooter2">
    <w:name w:val="EPFooter2"/>
    <w:basedOn w:val="Normal"/>
    <w:next w:val="Normal"/>
    <w:rsid w:val="00F11B3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11B35"/>
    <w:pPr>
      <w:spacing w:after="240"/>
    </w:pPr>
  </w:style>
  <w:style w:type="paragraph" w:customStyle="1" w:styleId="TOCPage">
    <w:name w:val="TOC Page"/>
    <w:basedOn w:val="Normal"/>
    <w:next w:val="TOC1"/>
    <w:rsid w:val="00F11B35"/>
    <w:pPr>
      <w:keepNext/>
      <w:spacing w:after="240"/>
      <w:jc w:val="right"/>
    </w:pPr>
    <w:rPr>
      <w:rFonts w:ascii="Arial" w:hAnsi="Arial"/>
      <w:b/>
    </w:rPr>
  </w:style>
  <w:style w:type="paragraph" w:customStyle="1" w:styleId="PageHeading">
    <w:name w:val="PageHeading"/>
    <w:basedOn w:val="Normal"/>
    <w:rsid w:val="00F11B35"/>
    <w:pPr>
      <w:keepNext/>
      <w:spacing w:after="480"/>
      <w:jc w:val="center"/>
    </w:pPr>
    <w:rPr>
      <w:rFonts w:ascii="Arial" w:hAnsi="Arial" w:cs="Arial"/>
      <w:b/>
    </w:rPr>
  </w:style>
  <w:style w:type="paragraph" w:customStyle="1" w:styleId="NormalBold">
    <w:name w:val="NormalBold"/>
    <w:basedOn w:val="Normal"/>
    <w:rsid w:val="00F11B35"/>
    <w:rPr>
      <w:b/>
    </w:rPr>
  </w:style>
  <w:style w:type="paragraph" w:customStyle="1" w:styleId="NormalHanging12a">
    <w:name w:val="NormalHanging12a"/>
    <w:basedOn w:val="Normal"/>
    <w:link w:val="NormalHanging12aChar"/>
    <w:rsid w:val="00F11B35"/>
    <w:pPr>
      <w:spacing w:after="240"/>
      <w:ind w:left="567" w:hanging="567"/>
    </w:pPr>
  </w:style>
  <w:style w:type="paragraph" w:customStyle="1" w:styleId="CoverNormal24a">
    <w:name w:val="CoverNormal24a"/>
    <w:basedOn w:val="Normal"/>
    <w:rsid w:val="00F11B35"/>
    <w:pPr>
      <w:spacing w:after="480"/>
      <w:ind w:left="1417"/>
    </w:pPr>
  </w:style>
  <w:style w:type="paragraph" w:customStyle="1" w:styleId="CoverNormal">
    <w:name w:val="CoverNormal"/>
    <w:basedOn w:val="Normal"/>
    <w:rsid w:val="00F11B35"/>
    <w:pPr>
      <w:ind w:left="1418"/>
    </w:pPr>
  </w:style>
  <w:style w:type="paragraph" w:customStyle="1" w:styleId="CoverReference">
    <w:name w:val="CoverReference"/>
    <w:basedOn w:val="Normal"/>
    <w:rsid w:val="00F11B35"/>
    <w:pPr>
      <w:spacing w:before="1080"/>
      <w:jc w:val="right"/>
    </w:pPr>
    <w:rPr>
      <w:rFonts w:ascii="Arial" w:hAnsi="Arial" w:cs="Arial"/>
      <w:b/>
    </w:rPr>
  </w:style>
  <w:style w:type="paragraph" w:customStyle="1" w:styleId="CoverDocType24a">
    <w:name w:val="CoverDocType24a"/>
    <w:basedOn w:val="Normal"/>
    <w:rsid w:val="00F11B35"/>
    <w:pPr>
      <w:spacing w:after="480"/>
      <w:ind w:left="1418"/>
    </w:pPr>
    <w:rPr>
      <w:rFonts w:ascii="Arial" w:hAnsi="Arial"/>
      <w:b/>
      <w:sz w:val="48"/>
    </w:rPr>
  </w:style>
  <w:style w:type="paragraph" w:customStyle="1" w:styleId="CoverDate">
    <w:name w:val="CoverDate"/>
    <w:basedOn w:val="Normal"/>
    <w:rsid w:val="00F11B35"/>
    <w:pPr>
      <w:spacing w:before="240" w:after="1200"/>
    </w:pPr>
  </w:style>
  <w:style w:type="paragraph" w:customStyle="1" w:styleId="EPBody">
    <w:name w:val="EPBody"/>
    <w:basedOn w:val="Normal"/>
    <w:rsid w:val="00F11B35"/>
    <w:pPr>
      <w:jc w:val="center"/>
    </w:pPr>
    <w:rPr>
      <w:rFonts w:ascii="Arial" w:hAnsi="Arial" w:cs="Arial"/>
      <w:i/>
      <w:sz w:val="22"/>
      <w:szCs w:val="22"/>
    </w:rPr>
  </w:style>
  <w:style w:type="paragraph" w:customStyle="1" w:styleId="EPFooter">
    <w:name w:val="EPFooter"/>
    <w:basedOn w:val="Normal"/>
    <w:rsid w:val="00F11B35"/>
    <w:pPr>
      <w:tabs>
        <w:tab w:val="center" w:pos="4535"/>
        <w:tab w:val="right" w:pos="9071"/>
      </w:tabs>
      <w:spacing w:before="240" w:after="240"/>
    </w:pPr>
    <w:rPr>
      <w:color w:val="010000"/>
      <w:sz w:val="22"/>
    </w:rPr>
  </w:style>
  <w:style w:type="paragraph" w:styleId="Header">
    <w:name w:val="header"/>
    <w:basedOn w:val="Normal"/>
    <w:link w:val="HeaderChar"/>
    <w:uiPriority w:val="99"/>
    <w:rsid w:val="00F11B35"/>
    <w:pPr>
      <w:tabs>
        <w:tab w:val="center" w:pos="4513"/>
        <w:tab w:val="right" w:pos="9026"/>
      </w:tabs>
    </w:pPr>
  </w:style>
  <w:style w:type="character" w:customStyle="1" w:styleId="HeaderChar">
    <w:name w:val="Header Char"/>
    <w:basedOn w:val="DefaultParagraphFont"/>
    <w:link w:val="Header"/>
    <w:uiPriority w:val="99"/>
    <w:rsid w:val="00F11B35"/>
    <w:rPr>
      <w:sz w:val="24"/>
      <w:lang w:val="sv-SE"/>
    </w:rPr>
  </w:style>
  <w:style w:type="paragraph" w:customStyle="1" w:styleId="EPComma">
    <w:name w:val="EPComma"/>
    <w:basedOn w:val="Normal"/>
    <w:rsid w:val="00F11B35"/>
    <w:pPr>
      <w:spacing w:before="480" w:after="240"/>
    </w:pPr>
  </w:style>
  <w:style w:type="character" w:styleId="Hyperlink">
    <w:name w:val="Hyperlink"/>
    <w:basedOn w:val="DefaultParagraphFont"/>
    <w:uiPriority w:val="99"/>
    <w:rsid w:val="00F11B35"/>
    <w:rPr>
      <w:color w:val="0563C1" w:themeColor="hyperlink"/>
      <w:u w:val="single"/>
    </w:rPr>
  </w:style>
  <w:style w:type="paragraph" w:customStyle="1" w:styleId="FootnoteReference1">
    <w:name w:val="Footnote Reference1"/>
    <w:basedOn w:val="Normal"/>
    <w:link w:val="FootnoteReference"/>
    <w:rsid w:val="00F11B35"/>
    <w:pPr>
      <w:widowControl/>
      <w:spacing w:after="160" w:line="240" w:lineRule="exact"/>
    </w:pPr>
    <w:rPr>
      <w:sz w:val="20"/>
      <w:vertAlign w:val="superscript"/>
      <w:lang w:val="en-GB"/>
    </w:rPr>
  </w:style>
  <w:style w:type="paragraph" w:styleId="Footer">
    <w:name w:val="footer"/>
    <w:basedOn w:val="Normal"/>
    <w:link w:val="FooterChar"/>
    <w:uiPriority w:val="99"/>
    <w:rsid w:val="00F11B35"/>
    <w:pPr>
      <w:tabs>
        <w:tab w:val="center" w:pos="4513"/>
        <w:tab w:val="right" w:pos="9026"/>
      </w:tabs>
    </w:pPr>
  </w:style>
  <w:style w:type="character" w:customStyle="1" w:styleId="FooterChar">
    <w:name w:val="Footer Char"/>
    <w:basedOn w:val="DefaultParagraphFont"/>
    <w:link w:val="Footer"/>
    <w:uiPriority w:val="99"/>
    <w:rsid w:val="00F11B35"/>
    <w:rPr>
      <w:sz w:val="24"/>
      <w:lang w:val="sv-SE"/>
    </w:rPr>
  </w:style>
  <w:style w:type="paragraph" w:styleId="BalloonText">
    <w:name w:val="Balloon Text"/>
    <w:basedOn w:val="Normal"/>
    <w:link w:val="BalloonTextChar"/>
    <w:uiPriority w:val="99"/>
    <w:unhideWhenUsed/>
    <w:rsid w:val="00F11B35"/>
    <w:rPr>
      <w:rFonts w:ascii="Segoe UI" w:hAnsi="Segoe UI" w:cs="Segoe UI"/>
      <w:sz w:val="18"/>
      <w:szCs w:val="18"/>
    </w:rPr>
  </w:style>
  <w:style w:type="character" w:customStyle="1" w:styleId="BalloonTextChar">
    <w:name w:val="Balloon Text Char"/>
    <w:basedOn w:val="DefaultParagraphFont"/>
    <w:link w:val="BalloonText"/>
    <w:uiPriority w:val="99"/>
    <w:rsid w:val="00F11B35"/>
    <w:rPr>
      <w:rFonts w:ascii="Segoe UI" w:hAnsi="Segoe UI" w:cs="Segoe UI"/>
      <w:sz w:val="18"/>
      <w:szCs w:val="18"/>
      <w:lang w:val="sv-SE"/>
    </w:rPr>
  </w:style>
  <w:style w:type="paragraph" w:styleId="ListParagraph">
    <w:name w:val="List Paragraph"/>
    <w:aliases w:val="1st level - Bullet List Paragraph,L,Lettre d'introduction,List Paragraph1,List1,List11,List111,List1111,List11111,List111111,List1111111,List11111111,Medium Grid 1 - Accent 21,Nad,Numbered paragraph 1,Paragrafo elenco,Paragraphe de liste1"/>
    <w:basedOn w:val="Normal"/>
    <w:link w:val="ListParagraphChar"/>
    <w:uiPriority w:val="34"/>
    <w:qFormat/>
    <w:rsid w:val="00F11B35"/>
    <w:pPr>
      <w:ind w:left="720"/>
      <w:contextualSpacing/>
    </w:pPr>
  </w:style>
  <w:style w:type="character" w:customStyle="1" w:styleId="NormalHanging12aChar">
    <w:name w:val="NormalHanging12a Char"/>
    <w:basedOn w:val="DefaultParagraphFont"/>
    <w:link w:val="NormalHanging12a"/>
    <w:locked/>
    <w:rsid w:val="00F11B35"/>
    <w:rPr>
      <w:sz w:val="24"/>
      <w:lang w:val="sv-SE"/>
    </w:rPr>
  </w:style>
  <w:style w:type="paragraph" w:customStyle="1" w:styleId="Normal24a">
    <w:name w:val="Normal24a"/>
    <w:basedOn w:val="Normal"/>
    <w:rsid w:val="00F11B35"/>
    <w:pPr>
      <w:spacing w:after="480"/>
    </w:pPr>
  </w:style>
  <w:style w:type="paragraph" w:customStyle="1" w:styleId="NormalBoldCenter">
    <w:name w:val="NormalBoldCenter"/>
    <w:basedOn w:val="Normal"/>
    <w:rsid w:val="00F11B35"/>
    <w:pPr>
      <w:jc w:val="center"/>
    </w:pPr>
    <w:rPr>
      <w:b/>
    </w:rPr>
  </w:style>
  <w:style w:type="paragraph" w:customStyle="1" w:styleId="Footprint12b">
    <w:name w:val="Footprint12b"/>
    <w:basedOn w:val="Normal"/>
    <w:rsid w:val="00F11B35"/>
    <w:pPr>
      <w:spacing w:before="240"/>
    </w:pPr>
    <w:rPr>
      <w:szCs w:val="24"/>
    </w:rPr>
  </w:style>
  <w:style w:type="paragraph" w:customStyle="1" w:styleId="NormalSingle">
    <w:name w:val="NormalSingle"/>
    <w:basedOn w:val="Normal"/>
    <w:qFormat/>
    <w:rsid w:val="00F11B35"/>
    <w:rPr>
      <w:szCs w:val="24"/>
    </w:rPr>
  </w:style>
  <w:style w:type="character" w:styleId="CommentReference">
    <w:name w:val="annotation reference"/>
    <w:basedOn w:val="DefaultParagraphFont"/>
    <w:rsid w:val="00F11B35"/>
    <w:rPr>
      <w:sz w:val="16"/>
      <w:szCs w:val="16"/>
    </w:rPr>
  </w:style>
  <w:style w:type="paragraph" w:styleId="CommentText">
    <w:name w:val="annotation text"/>
    <w:basedOn w:val="Normal"/>
    <w:link w:val="CommentTextChar"/>
    <w:uiPriority w:val="99"/>
    <w:rsid w:val="00F11B35"/>
    <w:rPr>
      <w:sz w:val="20"/>
    </w:rPr>
  </w:style>
  <w:style w:type="character" w:customStyle="1" w:styleId="CommentTextChar">
    <w:name w:val="Comment Text Char"/>
    <w:basedOn w:val="DefaultParagraphFont"/>
    <w:link w:val="CommentText"/>
    <w:uiPriority w:val="99"/>
    <w:rsid w:val="00F11B35"/>
    <w:rPr>
      <w:lang w:val="sv-SE"/>
    </w:rPr>
  </w:style>
  <w:style w:type="paragraph" w:styleId="CommentSubject">
    <w:name w:val="annotation subject"/>
    <w:basedOn w:val="CommentText"/>
    <w:next w:val="CommentText"/>
    <w:link w:val="CommentSubjectChar"/>
    <w:uiPriority w:val="99"/>
    <w:unhideWhenUsed/>
    <w:rsid w:val="00F11B35"/>
    <w:rPr>
      <w:b/>
      <w:bCs/>
    </w:rPr>
  </w:style>
  <w:style w:type="character" w:customStyle="1" w:styleId="CommentSubjectChar">
    <w:name w:val="Comment Subject Char"/>
    <w:basedOn w:val="CommentTextChar"/>
    <w:link w:val="CommentSubject"/>
    <w:uiPriority w:val="99"/>
    <w:rsid w:val="00F11B35"/>
    <w:rPr>
      <w:b/>
      <w:bCs/>
      <w:lang w:val="sv-SE"/>
    </w:rPr>
  </w:style>
  <w:style w:type="paragraph" w:styleId="Title">
    <w:name w:val="Title"/>
    <w:basedOn w:val="Normal"/>
    <w:next w:val="Normal"/>
    <w:link w:val="TitleChar"/>
    <w:uiPriority w:val="10"/>
    <w:qFormat/>
    <w:rsid w:val="00F11B3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11B35"/>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F11B3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11B35"/>
    <w:rPr>
      <w:rFonts w:ascii="Arial" w:eastAsiaTheme="majorEastAsia" w:hAnsi="Arial" w:cs="Arial"/>
      <w:sz w:val="24"/>
      <w:szCs w:val="24"/>
      <w:lang w:val="sv-SE" w:eastAsia="en-US"/>
    </w:rPr>
  </w:style>
  <w:style w:type="character" w:styleId="Strong">
    <w:name w:val="Strong"/>
    <w:basedOn w:val="DefaultParagraphFont"/>
    <w:uiPriority w:val="22"/>
    <w:qFormat/>
    <w:rsid w:val="00F11B35"/>
    <w:rPr>
      <w:b/>
      <w:bCs/>
    </w:rPr>
  </w:style>
  <w:style w:type="character" w:styleId="Emphasis">
    <w:name w:val="Emphasis"/>
    <w:basedOn w:val="DefaultParagraphFont"/>
    <w:uiPriority w:val="20"/>
    <w:qFormat/>
    <w:rsid w:val="00F11B35"/>
    <w:rPr>
      <w:rFonts w:asciiTheme="minorHAnsi" w:hAnsiTheme="minorHAnsi"/>
      <w:b/>
      <w:i/>
      <w:iCs/>
    </w:rPr>
  </w:style>
  <w:style w:type="paragraph" w:styleId="NoSpacing">
    <w:name w:val="No Spacing"/>
    <w:basedOn w:val="Normal"/>
    <w:uiPriority w:val="1"/>
    <w:qFormat/>
    <w:rsid w:val="00F11B35"/>
    <w:pPr>
      <w:widowControl/>
      <w:jc w:val="both"/>
    </w:pPr>
    <w:rPr>
      <w:rFonts w:eastAsiaTheme="minorHAnsi"/>
      <w:szCs w:val="32"/>
      <w:lang w:eastAsia="en-US"/>
    </w:rPr>
  </w:style>
  <w:style w:type="paragraph" w:styleId="Quote">
    <w:name w:val="Quote"/>
    <w:basedOn w:val="Normal"/>
    <w:next w:val="Normal"/>
    <w:link w:val="QuoteChar"/>
    <w:uiPriority w:val="29"/>
    <w:qFormat/>
    <w:rsid w:val="00F11B35"/>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11B35"/>
    <w:rPr>
      <w:rFonts w:eastAsiaTheme="minorHAnsi"/>
      <w:i/>
      <w:sz w:val="24"/>
      <w:szCs w:val="24"/>
      <w:lang w:val="sv-SE" w:eastAsia="en-US"/>
    </w:rPr>
  </w:style>
  <w:style w:type="paragraph" w:styleId="IntenseQuote">
    <w:name w:val="Intense Quote"/>
    <w:basedOn w:val="Normal"/>
    <w:next w:val="Normal"/>
    <w:link w:val="IntenseQuoteChar"/>
    <w:uiPriority w:val="30"/>
    <w:qFormat/>
    <w:rsid w:val="00F11B35"/>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11B35"/>
    <w:rPr>
      <w:rFonts w:eastAsiaTheme="minorHAnsi"/>
      <w:b/>
      <w:i/>
      <w:sz w:val="24"/>
      <w:szCs w:val="22"/>
      <w:lang w:val="sv-SE" w:eastAsia="en-US"/>
    </w:rPr>
  </w:style>
  <w:style w:type="character" w:styleId="SubtleEmphasis">
    <w:name w:val="Subtle Emphasis"/>
    <w:uiPriority w:val="19"/>
    <w:qFormat/>
    <w:rsid w:val="00F11B35"/>
    <w:rPr>
      <w:i/>
      <w:color w:val="5A5A5A" w:themeColor="text1" w:themeTint="A5"/>
    </w:rPr>
  </w:style>
  <w:style w:type="character" w:styleId="IntenseEmphasis">
    <w:name w:val="Intense Emphasis"/>
    <w:basedOn w:val="DefaultParagraphFont"/>
    <w:uiPriority w:val="21"/>
    <w:qFormat/>
    <w:rsid w:val="00F11B35"/>
    <w:rPr>
      <w:b/>
      <w:i/>
      <w:sz w:val="24"/>
      <w:szCs w:val="24"/>
      <w:u w:val="single"/>
    </w:rPr>
  </w:style>
  <w:style w:type="character" w:styleId="SubtleReference">
    <w:name w:val="Subtle Reference"/>
    <w:basedOn w:val="DefaultParagraphFont"/>
    <w:uiPriority w:val="31"/>
    <w:qFormat/>
    <w:rsid w:val="00F11B35"/>
    <w:rPr>
      <w:sz w:val="24"/>
      <w:szCs w:val="24"/>
      <w:u w:val="single"/>
    </w:rPr>
  </w:style>
  <w:style w:type="character" w:styleId="IntenseReference">
    <w:name w:val="Intense Reference"/>
    <w:basedOn w:val="DefaultParagraphFont"/>
    <w:uiPriority w:val="32"/>
    <w:qFormat/>
    <w:rsid w:val="00F11B35"/>
    <w:rPr>
      <w:b/>
      <w:sz w:val="24"/>
      <w:u w:val="single"/>
    </w:rPr>
  </w:style>
  <w:style w:type="character" w:styleId="BookTitle">
    <w:name w:val="Book Title"/>
    <w:basedOn w:val="DefaultParagraphFont"/>
    <w:uiPriority w:val="33"/>
    <w:qFormat/>
    <w:rsid w:val="00F11B35"/>
    <w:rPr>
      <w:rFonts w:asciiTheme="majorHAnsi" w:eastAsiaTheme="majorEastAsia" w:hAnsiTheme="majorHAnsi"/>
      <w:b/>
      <w:i/>
      <w:sz w:val="24"/>
      <w:szCs w:val="24"/>
    </w:rPr>
  </w:style>
  <w:style w:type="paragraph" w:customStyle="1" w:styleId="TableTitle">
    <w:name w:val="Table Title"/>
    <w:basedOn w:val="Normal"/>
    <w:uiPriority w:val="99"/>
    <w:rsid w:val="00F11B35"/>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F11B35"/>
    <w:pPr>
      <w:keepNext/>
      <w:widowControl/>
    </w:pPr>
    <w:rPr>
      <w:rFonts w:eastAsiaTheme="minorEastAsia"/>
      <w:sz w:val="18"/>
      <w:szCs w:val="18"/>
    </w:rPr>
  </w:style>
  <w:style w:type="paragraph" w:customStyle="1" w:styleId="NormalRight">
    <w:name w:val="Normal Right"/>
    <w:basedOn w:val="Normal"/>
    <w:next w:val="Normal"/>
    <w:uiPriority w:val="99"/>
    <w:rsid w:val="00F11B35"/>
    <w:pPr>
      <w:widowControl/>
      <w:spacing w:before="120" w:after="120"/>
      <w:jc w:val="right"/>
    </w:pPr>
    <w:rPr>
      <w:rFonts w:eastAsiaTheme="minorEastAsia"/>
      <w:szCs w:val="24"/>
    </w:rPr>
  </w:style>
  <w:style w:type="paragraph" w:customStyle="1" w:styleId="ReusedInfo">
    <w:name w:val="ReusedInfo"/>
    <w:next w:val="Normal"/>
    <w:uiPriority w:val="99"/>
    <w:rsid w:val="00F11B35"/>
    <w:pPr>
      <w:shd w:val="clear" w:color="auto" w:fill="C0C0C0"/>
      <w:spacing w:before="60" w:after="60"/>
    </w:pPr>
    <w:rPr>
      <w:rFonts w:eastAsiaTheme="minorEastAsia"/>
      <w:lang w:val="sv-SE"/>
    </w:rPr>
  </w:style>
  <w:style w:type="paragraph" w:customStyle="1" w:styleId="Section">
    <w:name w:val="Section"/>
    <w:basedOn w:val="Normal"/>
    <w:next w:val="Normal"/>
    <w:uiPriority w:val="99"/>
    <w:rsid w:val="00F11B35"/>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F11B35"/>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F11B35"/>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F11B35"/>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F11B35"/>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F11B35"/>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F11B35"/>
    <w:pPr>
      <w:keepNext/>
      <w:widowControl/>
      <w:spacing w:before="480" w:after="120"/>
    </w:pPr>
    <w:rPr>
      <w:rFonts w:eastAsiaTheme="minorEastAsia"/>
      <w:b/>
      <w:bCs/>
      <w:i/>
      <w:iCs/>
      <w:szCs w:val="24"/>
    </w:rPr>
  </w:style>
  <w:style w:type="paragraph" w:customStyle="1" w:styleId="Item">
    <w:name w:val="Item"/>
    <w:basedOn w:val="Normal"/>
    <w:next w:val="Normal"/>
    <w:uiPriority w:val="99"/>
    <w:rsid w:val="00F11B35"/>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F11B35"/>
    <w:pPr>
      <w:keepNext/>
      <w:widowControl/>
      <w:spacing w:before="480" w:after="120"/>
    </w:pPr>
    <w:rPr>
      <w:rFonts w:eastAsiaTheme="minorEastAsia"/>
      <w:sz w:val="20"/>
    </w:rPr>
  </w:style>
  <w:style w:type="paragraph" w:customStyle="1" w:styleId="Annex">
    <w:name w:val="Annex"/>
    <w:basedOn w:val="Normal"/>
    <w:next w:val="Normal"/>
    <w:uiPriority w:val="99"/>
    <w:rsid w:val="00F11B35"/>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F11B35"/>
    <w:pPr>
      <w:widowControl/>
      <w:spacing w:before="120" w:after="120"/>
    </w:pPr>
    <w:rPr>
      <w:rFonts w:eastAsiaTheme="minorEastAsia"/>
      <w:i/>
      <w:iCs/>
      <w:sz w:val="20"/>
    </w:rPr>
  </w:style>
  <w:style w:type="paragraph" w:customStyle="1" w:styleId="Objective">
    <w:name w:val="Objective"/>
    <w:basedOn w:val="Normal"/>
    <w:next w:val="Normal"/>
    <w:uiPriority w:val="99"/>
    <w:rsid w:val="00F11B35"/>
    <w:pPr>
      <w:keepNext/>
      <w:widowControl/>
      <w:spacing w:before="120" w:after="120"/>
    </w:pPr>
    <w:rPr>
      <w:rFonts w:eastAsiaTheme="minorEastAsia"/>
      <w:i/>
      <w:iCs/>
      <w:sz w:val="20"/>
    </w:rPr>
  </w:style>
  <w:style w:type="paragraph" w:customStyle="1" w:styleId="Figures">
    <w:name w:val="Figures"/>
    <w:basedOn w:val="Normal"/>
    <w:next w:val="Normal"/>
    <w:uiPriority w:val="99"/>
    <w:rsid w:val="00F11B35"/>
    <w:pPr>
      <w:keepNext/>
      <w:widowControl/>
      <w:spacing w:before="120" w:after="120"/>
    </w:pPr>
    <w:rPr>
      <w:rFonts w:eastAsiaTheme="minorEastAsia"/>
      <w:i/>
      <w:iCs/>
      <w:sz w:val="20"/>
    </w:rPr>
  </w:style>
  <w:style w:type="paragraph" w:customStyle="1" w:styleId="Remarks">
    <w:name w:val="Remarks"/>
    <w:basedOn w:val="Normal"/>
    <w:next w:val="Normal"/>
    <w:uiPriority w:val="99"/>
    <w:rsid w:val="00F11B35"/>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F11B35"/>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F11B35"/>
    <w:pPr>
      <w:keepNext/>
      <w:widowControl/>
      <w:spacing w:before="120" w:after="120"/>
    </w:pPr>
    <w:rPr>
      <w:rFonts w:eastAsiaTheme="minorEastAsia"/>
      <w:i/>
      <w:iCs/>
      <w:sz w:val="20"/>
    </w:rPr>
  </w:style>
  <w:style w:type="paragraph" w:customStyle="1" w:styleId="Reference">
    <w:name w:val="Reference"/>
    <w:basedOn w:val="Normal"/>
    <w:next w:val="Normal"/>
    <w:uiPriority w:val="99"/>
    <w:rsid w:val="00F11B35"/>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F11B35"/>
  </w:style>
  <w:style w:type="character" w:customStyle="1" w:styleId="tw4winInternal">
    <w:name w:val="tw4winInternal"/>
    <w:basedOn w:val="DefaultParagraphFont"/>
    <w:uiPriority w:val="99"/>
    <w:rsid w:val="00F11B35"/>
    <w:rPr>
      <w:sz w:val="16"/>
      <w:szCs w:val="16"/>
      <w:u w:val="dash"/>
      <w:shd w:val="clear" w:color="auto" w:fill="FFFF00"/>
    </w:rPr>
  </w:style>
  <w:style w:type="character" w:customStyle="1" w:styleId="ReusedInlineInfo">
    <w:name w:val="ReusedInlineInfo"/>
    <w:basedOn w:val="DefaultParagraphFont"/>
    <w:uiPriority w:val="99"/>
    <w:rsid w:val="00F11B35"/>
    <w:rPr>
      <w:sz w:val="16"/>
      <w:szCs w:val="16"/>
      <w:u w:val="dash"/>
      <w:shd w:val="clear" w:color="auto" w:fill="FFFF00"/>
    </w:rPr>
  </w:style>
  <w:style w:type="character" w:customStyle="1" w:styleId="Error">
    <w:name w:val="Error"/>
    <w:basedOn w:val="DefaultParagraphFont"/>
    <w:uiPriority w:val="99"/>
    <w:rsid w:val="00F11B35"/>
    <w:rPr>
      <w:shd w:val="clear" w:color="auto" w:fill="FF0000"/>
    </w:rPr>
  </w:style>
  <w:style w:type="paragraph" w:styleId="Revision">
    <w:name w:val="Revision"/>
    <w:hidden/>
    <w:uiPriority w:val="99"/>
    <w:semiHidden/>
    <w:rsid w:val="00F11B35"/>
    <w:rPr>
      <w:rFonts w:eastAsiaTheme="minorHAnsi"/>
      <w:sz w:val="24"/>
      <w:szCs w:val="24"/>
      <w:lang w:val="sv-SE" w:eastAsia="en-US"/>
    </w:rPr>
  </w:style>
  <w:style w:type="numbering" w:customStyle="1" w:styleId="NoList1">
    <w:name w:val="No List1"/>
    <w:next w:val="NoList"/>
    <w:uiPriority w:val="99"/>
    <w:semiHidden/>
    <w:unhideWhenUsed/>
    <w:rsid w:val="00F11B35"/>
  </w:style>
  <w:style w:type="numbering" w:customStyle="1" w:styleId="NoList2">
    <w:name w:val="No List2"/>
    <w:next w:val="NoList"/>
    <w:uiPriority w:val="99"/>
    <w:semiHidden/>
    <w:unhideWhenUsed/>
    <w:rsid w:val="00F11B35"/>
  </w:style>
  <w:style w:type="paragraph" w:customStyle="1" w:styleId="Default">
    <w:name w:val="Default"/>
    <w:rsid w:val="00F11B35"/>
    <w:pPr>
      <w:autoSpaceDE w:val="0"/>
      <w:autoSpaceDN w:val="0"/>
      <w:adjustRightInd w:val="0"/>
    </w:pPr>
    <w:rPr>
      <w:rFonts w:eastAsiaTheme="minorHAnsi"/>
      <w:color w:val="000000"/>
      <w:sz w:val="24"/>
      <w:szCs w:val="24"/>
      <w:lang w:val="sv-SE" w:eastAsia="en-US"/>
    </w:rPr>
  </w:style>
  <w:style w:type="character" w:customStyle="1" w:styleId="ListParagraphChar">
    <w:name w:val="List Paragraph Char"/>
    <w:aliases w:val="1st level - Bullet List Paragraph Char,L Char,Lettre d'introduction Char,List Paragraph1 Char,List1 Char,List11 Char,List111 Char,List1111 Char,List11111 Char,List111111 Char,List1111111 Char,List11111111 Char,Nad Char"/>
    <w:basedOn w:val="DefaultParagraphFont"/>
    <w:link w:val="ListParagraph"/>
    <w:uiPriority w:val="34"/>
    <w:qFormat/>
    <w:locked/>
    <w:rsid w:val="00F11B35"/>
    <w:rPr>
      <w:sz w:val="24"/>
      <w:lang w:val="sv-SE"/>
    </w:rPr>
  </w:style>
  <w:style w:type="paragraph" w:customStyle="1" w:styleId="RollCallVotes">
    <w:name w:val="RollCallVotes"/>
    <w:basedOn w:val="Normal"/>
    <w:rsid w:val="00F11B35"/>
    <w:pPr>
      <w:spacing w:before="120" w:after="120"/>
      <w:jc w:val="center"/>
    </w:pPr>
    <w:rPr>
      <w:b/>
      <w:bCs/>
      <w:snapToGrid w:val="0"/>
      <w:sz w:val="16"/>
      <w:lang w:eastAsia="en-US"/>
    </w:rPr>
  </w:style>
  <w:style w:type="paragraph" w:customStyle="1" w:styleId="RollCallTabs">
    <w:name w:val="RollCallTabs"/>
    <w:basedOn w:val="Normal"/>
    <w:qFormat/>
    <w:rsid w:val="00F11B35"/>
    <w:pPr>
      <w:tabs>
        <w:tab w:val="center" w:pos="284"/>
        <w:tab w:val="left" w:pos="426"/>
      </w:tabs>
    </w:pPr>
    <w:rPr>
      <w:snapToGrid w:val="0"/>
      <w:lang w:eastAsia="en-US"/>
    </w:rPr>
  </w:style>
  <w:style w:type="paragraph" w:customStyle="1" w:styleId="RollCallSymbols14pt">
    <w:name w:val="RollCallSymbols14pt"/>
    <w:basedOn w:val="Normal"/>
    <w:rsid w:val="00F11B35"/>
    <w:pPr>
      <w:spacing w:before="120" w:after="120"/>
      <w:jc w:val="center"/>
    </w:pPr>
    <w:rPr>
      <w:rFonts w:ascii="Arial" w:hAnsi="Arial"/>
      <w:b/>
      <w:bCs/>
      <w:snapToGrid w:val="0"/>
      <w:sz w:val="28"/>
      <w:lang w:eastAsia="en-US"/>
    </w:rPr>
  </w:style>
  <w:style w:type="paragraph" w:customStyle="1" w:styleId="RollCallTable">
    <w:name w:val="RollCallTable"/>
    <w:basedOn w:val="Normal"/>
    <w:rsid w:val="00F11B35"/>
    <w:pPr>
      <w:spacing w:before="120" w:after="120"/>
    </w:pPr>
    <w:rPr>
      <w:snapToGrid w:val="0"/>
      <w:sz w:val="16"/>
      <w:lang w:eastAsia="en-US"/>
    </w:rPr>
  </w:style>
  <w:style w:type="character" w:styleId="FollowedHyperlink">
    <w:name w:val="FollowedHyperlink"/>
    <w:basedOn w:val="DefaultParagraphFont"/>
    <w:rsid w:val="00A174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5/31/oj" TargetMode="External"/><Relationship Id="rId3" Type="http://schemas.openxmlformats.org/officeDocument/2006/relationships/hyperlink" Target="http://data.europa.eu/eli/reg/2024/765/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B14A2-2418-4331-A82F-4796C63F2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3815</Words>
  <Characters>24727</Characters>
  <Application>Microsoft Office Word</Application>
  <DocSecurity>0</DocSecurity>
  <Lines>206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SLOSSE Filiep</cp:lastModifiedBy>
  <cp:revision>2</cp:revision>
  <cp:lastPrinted>2004-11-19T15:42:00Z</cp:lastPrinted>
  <dcterms:created xsi:type="dcterms:W3CDTF">2025-04-03T13:11:00Z</dcterms:created>
  <dcterms:modified xsi:type="dcterms:W3CDTF">2025-04-03T13:11:00Z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P10_TA-PROV(2025)0060_A10-0048_2025_SV_r</vt:lpwstr>
  </property>
  <property fmtid="{D5CDD505-2E9C-101B-9397-08002B2CF9AE}" pid="4" name="&lt;Type&gt;">
    <vt:lpwstr>RR</vt:lpwstr>
  </property>
</Properties>
</file>