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C20B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C20B9" w:rsidRDefault="005B4BC6" w:rsidP="0010095E">
            <w:pPr>
              <w:pStyle w:val="EPName"/>
            </w:pPr>
            <w:bookmarkStart w:id="0" w:name="_GoBack"/>
            <w:bookmarkEnd w:id="0"/>
            <w:r w:rsidRPr="001C20B9">
              <w:t>Parlament Europejski</w:t>
            </w:r>
          </w:p>
          <w:p w:rsidR="00751A4A" w:rsidRPr="001C20B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C20B9">
              <w:t>2024</w:t>
            </w:r>
            <w:r w:rsidR="00817416" w:rsidRPr="001C20B9">
              <w:t>-202</w:t>
            </w:r>
            <w:r w:rsidRPr="001C20B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C20B9" w:rsidRDefault="00187494" w:rsidP="0010095E">
            <w:pPr>
              <w:pStyle w:val="EPLogo"/>
            </w:pPr>
            <w:r w:rsidRPr="001C20B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C20B9" w:rsidRDefault="00D058B8" w:rsidP="004C5D52">
      <w:pPr>
        <w:pStyle w:val="LineTop"/>
      </w:pPr>
    </w:p>
    <w:p w:rsidR="00680577" w:rsidRPr="001C20B9" w:rsidRDefault="005B4BC6" w:rsidP="00680577">
      <w:pPr>
        <w:pStyle w:val="EPBodyTA1"/>
      </w:pPr>
      <w:r w:rsidRPr="001C20B9">
        <w:t>TEKSTY PRZYJĘTE</w:t>
      </w:r>
    </w:p>
    <w:p w:rsidR="00D058B8" w:rsidRPr="001C20B9" w:rsidRDefault="00D058B8" w:rsidP="00D058B8">
      <w:pPr>
        <w:pStyle w:val="LineBottom"/>
      </w:pPr>
    </w:p>
    <w:p w:rsidR="005B4BC6" w:rsidRPr="001C20B9" w:rsidRDefault="005B4BC6" w:rsidP="005B4BC6">
      <w:pPr>
        <w:pStyle w:val="ATHeading1"/>
      </w:pPr>
      <w:bookmarkStart w:id="1" w:name="TANumber"/>
      <w:r w:rsidRPr="001C20B9">
        <w:t>P10_TA(2025)00</w:t>
      </w:r>
      <w:bookmarkEnd w:id="1"/>
      <w:r w:rsidR="004D7306">
        <w:t>63</w:t>
      </w:r>
    </w:p>
    <w:p w:rsidR="005B4BC6" w:rsidRPr="001C20B9" w:rsidRDefault="005B4BC6" w:rsidP="005B4BC6">
      <w:pPr>
        <w:pStyle w:val="ATHeading2"/>
      </w:pPr>
      <w:bookmarkStart w:id="2" w:name="title"/>
      <w:r w:rsidRPr="001C20B9">
        <w:t>Bezpośrednie ryzyko dalszych represji stosowanych przez reżim Łukaszenki na Białorusi: zagrożenia</w:t>
      </w:r>
      <w:r w:rsidR="001A2EA4">
        <w:t xml:space="preserve"> </w:t>
      </w:r>
      <w:r w:rsidRPr="001C20B9">
        <w:t>ze strony komisji śledczej</w:t>
      </w:r>
      <w:bookmarkEnd w:id="2"/>
    </w:p>
    <w:p w:rsidR="005B4BC6" w:rsidRPr="001C20B9" w:rsidRDefault="005B4BC6" w:rsidP="005B4BC6">
      <w:pPr>
        <w:rPr>
          <w:i/>
          <w:vanish/>
        </w:rPr>
      </w:pPr>
      <w:r w:rsidRPr="001C20B9">
        <w:rPr>
          <w:i/>
        </w:rPr>
        <w:fldChar w:fldCharType="begin"/>
      </w:r>
      <w:r w:rsidRPr="001C20B9">
        <w:rPr>
          <w:i/>
        </w:rPr>
        <w:instrText xml:space="preserve"> TC"(</w:instrText>
      </w:r>
      <w:bookmarkStart w:id="3" w:name="DocNumber"/>
      <w:r w:rsidR="001A2EA4" w:rsidRPr="002C6F8C">
        <w:rPr>
          <w:i/>
        </w:rPr>
        <w:instrText>B10-0219</w:instrText>
      </w:r>
      <w:r w:rsidR="001A2EA4">
        <w:rPr>
          <w:i/>
        </w:rPr>
        <w:instrText>, 0221, 0223, 0227, 0229</w:instrText>
      </w:r>
      <w:r w:rsidR="001A2EA4" w:rsidRPr="002C6F8C">
        <w:rPr>
          <w:i/>
        </w:rPr>
        <w:instrText>/2025</w:instrText>
      </w:r>
      <w:bookmarkEnd w:id="3"/>
      <w:r w:rsidRPr="001C20B9">
        <w:rPr>
          <w:i/>
        </w:rPr>
        <w:instrText xml:space="preserve">)"\l3 \n&gt; \* MERGEFORMAT </w:instrText>
      </w:r>
      <w:r w:rsidRPr="001C20B9">
        <w:rPr>
          <w:i/>
        </w:rPr>
        <w:fldChar w:fldCharType="end"/>
      </w:r>
    </w:p>
    <w:p w:rsidR="005B4BC6" w:rsidRPr="001C20B9" w:rsidRDefault="005B4BC6" w:rsidP="005B4BC6">
      <w:pPr>
        <w:rPr>
          <w:vanish/>
        </w:rPr>
      </w:pPr>
      <w:bookmarkStart w:id="4" w:name="PE"/>
      <w:r w:rsidRPr="001C20B9">
        <w:rPr>
          <w:vanish/>
        </w:rPr>
        <w:t>PE772.501</w:t>
      </w:r>
      <w:bookmarkEnd w:id="4"/>
    </w:p>
    <w:p w:rsidR="005B4BC6" w:rsidRPr="001C20B9" w:rsidRDefault="005B4BC6" w:rsidP="005B4BC6">
      <w:pPr>
        <w:pStyle w:val="ATHeading3"/>
      </w:pPr>
      <w:bookmarkStart w:id="5" w:name="Sujet"/>
      <w:r w:rsidRPr="001C20B9">
        <w:t xml:space="preserve">Rezolucja Parlamentu Europejskiego z dnia </w:t>
      </w:r>
      <w:r w:rsidR="001A2EA4">
        <w:t>3 kwietnia</w:t>
      </w:r>
      <w:r w:rsidRPr="001C20B9">
        <w:t xml:space="preserve"> 2025 r. w sprawie bezpośredniego ryzyka dalszych represji stosowanych przez reżim Łukaszenki na Białorusi: zagrożenia ze strony komisji śledczej</w:t>
      </w:r>
      <w:bookmarkEnd w:id="5"/>
      <w:r w:rsidRPr="001C20B9">
        <w:t xml:space="preserve"> </w:t>
      </w:r>
      <w:bookmarkStart w:id="6" w:name="References"/>
      <w:r w:rsidRPr="001C20B9">
        <w:t>(2025/2629(RSP))</w:t>
      </w:r>
      <w:bookmarkEnd w:id="6"/>
    </w:p>
    <w:p w:rsidR="00716DC1" w:rsidRPr="001C20B9" w:rsidRDefault="00716DC1" w:rsidP="00716DC1">
      <w:pPr>
        <w:pStyle w:val="EPComma"/>
      </w:pPr>
      <w:bookmarkStart w:id="7" w:name="TextBodyBegin"/>
      <w:bookmarkEnd w:id="7"/>
      <w:r w:rsidRPr="001C20B9">
        <w:rPr>
          <w:i/>
        </w:rPr>
        <w:t>Parlament Europejski</w:t>
      </w:r>
      <w:r w:rsidRPr="001C20B9">
        <w:t>,</w:t>
      </w:r>
    </w:p>
    <w:p w:rsidR="00716DC1" w:rsidRPr="001C20B9" w:rsidRDefault="00716DC1" w:rsidP="00716DC1">
      <w:pPr>
        <w:pStyle w:val="NormalHanging12a"/>
      </w:pPr>
      <w:r w:rsidRPr="001C20B9">
        <w:t>–</w:t>
      </w:r>
      <w:r w:rsidRPr="001C20B9">
        <w:tab/>
        <w:t>uwzględniając swoje wcześniejsze rezolucje w sprawie Białorusi,</w:t>
      </w:r>
    </w:p>
    <w:p w:rsidR="00716DC1" w:rsidRPr="001C20B9" w:rsidRDefault="00716DC1" w:rsidP="00716DC1">
      <w:pPr>
        <w:pStyle w:val="NormalHanging12a"/>
      </w:pPr>
      <w:r w:rsidRPr="001C20B9">
        <w:t>–</w:t>
      </w:r>
      <w:r w:rsidRPr="001C20B9">
        <w:tab/>
        <w:t>uwzględniając art. 150 ust. 5 i art. 136 ust. 4 Regulaminu,</w:t>
      </w:r>
    </w:p>
    <w:p w:rsidR="00716DC1" w:rsidRPr="001C20B9" w:rsidRDefault="00716DC1" w:rsidP="00716DC1">
      <w:pPr>
        <w:pStyle w:val="NormalHanging12a"/>
        <w:rPr>
          <w:rFonts w:eastAsia="Calibri"/>
        </w:rPr>
      </w:pPr>
      <w:r w:rsidRPr="001C20B9">
        <w:t>A.</w:t>
      </w:r>
      <w:r w:rsidRPr="001C20B9">
        <w:tab/>
        <w:t>mając na uwadze, że reżim Łukaszenki zaostrza krajowe i ponadnarodowe represje, aby rozbić struktury reprezentujące białoruskie siły demokratyczne;</w:t>
      </w:r>
    </w:p>
    <w:p w:rsidR="00716DC1" w:rsidRPr="001C20B9" w:rsidRDefault="00716DC1" w:rsidP="00716DC1">
      <w:pPr>
        <w:pStyle w:val="NormalHanging12a"/>
        <w:rPr>
          <w:rFonts w:eastAsia="Calibri"/>
        </w:rPr>
      </w:pPr>
      <w:r w:rsidRPr="001C20B9">
        <w:t>B.</w:t>
      </w:r>
      <w:r w:rsidRPr="001C20B9">
        <w:tab/>
        <w:t>mając na uwadze, że eksperci ONZ potwierdzili niedawno arbitralne aresztowania i zatrzymania oraz tortury lub złe traktowanie zatrzymanych, a nawet przedstawili dowody na popełnienie zbrodni przeciwko ludzkości; mając na uwadze, że przetrzymywanych jest nadal ponad 1200 więźniów politycznych, w tym Wiktoryja Kulsza, Wolha Majorawa, Alena Hnauk i Andrzej Poczobut;</w:t>
      </w:r>
    </w:p>
    <w:p w:rsidR="00716DC1" w:rsidRPr="001C20B9" w:rsidRDefault="00716DC1" w:rsidP="00716DC1">
      <w:pPr>
        <w:pStyle w:val="NormalHanging12a"/>
        <w:rPr>
          <w:rFonts w:eastAsia="Calibri"/>
        </w:rPr>
      </w:pPr>
      <w:r w:rsidRPr="001C20B9">
        <w:t>C.</w:t>
      </w:r>
      <w:r w:rsidRPr="001C20B9">
        <w:tab/>
        <w:t>mając na uwadze, że białoruska komisja śledcza wszczęła „specjalne postępowania” przeciwko setkom Białorusinów, którzy przyłączyli się do wieców w różnych miastach europejskich lub startowali w wyborach do Rady Koordynacyjnej; mając na uwadze, że rodzinom białoruskiej diaspory grożono uwięzieniem i konfiskatą mienia w razie udziału w protestach w Dniu Wolności;</w:t>
      </w:r>
    </w:p>
    <w:p w:rsidR="00716DC1" w:rsidRPr="001C20B9" w:rsidRDefault="00716DC1" w:rsidP="00716DC1">
      <w:pPr>
        <w:pStyle w:val="NormalHanging12a"/>
        <w:rPr>
          <w:rFonts w:eastAsia="Calibri"/>
        </w:rPr>
      </w:pPr>
      <w:r w:rsidRPr="001C20B9">
        <w:t>D.</w:t>
      </w:r>
      <w:r w:rsidRPr="001C20B9">
        <w:tab/>
        <w:t>mając na uwadze, że reżim Łukaszenki wykorzystuje wygaśnięcie ważności paszportów wielu Białorusinów, by zmusić diasporę do powrotu;</w:t>
      </w:r>
    </w:p>
    <w:p w:rsidR="00716DC1" w:rsidRPr="001C20B9" w:rsidRDefault="00716DC1" w:rsidP="00716DC1">
      <w:pPr>
        <w:pStyle w:val="NormalHanging12a"/>
        <w:rPr>
          <w:rFonts w:eastAsia="Calibri"/>
        </w:rPr>
      </w:pPr>
      <w:r w:rsidRPr="001C20B9">
        <w:t>E.</w:t>
      </w:r>
      <w:r w:rsidRPr="001C20B9">
        <w:tab/>
        <w:t>mając na uwadze, że zacieśnienie współpracy białoruskiego reżimu z rosyjskimi służbami bezpieczeństwa zwiększa ryzyko skoordynowanych represji, inwigilacji i zagrożeń hybrydowych na terytorium UE;</w:t>
      </w:r>
    </w:p>
    <w:p w:rsidR="00716DC1" w:rsidRPr="001C20B9" w:rsidRDefault="00716DC1" w:rsidP="00716DC1">
      <w:pPr>
        <w:pStyle w:val="NormalHanging12a"/>
        <w:rPr>
          <w:rFonts w:eastAsia="Calibri"/>
        </w:rPr>
      </w:pPr>
      <w:r w:rsidRPr="001C20B9">
        <w:t>F.</w:t>
      </w:r>
      <w:r w:rsidRPr="001C20B9">
        <w:tab/>
        <w:t>mając na uwadze, że w białoruskim krajobrazie informacyjnym dominują media państwowe;;</w:t>
      </w:r>
    </w:p>
    <w:p w:rsidR="00716DC1" w:rsidRPr="001C20B9" w:rsidRDefault="00716DC1" w:rsidP="00716DC1">
      <w:pPr>
        <w:pStyle w:val="NormalHanging12a"/>
        <w:rPr>
          <w:rFonts w:eastAsia="Calibri"/>
        </w:rPr>
      </w:pPr>
      <w:r w:rsidRPr="001C20B9">
        <w:lastRenderedPageBreak/>
        <w:t>1.</w:t>
      </w:r>
      <w:r w:rsidRPr="001C20B9">
        <w:tab/>
        <w:t>wzywa reżim Łukaszenki do natychmiastowego zaprzestania represji, w tym inwigilacji Białorusinów na wygnaniu i demonstrantów, oraz do uwolnienia i rehabilitacji wszystkich więźniów politycznych;</w:t>
      </w:r>
    </w:p>
    <w:p w:rsidR="00716DC1" w:rsidRPr="001C20B9" w:rsidRDefault="00716DC1" w:rsidP="00716DC1">
      <w:pPr>
        <w:pStyle w:val="NormalHanging12a"/>
      </w:pPr>
      <w:r w:rsidRPr="001C20B9">
        <w:t>2.</w:t>
      </w:r>
      <w:r w:rsidRPr="001C20B9">
        <w:tab/>
        <w:t>zdecydowanie potępia ciągłe zaostrzanie represji ze strony reżimu Łukaszenki, wymierzonych obecnie w Białorusinów za granicą i przybierających postać postępowań karnych, zajmowania mienia i innych środków mających uciszyć głosy sprzeciwu;</w:t>
      </w:r>
    </w:p>
    <w:p w:rsidR="00716DC1" w:rsidRPr="001C20B9" w:rsidRDefault="00716DC1" w:rsidP="00716DC1">
      <w:pPr>
        <w:pStyle w:val="NormalHanging12a"/>
        <w:rPr>
          <w:rFonts w:eastAsia="Calibri"/>
        </w:rPr>
      </w:pPr>
      <w:r w:rsidRPr="001C20B9">
        <w:t>3.</w:t>
      </w:r>
      <w:r w:rsidRPr="001C20B9">
        <w:tab/>
        <w:t>apeluje o ogólnounijne wsparcie prawne i ochronę dla Białorusinów na wygnaniu przez uproszczenie procedur ubiegania się o wizę, zezwolenie na pobyt i tymczasowy dokument tożsamości dla osób, które w wyniku prześladowań eksterytorialnych zostały bezpaństwowcami;</w:t>
      </w:r>
    </w:p>
    <w:p w:rsidR="00716DC1" w:rsidRPr="001C20B9" w:rsidRDefault="00716DC1" w:rsidP="00716DC1">
      <w:pPr>
        <w:pStyle w:val="NormalHanging12a"/>
        <w:rPr>
          <w:rFonts w:eastAsia="Calibri"/>
        </w:rPr>
      </w:pPr>
      <w:r w:rsidRPr="001C20B9">
        <w:t>4.</w:t>
      </w:r>
      <w:r w:rsidRPr="001C20B9">
        <w:tab/>
        <w:t>ponownie podkreśla, że nie uznaje reżimu Łukaszenki i uważa, że prześladowanie obywateli Białorusi za prowadzenie pokojowej działalności demokratycznej za granicą, przybierające postać „postępowań specjalnych” komisji śledczej, to bezpośrednie naruszenie suwerenności terytorialnej państw członkowskich; dlatego wzywa zainteresowane kraje, by nie honorowały nakazów aresztowania wydanych przez Interpol na potrzeby ekstradycji przeciwników politycznych Łukaszenki;</w:t>
      </w:r>
    </w:p>
    <w:p w:rsidR="00716DC1" w:rsidRDefault="00716DC1" w:rsidP="00716DC1">
      <w:pPr>
        <w:pStyle w:val="NormalHanging12a"/>
      </w:pPr>
      <w:r w:rsidRPr="001C20B9">
        <w:t>5.</w:t>
      </w:r>
      <w:r w:rsidRPr="001C20B9">
        <w:tab/>
        <w:t>z zadowoleniem przyjmuje nałożenie sankcji na Prezydencką Dyrekcję ds. Zarządzania Mieniem i Centralną Komisję Wyborczą, które wydały umotywowane politycznie wyroki;</w:t>
      </w:r>
      <w:r w:rsidR="004D7306" w:rsidRPr="004D7306">
        <w:t xml:space="preserve"> apeluje o natychmiastowe sankcje personalne wobec wszystkich członków białoruskiej komisji śledczej i urzędników z innych instytucji państwowych uczestniczących w ponadnarodowych prześladowaniach i zastraszaniu obywateli Białorusi;</w:t>
      </w:r>
    </w:p>
    <w:p w:rsidR="004D7306" w:rsidRPr="001C20B9" w:rsidRDefault="004D7306" w:rsidP="00716DC1">
      <w:pPr>
        <w:pStyle w:val="NormalHanging12a"/>
        <w:rPr>
          <w:rFonts w:eastAsia="Calibri"/>
        </w:rPr>
      </w:pPr>
      <w:r>
        <w:rPr>
          <w:rFonts w:eastAsia="Calibri"/>
        </w:rPr>
        <w:t>6</w:t>
      </w:r>
      <w:r w:rsidRPr="004D7306">
        <w:rPr>
          <w:rFonts w:eastAsia="Calibri"/>
        </w:rPr>
        <w:t>.</w:t>
      </w:r>
      <w:r w:rsidRPr="004D7306">
        <w:rPr>
          <w:rFonts w:eastAsia="Calibri"/>
        </w:rPr>
        <w:tab/>
        <w:t>zdecydowanie opowiada się za szybkim opracowaniem i egzekwowaniem mechanizmu prawnego służącego identyfikacji, zamrożeniu i konfiskacie całego znajdującego się poza Białorusią mienia i własności należących do Łukaszenki i osób z jego bezpośredniego otoczenia, oraz o przeniesienie tych środków do funduszu wsparcia dla ofiar represji;</w:t>
      </w:r>
    </w:p>
    <w:p w:rsidR="00716DC1" w:rsidRPr="001C20B9" w:rsidRDefault="004D7306" w:rsidP="00716DC1">
      <w:pPr>
        <w:pStyle w:val="NormalHanging12a"/>
        <w:rPr>
          <w:rFonts w:eastAsia="Calibri"/>
        </w:rPr>
      </w:pPr>
      <w:r>
        <w:t>7</w:t>
      </w:r>
      <w:r w:rsidR="00716DC1" w:rsidRPr="001C20B9">
        <w:t>.</w:t>
      </w:r>
      <w:r w:rsidR="00716DC1" w:rsidRPr="001C20B9">
        <w:tab/>
        <w:t>wzywa państwa członkowskie, by nałożyły dalsze sankcje – równe sankcjom nałożonym na Rosję – zwłaszcza na urzędników odpowiedzialnych za represje ponadnarodowe;</w:t>
      </w:r>
    </w:p>
    <w:p w:rsidR="00716DC1" w:rsidRPr="001C20B9" w:rsidRDefault="004D7306" w:rsidP="00716DC1">
      <w:pPr>
        <w:pStyle w:val="NormalHanging12a"/>
        <w:rPr>
          <w:rFonts w:eastAsia="Calibri"/>
        </w:rPr>
      </w:pPr>
      <w:r>
        <w:t>8</w:t>
      </w:r>
      <w:r w:rsidR="00716DC1" w:rsidRPr="001C20B9">
        <w:t>.</w:t>
      </w:r>
      <w:r w:rsidR="00716DC1" w:rsidRPr="001C20B9">
        <w:tab/>
        <w:t>wzywa UE i jej państwa członkowskie do zwiększenia wsparcia politycznego, finansowego i technicznego dla niezależnych mediów, obrońców praw człowieka, związków zawodowych i inicjatyw społeczeństwa obywatelskiego działających na terytorium Białorusi i poza jej granicami, w tym do monitorowania procesów sądowych i eksponowania spraw więźniów politycznych;</w:t>
      </w:r>
    </w:p>
    <w:p w:rsidR="00716DC1" w:rsidRPr="001C20B9" w:rsidRDefault="004D7306" w:rsidP="00716DC1">
      <w:pPr>
        <w:pStyle w:val="NormalHanging12a"/>
      </w:pPr>
      <w:r>
        <w:t>9</w:t>
      </w:r>
      <w:r w:rsidR="00716DC1" w:rsidRPr="001C20B9">
        <w:t>.</w:t>
      </w:r>
      <w:r w:rsidR="00716DC1" w:rsidRPr="001C20B9">
        <w:tab/>
        <w:t>wzywa wiceprzewodniczącą / wysoką przedstawicielkę, by wykorzystała Centrum Analiz Wywiadowczych UE (Intcen) i Europejskie Obserwatorium Mediów Cyfrowych do przeciwdziałania białoruskim operacjom wywiadowczym i dezinformacyjnym;</w:t>
      </w:r>
    </w:p>
    <w:p w:rsidR="00716DC1" w:rsidRPr="001C20B9" w:rsidRDefault="004D7306" w:rsidP="00716DC1">
      <w:pPr>
        <w:pStyle w:val="NormalHanging12a"/>
        <w:rPr>
          <w:rFonts w:eastAsia="Calibri"/>
        </w:rPr>
      </w:pPr>
      <w:r>
        <w:t>10</w:t>
      </w:r>
      <w:r w:rsidR="00716DC1" w:rsidRPr="001C20B9">
        <w:t>.</w:t>
      </w:r>
      <w:r w:rsidR="00716DC1" w:rsidRPr="001C20B9">
        <w:tab/>
        <w:t>wzywa Międzynarodowy Trybunał Karny do przyspieszenia postępowań w sprawie popełnionych przez reżim Łukaszenki zbrodni przeciwko ludzkości, a od państw członkowskich domaga się, by dążyły do rozliczenia winnych w postępowaniach krajowych zgodnie z zasadą jurysdykcji uniwersalnej;</w:t>
      </w:r>
    </w:p>
    <w:p w:rsidR="001C20B9" w:rsidRPr="001C20B9" w:rsidRDefault="004D7306" w:rsidP="001C20B9">
      <w:pPr>
        <w:pStyle w:val="NormalHanging12a"/>
      </w:pPr>
      <w:r>
        <w:lastRenderedPageBreak/>
        <w:t>11</w:t>
      </w:r>
      <w:r w:rsidR="00716DC1" w:rsidRPr="001C20B9">
        <w:t>.</w:t>
      </w:r>
      <w:r w:rsidR="00716DC1" w:rsidRPr="001C20B9">
        <w:tab/>
        <w:t>zobowiązuje swoją przewodniczącą do przekazania niniejszej rezolucji wiceprzewodniczącej / wysokiej przedstawicielce, Radzie, przedstawicielom białoruskich sił demokratycznych i białoruskim władzom de facto.</w:t>
      </w:r>
    </w:p>
    <w:p w:rsidR="00E365E1" w:rsidRPr="001C20B9" w:rsidRDefault="00E365E1" w:rsidP="005B4BC6"/>
    <w:sectPr w:rsidR="00E365E1" w:rsidRPr="001C20B9" w:rsidSect="001C20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BC6" w:rsidRPr="001C20B9" w:rsidRDefault="005B4BC6">
      <w:r w:rsidRPr="001C20B9">
        <w:separator/>
      </w:r>
    </w:p>
  </w:endnote>
  <w:endnote w:type="continuationSeparator" w:id="0">
    <w:p w:rsidR="005B4BC6" w:rsidRPr="001C20B9" w:rsidRDefault="005B4BC6">
      <w:r w:rsidRPr="001C20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20B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20B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20B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BC6" w:rsidRPr="001C20B9" w:rsidRDefault="005B4BC6">
      <w:r w:rsidRPr="001C20B9">
        <w:separator/>
      </w:r>
    </w:p>
  </w:footnote>
  <w:footnote w:type="continuationSeparator" w:id="0">
    <w:p w:rsidR="005B4BC6" w:rsidRPr="001C20B9" w:rsidRDefault="005B4BC6">
      <w:r w:rsidRPr="001C20B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20B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20B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20B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9/2025"/>
    <w:docVar w:name="dvlangue" w:val="PL"/>
    <w:docVar w:name="dvnumam" w:val="0"/>
    <w:docVar w:name="dvpe" w:val="772.501"/>
    <w:docVar w:name="dvtitre" w:val="Rezolucja Parlamentu Europejskiego z dnia  2025 r. w sprawie bezpośredniego ryzyka dalszych represji stosowanych przez reżim Łukaszenki na Białorusi: zagrożenia ze strony komisji śledczej(2025/2629(RSP))"/>
  </w:docVars>
  <w:rsids>
    <w:rsidRoot w:val="005B4BC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2EA4"/>
    <w:rsid w:val="001C20B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7306"/>
    <w:rsid w:val="0050519A"/>
    <w:rsid w:val="005072A1"/>
    <w:rsid w:val="00514517"/>
    <w:rsid w:val="00545827"/>
    <w:rsid w:val="00560270"/>
    <w:rsid w:val="005B4BC6"/>
    <w:rsid w:val="005C2568"/>
    <w:rsid w:val="005F1B17"/>
    <w:rsid w:val="006037C0"/>
    <w:rsid w:val="006631B6"/>
    <w:rsid w:val="00680577"/>
    <w:rsid w:val="006F74FA"/>
    <w:rsid w:val="00716DC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2EB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9081EA-EB72-497D-A6C7-271BF0DE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16DC1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16DC1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716DC1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C44E1-DF3E-48E7-BCA4-1C7AF904E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620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2025-04-03T15:27:00Z</dcterms:created>
  <dcterms:modified xsi:type="dcterms:W3CDTF">2025-04-03T15:27:00Z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B10-0219/2025</vt:lpwstr>
  </property>
  <property fmtid="{D5CDD505-2E9C-101B-9397-08002B2CF9AE}" pid="4" name="&lt;Type&gt;">
    <vt:lpwstr>RR</vt:lpwstr>
  </property>
</Properties>
</file>