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F12DD" w14:paraId="47F2486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36241F3" w14:textId="77777777" w:rsidR="00751A4A" w:rsidRPr="006F12DD" w:rsidRDefault="00DC1CBB" w:rsidP="0010095E">
            <w:pPr>
              <w:pStyle w:val="EPName"/>
            </w:pPr>
            <w:bookmarkStart w:id="0" w:name="_GoBack"/>
            <w:bookmarkEnd w:id="0"/>
            <w:r w:rsidRPr="006F12DD">
              <w:t>Parlamento Europeu</w:t>
            </w:r>
          </w:p>
          <w:p w14:paraId="3B88CE9C" w14:textId="77777777" w:rsidR="00751A4A" w:rsidRPr="006F12D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F12DD">
              <w:t>2024</w:t>
            </w:r>
            <w:r w:rsidR="00817416" w:rsidRPr="006F12DD">
              <w:t>-202</w:t>
            </w:r>
            <w:r w:rsidRPr="006F12DD">
              <w:t>9</w:t>
            </w:r>
          </w:p>
        </w:tc>
        <w:tc>
          <w:tcPr>
            <w:tcW w:w="2268" w:type="dxa"/>
            <w:shd w:val="clear" w:color="auto" w:fill="auto"/>
          </w:tcPr>
          <w:p w14:paraId="0A6B0D84" w14:textId="77777777" w:rsidR="00751A4A" w:rsidRPr="006F12DD" w:rsidRDefault="00187494" w:rsidP="0010095E">
            <w:pPr>
              <w:pStyle w:val="EPLogo"/>
            </w:pPr>
            <w:r w:rsidRPr="006F12DD">
              <w:rPr>
                <w:noProof/>
                <w:lang w:val="en-GB"/>
              </w:rPr>
              <w:drawing>
                <wp:inline distT="0" distB="0" distL="0" distR="0" wp14:anchorId="3D6979F7" wp14:editId="1278BB0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4D1AF1B" w14:textId="77777777" w:rsidR="00D058B8" w:rsidRPr="006F12DD" w:rsidRDefault="00D058B8" w:rsidP="004C5D52">
      <w:pPr>
        <w:pStyle w:val="LineTop"/>
      </w:pPr>
    </w:p>
    <w:p w14:paraId="6B375E0C" w14:textId="77777777" w:rsidR="00680577" w:rsidRPr="006F12DD" w:rsidRDefault="00DC1CBB" w:rsidP="00680577">
      <w:pPr>
        <w:pStyle w:val="EPBodyTA1"/>
      </w:pPr>
      <w:r w:rsidRPr="006F12DD">
        <w:t>TEXTOS APROVADOS</w:t>
      </w:r>
    </w:p>
    <w:p w14:paraId="461FD7E3" w14:textId="77777777" w:rsidR="00D058B8" w:rsidRPr="006F12DD" w:rsidRDefault="00D058B8" w:rsidP="00D058B8">
      <w:pPr>
        <w:pStyle w:val="LineBottom"/>
      </w:pPr>
    </w:p>
    <w:p w14:paraId="4EA9FE19" w14:textId="58A5CBA1" w:rsidR="00DC1CBB" w:rsidRPr="006F12DD" w:rsidRDefault="00DC1CBB" w:rsidP="00DC1CBB">
      <w:pPr>
        <w:pStyle w:val="ATHeading1"/>
      </w:pPr>
      <w:bookmarkStart w:id="1" w:name="TANumber"/>
      <w:r w:rsidRPr="006F12DD">
        <w:t>P10_TA(2025)</w:t>
      </w:r>
      <w:bookmarkEnd w:id="1"/>
      <w:r w:rsidR="005216BB" w:rsidRPr="006F12DD">
        <w:t>0063</w:t>
      </w:r>
    </w:p>
    <w:p w14:paraId="6A85EEBB" w14:textId="77777777" w:rsidR="00DC1CBB" w:rsidRPr="006F12DD" w:rsidRDefault="00DC1CBB" w:rsidP="00DC1CBB">
      <w:pPr>
        <w:pStyle w:val="ATHeading2"/>
      </w:pPr>
      <w:bookmarkStart w:id="2" w:name="title"/>
      <w:r w:rsidRPr="006F12DD">
        <w:t>Risco iminente de mais repressão por parte do regime de Lukashenko na Bielorrússia: ameaças da comissão de inquérito</w:t>
      </w:r>
      <w:bookmarkEnd w:id="2"/>
    </w:p>
    <w:p w14:paraId="2F245A1F" w14:textId="77777777" w:rsidR="00DC1CBB" w:rsidRPr="006F12DD" w:rsidRDefault="00DC1CBB" w:rsidP="00DC1CBB">
      <w:pPr>
        <w:rPr>
          <w:i/>
          <w:vanish/>
        </w:rPr>
      </w:pPr>
      <w:r w:rsidRPr="006F12DD">
        <w:rPr>
          <w:i/>
        </w:rPr>
        <w:fldChar w:fldCharType="begin"/>
      </w:r>
      <w:r w:rsidRPr="006F12DD">
        <w:rPr>
          <w:i/>
        </w:rPr>
        <w:instrText xml:space="preserve"> TC"(</w:instrText>
      </w:r>
      <w:bookmarkStart w:id="3" w:name="DocNumber"/>
      <w:r w:rsidRPr="006F12DD">
        <w:rPr>
          <w:i/>
        </w:rPr>
        <w:instrText>B10-0219, 0221, 0223, 0227 e 0229/2025</w:instrText>
      </w:r>
      <w:bookmarkEnd w:id="3"/>
      <w:r w:rsidRPr="006F12DD">
        <w:rPr>
          <w:i/>
        </w:rPr>
        <w:instrText xml:space="preserve">)"\l3 \n&gt; \* MERGEFORMAT </w:instrText>
      </w:r>
      <w:r w:rsidRPr="006F12DD">
        <w:rPr>
          <w:i/>
        </w:rPr>
        <w:fldChar w:fldCharType="end"/>
      </w:r>
    </w:p>
    <w:p w14:paraId="20A2171A" w14:textId="77777777" w:rsidR="00DC1CBB" w:rsidRPr="006F12DD" w:rsidRDefault="00DC1CBB" w:rsidP="00DC1CBB">
      <w:pPr>
        <w:rPr>
          <w:vanish/>
        </w:rPr>
      </w:pPr>
      <w:bookmarkStart w:id="4" w:name="PE"/>
      <w:r w:rsidRPr="006F12DD">
        <w:rPr>
          <w:vanish/>
        </w:rPr>
        <w:t>PE772.501</w:t>
      </w:r>
      <w:bookmarkEnd w:id="4"/>
    </w:p>
    <w:p w14:paraId="055D10FF" w14:textId="366368F8" w:rsidR="00DC1CBB" w:rsidRPr="006F12DD" w:rsidRDefault="00DC1CBB" w:rsidP="00DC1CBB">
      <w:pPr>
        <w:pStyle w:val="ATHeading3"/>
      </w:pPr>
      <w:bookmarkStart w:id="5" w:name="Sujet"/>
      <w:r w:rsidRPr="006F12DD">
        <w:t xml:space="preserve">Resolução do Parlamento Europeu, de </w:t>
      </w:r>
      <w:r w:rsidR="00633543" w:rsidRPr="006F12DD">
        <w:t xml:space="preserve">3 </w:t>
      </w:r>
      <w:r w:rsidRPr="006F12DD">
        <w:t xml:space="preserve">de </w:t>
      </w:r>
      <w:r w:rsidR="00633543" w:rsidRPr="006F12DD">
        <w:t xml:space="preserve">abril </w:t>
      </w:r>
      <w:r w:rsidRPr="006F12DD">
        <w:t>de 2025, sobre o risco iminente de mais repressão por parte do regime de Lukashenko na Bielorrússia: ameaças da comissão de inquérito</w:t>
      </w:r>
      <w:bookmarkEnd w:id="5"/>
      <w:r w:rsidRPr="006F12DD">
        <w:t xml:space="preserve"> </w:t>
      </w:r>
      <w:bookmarkStart w:id="6" w:name="References"/>
      <w:r w:rsidRPr="006F12DD">
        <w:t>(2025/2629(RSP))</w:t>
      </w:r>
      <w:bookmarkEnd w:id="6"/>
    </w:p>
    <w:p w14:paraId="5E61C43A" w14:textId="77777777" w:rsidR="00BE0F73" w:rsidRPr="006F12DD" w:rsidRDefault="00BE0F73" w:rsidP="00BE0F73">
      <w:pPr>
        <w:pStyle w:val="EPComma"/>
      </w:pPr>
      <w:bookmarkStart w:id="7" w:name="TextBodyBegin"/>
      <w:bookmarkEnd w:id="7"/>
      <w:r w:rsidRPr="006F12DD">
        <w:rPr>
          <w:i/>
        </w:rPr>
        <w:t>O Parlamento Europeu</w:t>
      </w:r>
      <w:r w:rsidRPr="006F12DD">
        <w:t>,</w:t>
      </w:r>
    </w:p>
    <w:p w14:paraId="67B1CABF" w14:textId="77777777" w:rsidR="00BE0F73" w:rsidRPr="006F12DD" w:rsidRDefault="00BE0F73" w:rsidP="00BE0F73">
      <w:pPr>
        <w:pStyle w:val="NormalHanging12a"/>
      </w:pPr>
      <w:r w:rsidRPr="006F12DD">
        <w:t>–</w:t>
      </w:r>
      <w:r w:rsidRPr="006F12DD">
        <w:tab/>
        <w:t>Tendo em conta as suas resoluções anteriores sobre a Bielorrússia,</w:t>
      </w:r>
    </w:p>
    <w:p w14:paraId="2ABBEDE2" w14:textId="77777777" w:rsidR="00BE0F73" w:rsidRPr="006F12DD" w:rsidRDefault="00BE0F73" w:rsidP="00BE0F73">
      <w:pPr>
        <w:pStyle w:val="NormalHanging12a"/>
      </w:pPr>
      <w:r w:rsidRPr="006F12DD">
        <w:t>–</w:t>
      </w:r>
      <w:r w:rsidRPr="006F12DD">
        <w:tab/>
        <w:t>Tendo em conta o artigo 150.º, n.º 5, e o artigo 136.º, n.º 4, do seu Regimento,</w:t>
      </w:r>
    </w:p>
    <w:p w14:paraId="06A1D18B" w14:textId="77777777" w:rsidR="00BE0F73" w:rsidRPr="006F12DD" w:rsidRDefault="00BE0F73" w:rsidP="00BE0F73">
      <w:pPr>
        <w:pStyle w:val="NormalHanging12a"/>
        <w:rPr>
          <w:rFonts w:eastAsia="Calibri"/>
        </w:rPr>
      </w:pPr>
      <w:r w:rsidRPr="006F12DD">
        <w:t>A.</w:t>
      </w:r>
      <w:r w:rsidRPr="006F12DD">
        <w:tab/>
        <w:t>Considerando que o regime de Lukashenko tem vindo a intensificar a repressão interna e transnacional no sentido de desmantelar as estruturas que representam as forças democráticas da Bielorrússia;</w:t>
      </w:r>
    </w:p>
    <w:p w14:paraId="08F07E31" w14:textId="36B28466" w:rsidR="00BE0F73" w:rsidRPr="006F12DD" w:rsidRDefault="00BE0F73" w:rsidP="00BE0F73">
      <w:pPr>
        <w:pStyle w:val="NormalHanging12a"/>
        <w:rPr>
          <w:rFonts w:eastAsia="Calibri"/>
        </w:rPr>
      </w:pPr>
      <w:r w:rsidRPr="006F12DD">
        <w:t>B.</w:t>
      </w:r>
      <w:r w:rsidRPr="006F12DD">
        <w:tab/>
        <w:t>Considerando que os peritos das Nações Unidas confirmaram recentemente casos de prisão e detenção arbitrárias, acompanhadas de tortura ou maus tratos, e denunciaram inclusive provas de crimes contra a humanidade</w:t>
      </w:r>
      <w:r w:rsidR="00633543" w:rsidRPr="006F12DD">
        <w:t>; considerando que</w:t>
      </w:r>
      <w:r w:rsidRPr="006F12DD">
        <w:t xml:space="preserve"> mais de 1 200 presos políticos, entre os quais Viktoryia Kulsha, Volha Mayorava, Alena Hnauk e Andrzej Poczobut, continuam encarcerados;</w:t>
      </w:r>
    </w:p>
    <w:p w14:paraId="0D25D63A" w14:textId="798E0DE6" w:rsidR="00BE0F73" w:rsidRPr="006F12DD" w:rsidRDefault="00BE0F73" w:rsidP="00BE0F73">
      <w:pPr>
        <w:pStyle w:val="NormalHanging12a"/>
        <w:rPr>
          <w:rFonts w:eastAsia="Calibri"/>
        </w:rPr>
      </w:pPr>
      <w:r w:rsidRPr="006F12DD">
        <w:t>C.</w:t>
      </w:r>
      <w:r w:rsidRPr="006F12DD">
        <w:tab/>
        <w:t>Considerando que a comissão de inquérito bielorrussa deu início a «processos especiais» contra centenas de bielorrussos que participaram em manifestações em diversas cidades europeias ou foram candidatos nas eleições para o Conselho de Coordenação</w:t>
      </w:r>
      <w:r w:rsidR="00633543" w:rsidRPr="006F12DD">
        <w:t>; considerando que</w:t>
      </w:r>
      <w:r w:rsidRPr="006F12DD">
        <w:t xml:space="preserve"> as famílias da diáspora bielorrussa foram ameaçadas de prisão e confisco de bens caso participassem nos protestos por ocasião do Dia da Liberdade;</w:t>
      </w:r>
    </w:p>
    <w:p w14:paraId="7F9819ED" w14:textId="77777777" w:rsidR="00BE0F73" w:rsidRPr="006F12DD" w:rsidRDefault="00BE0F73" w:rsidP="00BE0F73">
      <w:pPr>
        <w:pStyle w:val="NormalHanging12a"/>
        <w:rPr>
          <w:rFonts w:eastAsia="Calibri"/>
        </w:rPr>
      </w:pPr>
      <w:r w:rsidRPr="006F12DD">
        <w:t>D.</w:t>
      </w:r>
      <w:r w:rsidRPr="006F12DD">
        <w:tab/>
        <w:t>Considerando que o regime de Lukashenko se está a aproveitar da caducidade de muitos passaportes bielorrussos para forçar a diáspora a regressar à Bielorrússia;</w:t>
      </w:r>
    </w:p>
    <w:p w14:paraId="09279568" w14:textId="77777777" w:rsidR="00BE0F73" w:rsidRPr="006F12DD" w:rsidRDefault="00BE0F73" w:rsidP="00BE0F73">
      <w:pPr>
        <w:pStyle w:val="NormalHanging12a"/>
        <w:rPr>
          <w:rFonts w:eastAsia="Calibri"/>
        </w:rPr>
      </w:pPr>
      <w:r w:rsidRPr="006F12DD">
        <w:t>E.</w:t>
      </w:r>
      <w:r w:rsidRPr="006F12DD">
        <w:tab/>
        <w:t>Considerando que a cooperação acentuada do regime bielorrusso com os serviços de segurança russos aumenta o risco de ameaças híbridas, vigilância e repressão coordenadas no território da UE;</w:t>
      </w:r>
    </w:p>
    <w:p w14:paraId="4E9B7772" w14:textId="14EE07F4" w:rsidR="00BE0F73" w:rsidRPr="006F12DD" w:rsidRDefault="00BE0F73" w:rsidP="00BE0F73">
      <w:pPr>
        <w:pStyle w:val="NormalHanging12a"/>
        <w:rPr>
          <w:rFonts w:eastAsia="Calibri"/>
        </w:rPr>
      </w:pPr>
      <w:r w:rsidRPr="006F12DD">
        <w:lastRenderedPageBreak/>
        <w:t>F.</w:t>
      </w:r>
      <w:r w:rsidRPr="006F12DD">
        <w:tab/>
        <w:t>Considerando que os meios de comunicação social do Estado bielorrusso dominam o panorama informativo</w:t>
      </w:r>
      <w:r w:rsidR="00633543" w:rsidRPr="006F12DD">
        <w:t>;</w:t>
      </w:r>
    </w:p>
    <w:p w14:paraId="3D4220E3" w14:textId="77777777" w:rsidR="00BE0F73" w:rsidRPr="006F12DD" w:rsidRDefault="00BE0F73" w:rsidP="00BE0F73">
      <w:pPr>
        <w:pStyle w:val="NormalHanging12a"/>
        <w:rPr>
          <w:rFonts w:eastAsia="Calibri"/>
        </w:rPr>
      </w:pPr>
      <w:r w:rsidRPr="006F12DD">
        <w:t>1.</w:t>
      </w:r>
      <w:r w:rsidRPr="006F12DD">
        <w:tab/>
        <w:t>Exige que o regime de Lukashenko ponha imediatamente termo às suas ações repressivas, designadamente a vigilância de exilados e manifestantes, e que liberte e reabilite todos os presos políticos;</w:t>
      </w:r>
    </w:p>
    <w:p w14:paraId="2CF48174" w14:textId="77777777" w:rsidR="00BE0F73" w:rsidRPr="006F12DD" w:rsidRDefault="00BE0F73" w:rsidP="00BE0F73">
      <w:pPr>
        <w:pStyle w:val="NormalHanging12a"/>
      </w:pPr>
      <w:r w:rsidRPr="006F12DD">
        <w:t>2.</w:t>
      </w:r>
      <w:r w:rsidRPr="006F12DD">
        <w:tab/>
        <w:t>Condena com veemência a contínua expansão da repressão exercida pelo regime de Lukashenko, que visa agora os bielorrussos que se encontram no estrangeiro por meio de processos penais, apreensões de bens e outras medidas destinadas a silenciar a dissidência;</w:t>
      </w:r>
    </w:p>
    <w:p w14:paraId="3B170294" w14:textId="77777777" w:rsidR="00BE0F73" w:rsidRPr="006F12DD" w:rsidRDefault="00BE0F73" w:rsidP="00BE0F73">
      <w:pPr>
        <w:pStyle w:val="NormalHanging12a"/>
        <w:rPr>
          <w:rFonts w:eastAsia="Calibri"/>
        </w:rPr>
      </w:pPr>
      <w:r w:rsidRPr="006F12DD">
        <w:t>3.</w:t>
      </w:r>
      <w:r w:rsidRPr="006F12DD">
        <w:tab/>
        <w:t>Solicita apoio jurídico e proteção à escala da UE para os bielorrussos exilados mediante a simplificação dos procedimentos de obtenção de vistos, autorizações de residência e documentos de identificação provisórios para as pessoas tornadas apátridas por perseguições extraterritoriais;</w:t>
      </w:r>
    </w:p>
    <w:p w14:paraId="7CCAAD85" w14:textId="77777777" w:rsidR="00BE0F73" w:rsidRPr="006F12DD" w:rsidRDefault="00BE0F73" w:rsidP="00BE0F73">
      <w:pPr>
        <w:pStyle w:val="NormalHanging12a"/>
        <w:rPr>
          <w:rFonts w:eastAsia="Calibri"/>
        </w:rPr>
      </w:pPr>
      <w:r w:rsidRPr="006F12DD">
        <w:t>4.</w:t>
      </w:r>
      <w:r w:rsidRPr="006F12DD">
        <w:tab/>
        <w:t>Insiste no não reconhecimento de Lukashenko e considera que a perseguição de cidadãos bielorrussos devido a atividades democráticas pacíficas no estrangeiro por via dos «processos especiais» levados a cabo pela comissão de inquérito constitui uma violação direta da soberania territorial dos Estados</w:t>
      </w:r>
      <w:r w:rsidRPr="006F12DD">
        <w:noBreakHyphen/>
        <w:t>Membros; exorta, pois, os países em causa a ignorarem os mandados de detenção da Interpol para a extradição dos opositores políticos de Lukashenko;</w:t>
      </w:r>
    </w:p>
    <w:p w14:paraId="066FCBA5" w14:textId="18B2C278" w:rsidR="00BE0F73" w:rsidRPr="006F12DD" w:rsidRDefault="00BE0F73" w:rsidP="00BE0F73">
      <w:pPr>
        <w:pStyle w:val="NormalHanging12a"/>
      </w:pPr>
      <w:r w:rsidRPr="006F12DD">
        <w:t>5.</w:t>
      </w:r>
      <w:r w:rsidRPr="006F12DD">
        <w:tab/>
        <w:t>Congratula</w:t>
      </w:r>
      <w:r w:rsidRPr="006F12DD">
        <w:noBreakHyphen/>
        <w:t>se com as sanções impostas à Direção de Gestão de Propriedades do Presidente e à Comissão Central de Eleições, que emitiram decisões com motivações políticas;</w:t>
      </w:r>
      <w:r w:rsidR="00711167" w:rsidRPr="006F12DD">
        <w:t xml:space="preserve"> exorta a que sejam imediatamente impostas sanções pessoais a todos os membros da comissão de inquérito bielorrussa e a funcionários de outras instituições do Estado cúmplices da perseguição e da intimidação transnacionais de cidadãos bielorrussos;</w:t>
      </w:r>
    </w:p>
    <w:p w14:paraId="586CAFEE" w14:textId="23C2BD3D" w:rsidR="00711167" w:rsidRPr="006F12DD" w:rsidRDefault="00DE06C9" w:rsidP="00BE0F73">
      <w:pPr>
        <w:pStyle w:val="NormalHanging12a"/>
        <w:rPr>
          <w:rFonts w:eastAsia="Calibri"/>
        </w:rPr>
      </w:pPr>
      <w:r w:rsidRPr="006F12DD">
        <w:t>6.</w:t>
      </w:r>
      <w:r w:rsidR="00711167" w:rsidRPr="006F12DD">
        <w:tab/>
        <w:t>Defende firmemente a rápida criação e aplicação de um mecanismo jurídico para identificar, congelar e confiscar todos os ativos e património detidos por Lukashenko e pelo seu círculo mais próximo fora da Bielorrússia, com vista à sua reafetação a um fundo de apoio às vítimas da repressão;</w:t>
      </w:r>
    </w:p>
    <w:p w14:paraId="09E42407" w14:textId="0AB3D9D6" w:rsidR="00BE0F73" w:rsidRPr="006F12DD" w:rsidRDefault="00DE06C9" w:rsidP="00BE0F73">
      <w:pPr>
        <w:pStyle w:val="NormalHanging12a"/>
        <w:rPr>
          <w:rFonts w:eastAsia="Calibri"/>
        </w:rPr>
      </w:pPr>
      <w:r w:rsidRPr="006F12DD">
        <w:t>7</w:t>
      </w:r>
      <w:r w:rsidR="00BE0F73" w:rsidRPr="006F12DD">
        <w:t>.</w:t>
      </w:r>
      <w:r w:rsidR="00BE0F73" w:rsidRPr="006F12DD">
        <w:tab/>
        <w:t>Exorta os Estados</w:t>
      </w:r>
      <w:r w:rsidR="00BE0F73" w:rsidRPr="006F12DD">
        <w:noBreakHyphen/>
        <w:t>Membros a imporem novas sanções equivalentes às impostas à Rússia, visando, em particular, os funcionários responsáveis pela repressão transnacional;</w:t>
      </w:r>
    </w:p>
    <w:p w14:paraId="1046E508" w14:textId="30B89114" w:rsidR="00BE0F73" w:rsidRPr="006F12DD" w:rsidRDefault="00DE06C9" w:rsidP="00BE0F73">
      <w:pPr>
        <w:pStyle w:val="NormalHanging12a"/>
        <w:rPr>
          <w:rFonts w:eastAsia="Calibri"/>
        </w:rPr>
      </w:pPr>
      <w:r w:rsidRPr="006F12DD">
        <w:t>8</w:t>
      </w:r>
      <w:r w:rsidR="00BE0F73" w:rsidRPr="006F12DD">
        <w:t>.</w:t>
      </w:r>
      <w:r w:rsidR="00BE0F73" w:rsidRPr="006F12DD">
        <w:tab/>
        <w:t>Exorta a UE e os seus Estados</w:t>
      </w:r>
      <w:r w:rsidR="00BE0F73" w:rsidRPr="006F12DD">
        <w:noBreakHyphen/>
        <w:t>Membros a reforçarem o apoio político, financeiro e técnico aos meios de comunicação social independentes, aos defensores dos direitos humanos, aos sindicatos e às iniciativas da sociedade civil que operam na Bielorrússia e além</w:t>
      </w:r>
      <w:r w:rsidR="00BE0F73" w:rsidRPr="006F12DD">
        <w:noBreakHyphen/>
        <w:t>fronteiras, notadamente através da observação dos julgamentos e do aumento da visibilidade dos presos políticos;</w:t>
      </w:r>
    </w:p>
    <w:p w14:paraId="0ACD1823" w14:textId="33A277CB" w:rsidR="00BE0F73" w:rsidRPr="006F12DD" w:rsidRDefault="00DE06C9" w:rsidP="00BE0F73">
      <w:pPr>
        <w:pStyle w:val="NormalHanging12a"/>
      </w:pPr>
      <w:r w:rsidRPr="006F12DD">
        <w:t>9</w:t>
      </w:r>
      <w:r w:rsidR="00BE0F73" w:rsidRPr="006F12DD">
        <w:t>.</w:t>
      </w:r>
      <w:r w:rsidR="00BE0F73" w:rsidRPr="006F12DD">
        <w:tab/>
        <w:t>Insta a VP/AR a recorrer ao INTCEN e ao EDMO para contrariar as operações de recolha de informações e a desinformação bielorrussas;</w:t>
      </w:r>
    </w:p>
    <w:p w14:paraId="79239AFA" w14:textId="7ADA842E" w:rsidR="00BE0F73" w:rsidRPr="006F12DD" w:rsidRDefault="00DE06C9" w:rsidP="00BE0F73">
      <w:pPr>
        <w:pStyle w:val="NormalHanging12a"/>
        <w:rPr>
          <w:rFonts w:eastAsia="Calibri"/>
        </w:rPr>
      </w:pPr>
      <w:r w:rsidRPr="006F12DD">
        <w:t>10</w:t>
      </w:r>
      <w:r w:rsidR="00BE0F73" w:rsidRPr="006F12DD">
        <w:t>.</w:t>
      </w:r>
      <w:r w:rsidR="00BE0F73" w:rsidRPr="006F12DD">
        <w:tab/>
        <w:t>Exorta o Tribunal Penal Internacional a acelerar os processos relativos a crimes contra a humanidade cometidos pelo regime de Lukashenko e exige que os Estados</w:t>
      </w:r>
      <w:r w:rsidR="00BE0F73" w:rsidRPr="006F12DD">
        <w:noBreakHyphen/>
        <w:t xml:space="preserve">Membros busquem a responsabilização por via de processos nacionais, com base no princípio da </w:t>
      </w:r>
      <w:r w:rsidR="00BE0F73" w:rsidRPr="006F12DD">
        <w:lastRenderedPageBreak/>
        <w:t>jurisdição universal;</w:t>
      </w:r>
    </w:p>
    <w:p w14:paraId="65FD65B9" w14:textId="2C0DC5F5" w:rsidR="00E95797" w:rsidRPr="006F12DD" w:rsidRDefault="00DE06C9" w:rsidP="00E95797">
      <w:pPr>
        <w:pStyle w:val="NormalHanging12a"/>
      </w:pPr>
      <w:r w:rsidRPr="006F12DD">
        <w:t>11</w:t>
      </w:r>
      <w:r w:rsidR="00BE0F73" w:rsidRPr="006F12DD">
        <w:t>.</w:t>
      </w:r>
      <w:r w:rsidR="00BE0F73" w:rsidRPr="006F12DD">
        <w:tab/>
        <w:t xml:space="preserve">Encarrega a sua Presidente de transmitir a presente resolução à VP/AR, ao Conselho, aos representantes das forças democráticas bielorrussas e às autoridades </w:t>
      </w:r>
      <w:r w:rsidR="00BE0F73" w:rsidRPr="006F12DD">
        <w:rPr>
          <w:i/>
        </w:rPr>
        <w:t>de facto</w:t>
      </w:r>
      <w:r w:rsidR="00BE0F73" w:rsidRPr="006F12DD">
        <w:t xml:space="preserve"> da Bielorrússia.</w:t>
      </w:r>
    </w:p>
    <w:sectPr w:rsidR="00E95797" w:rsidRPr="006F12DD" w:rsidSect="00E95797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E3B14A" w14:textId="77777777" w:rsidR="00DC1CBB" w:rsidRPr="00E95797" w:rsidRDefault="00DC1CBB">
      <w:r w:rsidRPr="00E95797">
        <w:separator/>
      </w:r>
    </w:p>
  </w:endnote>
  <w:endnote w:type="continuationSeparator" w:id="0">
    <w:p w14:paraId="7A3E3041" w14:textId="77777777" w:rsidR="00DC1CBB" w:rsidRPr="00E95797" w:rsidRDefault="00DC1CBB">
      <w:r w:rsidRPr="00E9579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C708C8" w14:textId="77777777" w:rsidR="00DC1CBB" w:rsidRPr="00E95797" w:rsidRDefault="00DC1CBB">
      <w:r w:rsidRPr="00E95797">
        <w:separator/>
      </w:r>
    </w:p>
  </w:footnote>
  <w:footnote w:type="continuationSeparator" w:id="0">
    <w:p w14:paraId="15A80DA0" w14:textId="77777777" w:rsidR="00DC1CBB" w:rsidRPr="00E95797" w:rsidRDefault="00DC1CBB">
      <w:r w:rsidRPr="00E95797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219, 0221, 0223, 0227 e 0229/2025"/>
    <w:docVar w:name="dvlangue" w:val="PT"/>
    <w:docVar w:name="dvnumam" w:val="0"/>
    <w:docVar w:name="dvpe" w:val="772.501"/>
    <w:docVar w:name="dvtitre" w:val="Resolução do Parlamento Europeu, de ... de ... de 2025,_x000d__x000a_ sobre o risco iminente de mais repressão por parte do regime de Lukashenko na Bielorrússia: ameaças da comissão de inquérito(2025/2629(RSP))"/>
  </w:docVars>
  <w:rsids>
    <w:rsidRoot w:val="00DC1CBB"/>
    <w:rsid w:val="00002272"/>
    <w:rsid w:val="00064002"/>
    <w:rsid w:val="000677B9"/>
    <w:rsid w:val="000831BA"/>
    <w:rsid w:val="000A42CC"/>
    <w:rsid w:val="000E7DD9"/>
    <w:rsid w:val="000F049C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216BB"/>
    <w:rsid w:val="00545827"/>
    <w:rsid w:val="00560270"/>
    <w:rsid w:val="005C2568"/>
    <w:rsid w:val="005F1B17"/>
    <w:rsid w:val="006037C0"/>
    <w:rsid w:val="00633543"/>
    <w:rsid w:val="006631B6"/>
    <w:rsid w:val="00680577"/>
    <w:rsid w:val="006F12DD"/>
    <w:rsid w:val="006F74FA"/>
    <w:rsid w:val="00711167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54874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0F73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C1CBB"/>
    <w:rsid w:val="00DE06C9"/>
    <w:rsid w:val="00E365E1"/>
    <w:rsid w:val="00E820A4"/>
    <w:rsid w:val="00E95797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048047"/>
  <w15:chartTrackingRefBased/>
  <w15:docId w15:val="{E864A9E9-6441-45C4-93ED-9D9156567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BE0F73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BE0F73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sid w:val="00BE0F73"/>
    <w:rPr>
      <w:sz w:val="24"/>
      <w:lang w:val="pt-PT"/>
    </w:rPr>
  </w:style>
  <w:style w:type="paragraph" w:styleId="BalloonText">
    <w:name w:val="Balloon Text"/>
    <w:basedOn w:val="Normal"/>
    <w:link w:val="BalloonTextChar"/>
    <w:rsid w:val="000F049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F049C"/>
    <w:rPr>
      <w:rFonts w:ascii="Segoe UI" w:hAnsi="Segoe UI" w:cs="Segoe UI"/>
      <w:sz w:val="18"/>
      <w:szCs w:val="18"/>
      <w:lang w:val="pt-PT"/>
    </w:rPr>
  </w:style>
  <w:style w:type="character" w:styleId="CommentReference">
    <w:name w:val="annotation reference"/>
    <w:basedOn w:val="DefaultParagraphFont"/>
    <w:rsid w:val="000F049C"/>
    <w:rPr>
      <w:sz w:val="16"/>
      <w:szCs w:val="16"/>
    </w:rPr>
  </w:style>
  <w:style w:type="paragraph" w:styleId="CommentText">
    <w:name w:val="annotation text"/>
    <w:basedOn w:val="Normal"/>
    <w:link w:val="CommentTextChar"/>
    <w:rsid w:val="000F049C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0F049C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0F049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F049C"/>
    <w:rPr>
      <w:b/>
      <w:bCs/>
      <w:lang w:val="pt-PT"/>
    </w:rPr>
  </w:style>
  <w:style w:type="character" w:styleId="Hyperlink">
    <w:name w:val="Hyperlink"/>
    <w:basedOn w:val="DefaultParagraphFont"/>
    <w:rsid w:val="0071116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D33CB8-12A3-40B0-977D-47C07476C4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747</Words>
  <Characters>4401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MARTINSIsabelAlex</dc:creator>
  <cp:keywords/>
  <cp:lastModifiedBy>MARTINS Isabel Alexandra</cp:lastModifiedBy>
  <cp:revision>2</cp:revision>
  <cp:lastPrinted>2004-11-19T15:42:00Z</cp:lastPrinted>
  <dcterms:created xsi:type="dcterms:W3CDTF">2025-04-03T12:00:00Z</dcterms:created>
  <dcterms:modified xsi:type="dcterms:W3CDTF">2025-04-03T12:00:00Z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B10-0219, 0221, 0223, 0227 e 0229/2025</vt:lpwstr>
  </property>
  <property fmtid="{D5CDD505-2E9C-101B-9397-08002B2CF9AE}" pid="4" name="&lt;Type&gt;">
    <vt:lpwstr>RR</vt:lpwstr>
  </property>
</Properties>
</file>