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P10_TA(2025)0063</w:t>
      </w:r>
      <w:bookmarkEnd w:id="1"/>
    </w:p>
    <w:p>
      <w:pPr>
        <w:pStyle w:val="ATHeading2"/>
      </w:pPr>
      <w:bookmarkStart w:id="2" w:name="title"/>
      <w:r>
        <w:t xml:space="preserve">Bezprostredné riziko ďalších represií </w:t>
      </w:r>
      <w:proofErr w:type="spellStart"/>
      <w:r>
        <w:t>Lukašenkovho</w:t>
      </w:r>
      <w:proofErr w:type="spellEnd"/>
      <w:r>
        <w:t xml:space="preserve"> režimu v Bielorusku: hrozby vyšetrovacieho výboru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B10-0219, 0221, 0223, 0227 a 0229/2025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PE772.501</w:t>
      </w:r>
      <w:bookmarkEnd w:id="4"/>
    </w:p>
    <w:p>
      <w:pPr>
        <w:pStyle w:val="ATHeading3"/>
      </w:pPr>
      <w:bookmarkStart w:id="5" w:name="Sujet"/>
      <w:r>
        <w:t xml:space="preserve">Uznesenie Európskeho parlamentu z 3. apríla 2025 o bezprostrednom riziku ďalších represií </w:t>
      </w:r>
      <w:proofErr w:type="spellStart"/>
      <w:r>
        <w:t>Lukašenkovho</w:t>
      </w:r>
      <w:proofErr w:type="spellEnd"/>
      <w:r>
        <w:t xml:space="preserve"> režimu v Bielorusku: hrozby vyšetrovacieho výboru</w:t>
      </w:r>
      <w:bookmarkEnd w:id="5"/>
      <w:r>
        <w:t xml:space="preserve"> </w:t>
      </w:r>
      <w:bookmarkStart w:id="6" w:name="References"/>
      <w:r>
        <w:t>(2025/2629(RSP))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 Bielorusku,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  <w:rPr>
          <w:rFonts w:eastAsia="Calibri"/>
        </w:rPr>
      </w:pPr>
      <w:r>
        <w:t>A.</w:t>
      </w:r>
      <w:r>
        <w:tab/>
        <w:t xml:space="preserve">keďže </w:t>
      </w:r>
      <w:proofErr w:type="spellStart"/>
      <w:r>
        <w:t>Lukašenkov</w:t>
      </w:r>
      <w:proofErr w:type="spellEnd"/>
      <w:r>
        <w:t xml:space="preserve"> režim stupňuje vnútroštátne a nadnárodné represie s cieľom rozložiť štruktúry zastupujúce demokratické sily Bieloruska;</w:t>
      </w:r>
    </w:p>
    <w:p>
      <w:pPr>
        <w:pStyle w:val="NormalHanging12a"/>
        <w:rPr>
          <w:rFonts w:eastAsia="Calibri"/>
        </w:rPr>
      </w:pPr>
      <w:r>
        <w:t>B.</w:t>
      </w:r>
      <w:r>
        <w:tab/>
        <w:t xml:space="preserve">keďže experti OSN nedávno potvrdili svojvoľné zatýkania a zadržiavania spojené s mučením alebo zlým zaobchádzaním a dokonca informovali o dôkazoch o zločinoch proti ľudskosti; keďže viac ako 1 200 politických väzňov vrátane </w:t>
      </w:r>
      <w:proofErr w:type="spellStart"/>
      <w:r>
        <w:t>Viktorie</w:t>
      </w:r>
      <w:proofErr w:type="spellEnd"/>
      <w:r>
        <w:t xml:space="preserve"> </w:t>
      </w:r>
      <w:proofErr w:type="spellStart"/>
      <w:r>
        <w:t>Kuľšovej</w:t>
      </w:r>
      <w:proofErr w:type="spellEnd"/>
      <w:r>
        <w:t xml:space="preserve">, </w:t>
      </w:r>
      <w:proofErr w:type="spellStart"/>
      <w:r>
        <w:t>Volhy</w:t>
      </w:r>
      <w:proofErr w:type="spellEnd"/>
      <w:r>
        <w:t xml:space="preserve"> </w:t>
      </w:r>
      <w:proofErr w:type="spellStart"/>
      <w:r>
        <w:t>Majoravovej</w:t>
      </w:r>
      <w:proofErr w:type="spellEnd"/>
      <w:r>
        <w:t xml:space="preserve">, Aleny </w:t>
      </w:r>
      <w:proofErr w:type="spellStart"/>
      <w:r>
        <w:t>Gnaukovej</w:t>
      </w:r>
      <w:proofErr w:type="spellEnd"/>
      <w:r>
        <w:t xml:space="preserve"> a </w:t>
      </w:r>
      <w:proofErr w:type="spellStart"/>
      <w:r>
        <w:t>Andrzeja</w:t>
      </w:r>
      <w:proofErr w:type="spellEnd"/>
      <w:r>
        <w:t xml:space="preserve"> </w:t>
      </w:r>
      <w:proofErr w:type="spellStart"/>
      <w:r>
        <w:t>Poczobuta</w:t>
      </w:r>
      <w:proofErr w:type="spellEnd"/>
      <w:r>
        <w:t xml:space="preserve"> je naďalej väznených;</w:t>
      </w:r>
    </w:p>
    <w:p>
      <w:pPr>
        <w:pStyle w:val="NormalHanging12a"/>
        <w:rPr>
          <w:rFonts w:eastAsia="Calibri"/>
        </w:rPr>
      </w:pPr>
      <w:r>
        <w:t>C.</w:t>
      </w:r>
      <w:r>
        <w:tab/>
        <w:t>keďže bieloruský vyšetrovací výbor začal „osobitné konania“ proti stovkám Bielorusov, ktorí sa zúčastnili na zhromaždeniach v rôznych európskych mestách alebo kandidovali vo voľbách do koordinačnej rady; keďže rodiny bieloruskej diaspóry čelili hrozbám väzenia a konfiškácii majetku, ak sa zúčastnili na protestoch v Deň slobody;</w:t>
      </w:r>
    </w:p>
    <w:p>
      <w:pPr>
        <w:pStyle w:val="NormalHanging12a"/>
        <w:rPr>
          <w:rFonts w:eastAsia="Calibri"/>
        </w:rPr>
      </w:pPr>
      <w:r>
        <w:t>D.</w:t>
      </w:r>
      <w:r>
        <w:tab/>
        <w:t xml:space="preserve">keďže </w:t>
      </w:r>
      <w:proofErr w:type="spellStart"/>
      <w:r>
        <w:t>Lukašenkov</w:t>
      </w:r>
      <w:proofErr w:type="spellEnd"/>
      <w:r>
        <w:t xml:space="preserve"> režim zneužíva uplynutie platnosti mnohých bieloruských pasov, aby donútil diaspóru vrátiť sa do Bieloruska;</w:t>
      </w:r>
    </w:p>
    <w:p>
      <w:pPr>
        <w:pStyle w:val="NormalHanging12a"/>
        <w:rPr>
          <w:rFonts w:eastAsia="Calibri"/>
        </w:rPr>
      </w:pPr>
      <w:r>
        <w:t>E.</w:t>
      </w:r>
      <w:r>
        <w:tab/>
        <w:t>keďže čoraz väčšia spolupráca bieloruského režimu s ruskými bezpečnostnými službami zvyšuje riziko koordinovaných represií, sledovania a hybridných hrozieb na území EÚ;</w:t>
      </w:r>
    </w:p>
    <w:p>
      <w:pPr>
        <w:pStyle w:val="NormalHanging12a"/>
        <w:rPr>
          <w:rFonts w:eastAsia="Calibri"/>
        </w:rPr>
      </w:pPr>
      <w:r>
        <w:t>F.</w:t>
      </w:r>
      <w:r>
        <w:tab/>
        <w:t xml:space="preserve">keďže bieloruské štátne médiá dominujú informačnému prostrediu; </w:t>
      </w:r>
    </w:p>
    <w:p>
      <w:pPr>
        <w:pStyle w:val="NormalHanging12a"/>
        <w:rPr>
          <w:rFonts w:eastAsia="Calibri"/>
        </w:rPr>
      </w:pPr>
      <w:r>
        <w:t>1.</w:t>
      </w:r>
      <w:r>
        <w:tab/>
        <w:t xml:space="preserve">žiada, aby </w:t>
      </w:r>
      <w:proofErr w:type="spellStart"/>
      <w:r>
        <w:t>Lukašenkov</w:t>
      </w:r>
      <w:proofErr w:type="spellEnd"/>
      <w:r>
        <w:t xml:space="preserve"> režim okamžite ukončil represie vrátane sledovania exulantov a demonštrantov a aby prepustil a rehabilitoval všetkých politických väzňov;</w:t>
      </w:r>
    </w:p>
    <w:p>
      <w:pPr>
        <w:pStyle w:val="NormalHanging12a"/>
      </w:pPr>
      <w:r>
        <w:lastRenderedPageBreak/>
        <w:t>2.</w:t>
      </w:r>
      <w:r>
        <w:tab/>
        <w:t xml:space="preserve">dôrazne odsudzuje pokračujúce rozširovanie represií </w:t>
      </w:r>
      <w:proofErr w:type="spellStart"/>
      <w:r>
        <w:t>Lukašenkovho</w:t>
      </w:r>
      <w:proofErr w:type="spellEnd"/>
      <w:r>
        <w:t xml:space="preserve"> režimu, ktorý sa v súčasnosti zameriava na Bielorusov v zahraničí, a to trestným stíhaním, zaistením majetku a ďalšími opatreniami na umlčanie nesúhlasu;</w:t>
      </w:r>
    </w:p>
    <w:p>
      <w:pPr>
        <w:pStyle w:val="NormalHanging12a"/>
        <w:rPr>
          <w:rFonts w:eastAsia="Calibri"/>
        </w:rPr>
      </w:pPr>
      <w:r>
        <w:t>3.</w:t>
      </w:r>
      <w:r>
        <w:tab/>
        <w:t xml:space="preserve">požaduje právnu podporu a ochranu Bielorusov žijúcich v exile v celej EÚ zjednodušením postupov na získanie víz, povolení na pobyt a dočasných preukazov totožnosti pre osoby, ktoré sú v dôsledku </w:t>
      </w:r>
      <w:proofErr w:type="spellStart"/>
      <w:r>
        <w:t>extrateritoriálneho</w:t>
      </w:r>
      <w:proofErr w:type="spellEnd"/>
      <w:r>
        <w:t xml:space="preserve"> prenasledovania bez štátnej príslušnosti;</w:t>
      </w:r>
    </w:p>
    <w:p>
      <w:pPr>
        <w:pStyle w:val="NormalHanging12a"/>
        <w:rPr>
          <w:rFonts w:eastAsia="Calibri"/>
        </w:rPr>
      </w:pPr>
      <w:r>
        <w:t>4.</w:t>
      </w:r>
      <w:r>
        <w:tab/>
        <w:t xml:space="preserve">opakuje, že neuznáva Lukašenka, a považuje prenasledovanie bieloruských občanov za ich pokojné demokratické aktivity v zahraničí prostredníctvom „osobitných konaní“ vyšetrovacieho výboru za priame porušenie územnej zvrchovanosti členských štátov; naliehavo preto vyzýva príslušné krajiny, aby ignorovali zatýkacie rozkazy </w:t>
      </w:r>
      <w:proofErr w:type="spellStart"/>
      <w:r>
        <w:t>Interpolu</w:t>
      </w:r>
      <w:proofErr w:type="spellEnd"/>
      <w:r>
        <w:t xml:space="preserve"> na vydanie </w:t>
      </w:r>
      <w:proofErr w:type="spellStart"/>
      <w:r>
        <w:t>Lukašenkových</w:t>
      </w:r>
      <w:proofErr w:type="spellEnd"/>
      <w:r>
        <w:t xml:space="preserve"> politických oponentov;</w:t>
      </w:r>
    </w:p>
    <w:p>
      <w:pPr>
        <w:pStyle w:val="NormalHanging12a"/>
      </w:pPr>
      <w:r>
        <w:t>5.</w:t>
      </w:r>
      <w:r>
        <w:tab/>
        <w:t>víta sankcie voči riaditeľstvu pre správu majetku prezidenta a ústrednej volebnej komisii, ktoré vydali politicky motivované rozsudky; naliehavo vyzýva na okamžité uloženie osobných sankcií voči všetkým členom bieloruského vyšetrovacieho výboru a úradníkom z iných štátnych inštitúcií, ktorí sa podieľajú na nadnárodnom prenasledovaní a zastrašovaní bieloruských občanov;</w:t>
      </w:r>
    </w:p>
    <w:p>
      <w:pPr>
        <w:pStyle w:val="NormalHanging12a"/>
        <w:rPr>
          <w:rFonts w:eastAsia="Calibri"/>
        </w:rPr>
      </w:pPr>
      <w:r>
        <w:rPr>
          <w:rFonts w:eastAsia="Calibri"/>
        </w:rPr>
        <w:t>6.</w:t>
      </w:r>
      <w:r>
        <w:rPr>
          <w:rFonts w:eastAsia="Calibri"/>
        </w:rPr>
        <w:tab/>
        <w:t>dôrazne podporuje rýchle vytvorenie a presadzovanie právneho mechanizmu na identifikáciu, zmrazenie a konfiškáciu všetkých aktív a majetku mimo Bieloruska, ktoré vlastní Lukašenko a ľudia z jeho najbližšieho okolia, s cieľom prerozdeliť ich do fondu na podporu obetí represií;</w:t>
      </w:r>
    </w:p>
    <w:p>
      <w:pPr>
        <w:pStyle w:val="NormalHanging12a"/>
        <w:rPr>
          <w:rFonts w:eastAsia="Calibri"/>
        </w:rPr>
      </w:pPr>
      <w:r>
        <w:t>7.</w:t>
      </w:r>
      <w:r>
        <w:tab/>
        <w:t>naliehavo vyzýva členské štáty, aby uložili ďalšie sankcie rovnaké ako sankcie uvalené na Rusko, a to najmä voči úradníkom zodpovedným za nadnárodné represie;</w:t>
      </w:r>
    </w:p>
    <w:p>
      <w:pPr>
        <w:pStyle w:val="NormalHanging12a"/>
        <w:rPr>
          <w:rFonts w:eastAsia="Calibri"/>
        </w:rPr>
      </w:pPr>
      <w:r>
        <w:t>8.</w:t>
      </w:r>
      <w:r>
        <w:tab/>
        <w:t>naliehavo vyzýva EÚ a jej členské štáty, aby zvýšili politickú, finančnú a technickú podporu pre nezávislé médiá, obhajcov ľudských práv, odborové zväzy a iniciatívy občianskej spoločnosti pôsobiace v Bielorusku aj mimo neho vrátane monitorovania súdnych procesov a zvýšenia viditeľnosti politických väzňov;</w:t>
      </w:r>
    </w:p>
    <w:p>
      <w:pPr>
        <w:pStyle w:val="NormalHanging12a"/>
      </w:pPr>
      <w:r>
        <w:t>9.</w:t>
      </w:r>
      <w:r>
        <w:tab/>
        <w:t>vyzýva PK/VP, aby využívala Spravodajské a situačné centrum EÚ a Európske stredisko pre monitorovanie digitálnych médií na boj proti bieloruským spravodajským operáciám a dezinformáciám;</w:t>
      </w:r>
    </w:p>
    <w:p>
      <w:pPr>
        <w:pStyle w:val="NormalHanging12a"/>
        <w:rPr>
          <w:rFonts w:eastAsia="Calibri"/>
        </w:rPr>
      </w:pPr>
      <w:r>
        <w:t>10.</w:t>
      </w:r>
      <w:r>
        <w:tab/>
        <w:t xml:space="preserve">naliehavo vyzýva Medzinárodný trestný súd, aby urýchlil konania týkajúce sa zločinov proti ľudskosti </w:t>
      </w:r>
      <w:proofErr w:type="spellStart"/>
      <w:r>
        <w:t>Lukašenkovho</w:t>
      </w:r>
      <w:proofErr w:type="spellEnd"/>
      <w:r>
        <w:t xml:space="preserve"> režimu, a žiada, aby členské štáty presadzovali zodpovednosť prostredníctvom vnútroštátnych konaní na základe zásady univerzálnej jurisdikcie;</w:t>
      </w:r>
    </w:p>
    <w:p>
      <w:pPr>
        <w:pStyle w:val="NormalHanging12a"/>
      </w:pPr>
      <w:r>
        <w:t>11.</w:t>
      </w:r>
      <w:r>
        <w:tab/>
        <w:t xml:space="preserve">poveruje svoju predsedníčku, aby postúpila toto uznesenie PK/VP, Rade, zástupcom bieloruských demokratických síl a bieloruským de </w:t>
      </w:r>
      <w:proofErr w:type="spellStart"/>
      <w:r>
        <w:t>facto</w:t>
      </w:r>
      <w:proofErr w:type="spellEnd"/>
      <w:r>
        <w:t xml:space="preserve"> orgánom.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1, 0223, 0227 a 0229/2025"/>
    <w:docVar w:name="dvlangue" w:val="SK"/>
    <w:docVar w:name="dvnumam" w:val="0"/>
    <w:docVar w:name="dvpe" w:val="772.501"/>
    <w:docVar w:name="dvtitre" w:val="Uznesenie Európskeho parlamentu z 3. apríla 2025 o bezprostrednom riziku ďalších represií Lukašenkovho režimu v Bielorusku: hrozby vyšetrovacieho výboru(2025/2629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151A2-7D4F-4669-ADE2-10F9AC02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BCC98-F026-4E17-B67A-5B1CA4580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584</Words>
  <Characters>3915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8</cp:revision>
  <cp:lastPrinted>2004-11-19T15:42:00Z</cp:lastPrinted>
  <dcterms:created xsi:type="dcterms:W3CDTF">2025-04-03T08:24:00Z</dcterms:created>
  <dcterms:modified xsi:type="dcterms:W3CDTF">2025-04-03T12:05:00Z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B10-0219, 0221, 0223, 0227 a 0229/2025</vt:lpwstr>
  </property>
  <property fmtid="{D5CDD505-2E9C-101B-9397-08002B2CF9AE}" pid="4" name="&lt;Type&gt;">
    <vt:lpwstr>RR</vt:lpwstr>
  </property>
</Properties>
</file>