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384D" w:rsidTr="0010095E">
        <w:trPr>
          <w:trHeight w:hRule="exact" w:val="1418"/>
        </w:trPr>
        <w:tc>
          <w:tcPr>
            <w:tcW w:w="6804" w:type="dxa"/>
            <w:shd w:val="clear" w:color="auto" w:fill="auto"/>
            <w:vAlign w:val="center"/>
          </w:tcPr>
          <w:p w:rsidR="00751A4A" w:rsidRPr="000A384D" w:rsidRDefault="00661588" w:rsidP="0010095E">
            <w:pPr>
              <w:pStyle w:val="EPName"/>
            </w:pPr>
            <w:r w:rsidRPr="000A384D">
              <w:t>Ευρωπαϊκό Κοινοβούλιο</w:t>
            </w:r>
          </w:p>
          <w:p w:rsidR="00751A4A" w:rsidRPr="000A384D" w:rsidRDefault="005F1B17" w:rsidP="005F1B17">
            <w:pPr>
              <w:pStyle w:val="EPTerm"/>
              <w:rPr>
                <w:rStyle w:val="HideTWBExt"/>
                <w:noProof w:val="0"/>
                <w:vanish w:val="0"/>
                <w:color w:val="auto"/>
              </w:rPr>
            </w:pPr>
            <w:r w:rsidRPr="000A384D">
              <w:t>2024</w:t>
            </w:r>
            <w:r w:rsidR="00817416" w:rsidRPr="000A384D">
              <w:t>-202</w:t>
            </w:r>
            <w:r w:rsidRPr="000A384D">
              <w:t>9</w:t>
            </w:r>
          </w:p>
        </w:tc>
        <w:tc>
          <w:tcPr>
            <w:tcW w:w="2268" w:type="dxa"/>
            <w:shd w:val="clear" w:color="auto" w:fill="auto"/>
          </w:tcPr>
          <w:p w:rsidR="00751A4A" w:rsidRPr="000A384D" w:rsidRDefault="00187494" w:rsidP="0010095E">
            <w:pPr>
              <w:pStyle w:val="EPLogo"/>
            </w:pPr>
            <w:r w:rsidRPr="000A384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A384D" w:rsidRDefault="00D058B8" w:rsidP="004C5D52">
      <w:pPr>
        <w:pStyle w:val="LineTop"/>
      </w:pPr>
    </w:p>
    <w:p w:rsidR="00680577" w:rsidRPr="000A384D" w:rsidRDefault="00661588" w:rsidP="00680577">
      <w:pPr>
        <w:pStyle w:val="EPBodyTA1"/>
      </w:pPr>
      <w:r w:rsidRPr="000A384D">
        <w:t>ΚΕΙΜΕΝΑ ΠΟΥ ΕΓΚΡΙΘΗΚΑΝ</w:t>
      </w:r>
    </w:p>
    <w:p w:rsidR="00D058B8" w:rsidRPr="000A384D" w:rsidRDefault="00D058B8" w:rsidP="00D058B8">
      <w:pPr>
        <w:pStyle w:val="LineBottom"/>
      </w:pPr>
    </w:p>
    <w:p w:rsidR="00661588" w:rsidRPr="000A384D" w:rsidRDefault="00661588" w:rsidP="00661588">
      <w:pPr>
        <w:pStyle w:val="ATHeading1"/>
      </w:pPr>
      <w:bookmarkStart w:id="0" w:name="TANumber"/>
      <w:r w:rsidRPr="000A384D">
        <w:t>P10_TA(2025)00</w:t>
      </w:r>
      <w:r w:rsidR="00AE3156" w:rsidRPr="000A384D">
        <w:t>65</w:t>
      </w:r>
      <w:bookmarkEnd w:id="0"/>
    </w:p>
    <w:p w:rsidR="00661588" w:rsidRPr="000A384D" w:rsidRDefault="000A47AB" w:rsidP="00661588">
      <w:pPr>
        <w:pStyle w:val="ATHeading2"/>
      </w:pPr>
      <w:bookmarkStart w:id="1" w:name="title"/>
      <w:r w:rsidRPr="000A384D">
        <w:t>Ενεργοβόρες βιομηχανίες</w:t>
      </w:r>
      <w:bookmarkEnd w:id="1"/>
    </w:p>
    <w:p w:rsidR="00661588" w:rsidRPr="000A384D" w:rsidRDefault="00661588" w:rsidP="00661588">
      <w:pPr>
        <w:rPr>
          <w:i/>
          <w:vanish/>
        </w:rPr>
      </w:pPr>
      <w:r w:rsidRPr="000A384D">
        <w:rPr>
          <w:i/>
        </w:rPr>
        <w:fldChar w:fldCharType="begin"/>
      </w:r>
      <w:r w:rsidRPr="000A384D">
        <w:rPr>
          <w:i/>
        </w:rPr>
        <w:instrText xml:space="preserve"> TC"(</w:instrText>
      </w:r>
      <w:bookmarkStart w:id="2" w:name="DocNumber"/>
      <w:r w:rsidRPr="000A384D">
        <w:rPr>
          <w:i/>
        </w:rPr>
        <w:instrText>B10-0209/2025</w:instrText>
      </w:r>
      <w:bookmarkEnd w:id="2"/>
      <w:r w:rsidRPr="000A384D">
        <w:rPr>
          <w:i/>
        </w:rPr>
        <w:instrText xml:space="preserve">)"\l3 \n&gt; \* MERGEFORMAT </w:instrText>
      </w:r>
      <w:r w:rsidRPr="000A384D">
        <w:rPr>
          <w:i/>
        </w:rPr>
        <w:fldChar w:fldCharType="end"/>
      </w:r>
    </w:p>
    <w:p w:rsidR="00661588" w:rsidRPr="000A384D" w:rsidRDefault="00661588" w:rsidP="00661588">
      <w:pPr>
        <w:rPr>
          <w:vanish/>
        </w:rPr>
      </w:pPr>
      <w:bookmarkStart w:id="3" w:name="PE"/>
      <w:r w:rsidRPr="000A384D">
        <w:rPr>
          <w:vanish/>
        </w:rPr>
        <w:t>PE772.489</w:t>
      </w:r>
      <w:bookmarkEnd w:id="3"/>
    </w:p>
    <w:p w:rsidR="00661588" w:rsidRPr="000A384D" w:rsidRDefault="00661588" w:rsidP="00661588">
      <w:pPr>
        <w:pStyle w:val="ATHeading3"/>
      </w:pPr>
      <w:bookmarkStart w:id="4" w:name="Sujet"/>
      <w:r w:rsidRPr="000A384D">
        <w:t xml:space="preserve">Ψήφισμα του Ευρωπαϊκού Κοινοβουλίου </w:t>
      </w:r>
      <w:r w:rsidR="000A47AB" w:rsidRPr="000A384D">
        <w:t xml:space="preserve">της </w:t>
      </w:r>
      <w:r w:rsidR="00C03FC5" w:rsidRPr="000A384D">
        <w:t>3</w:t>
      </w:r>
      <w:r w:rsidR="000A47AB" w:rsidRPr="000A384D">
        <w:t xml:space="preserve">ης Απριλίου 2025 </w:t>
      </w:r>
      <w:r w:rsidRPr="000A384D">
        <w:t>σχετικά με τις ενεργοβόρες βιομηχανίες</w:t>
      </w:r>
      <w:bookmarkEnd w:id="4"/>
      <w:r w:rsidRPr="000A384D">
        <w:t xml:space="preserve"> </w:t>
      </w:r>
      <w:bookmarkStart w:id="5" w:name="References"/>
      <w:r w:rsidRPr="000A384D">
        <w:t>(2025/2536(RSP))</w:t>
      </w:r>
      <w:bookmarkEnd w:id="5"/>
    </w:p>
    <w:p w:rsidR="009B0413" w:rsidRPr="000A384D" w:rsidRDefault="009B0413" w:rsidP="009B0413">
      <w:pPr>
        <w:pStyle w:val="EPComma"/>
      </w:pPr>
      <w:bookmarkStart w:id="6" w:name="TextBodyBegin"/>
      <w:bookmarkEnd w:id="6"/>
      <w:r w:rsidRPr="000A384D">
        <w:rPr>
          <w:i/>
        </w:rPr>
        <w:t>Το Ευρωπαϊκό Κοινοβούλιο</w:t>
      </w:r>
      <w:r w:rsidRPr="000A384D">
        <w:t>,</w:t>
      </w:r>
    </w:p>
    <w:p w:rsidR="009B0413" w:rsidRPr="000A384D" w:rsidRDefault="009B0413" w:rsidP="000A47AB">
      <w:pPr>
        <w:pStyle w:val="NormalHanging12a"/>
        <w:widowControl/>
      </w:pPr>
      <w:r w:rsidRPr="000A384D">
        <w:t>–</w:t>
      </w:r>
      <w:r w:rsidRPr="000A384D">
        <w:tab/>
        <w:t xml:space="preserve">έχοντας υπόψη την έκθεση του Mario Draghi, του Σεπτεμβρίου </w:t>
      </w:r>
      <w:r w:rsidR="000A47AB" w:rsidRPr="000A384D">
        <w:t xml:space="preserve">του </w:t>
      </w:r>
      <w:r w:rsidRPr="000A384D">
        <w:t>2024, σχετικά με το μέλλον της ευρωπαϊκής ανταγωνιστικότητας,</w:t>
      </w:r>
    </w:p>
    <w:p w:rsidR="009B0413" w:rsidRPr="000A384D" w:rsidRDefault="009B0413" w:rsidP="000A47AB">
      <w:pPr>
        <w:pStyle w:val="NormalHanging12a"/>
        <w:widowControl/>
      </w:pPr>
      <w:r w:rsidRPr="000A384D">
        <w:t>–</w:t>
      </w:r>
      <w:r w:rsidRPr="000A384D">
        <w:tab/>
        <w:t xml:space="preserve">έχοντας υπόψη την έκθεση του Enrico Letta, του Απριλίου </w:t>
      </w:r>
      <w:r w:rsidR="000A47AB" w:rsidRPr="000A384D">
        <w:t xml:space="preserve">του </w:t>
      </w:r>
      <w:r w:rsidRPr="000A384D">
        <w:t>2024, με τίτλο «Κάτι περισσότερο από μια αγορά»,</w:t>
      </w:r>
    </w:p>
    <w:p w:rsidR="009B0413" w:rsidRPr="000A384D" w:rsidRDefault="009B0413" w:rsidP="000A47AB">
      <w:pPr>
        <w:pStyle w:val="NormalHanging12a"/>
        <w:widowControl/>
      </w:pPr>
      <w:r w:rsidRPr="000A384D">
        <w:t>–</w:t>
      </w:r>
      <w:r w:rsidRPr="000A384D">
        <w:tab/>
        <w:t>έχοντας υπόψη την ανακοίνωση της Επιτροπής, της 26ης Φεβρουαρίου 2025, με τίτλο «Η συμφωνία για καθαρή βιομηχανία: Κοινός χάρτης πορείας για την ανταγωνιστικότητα και την απανθρακοποίηση» (COM(2025)0085),</w:t>
      </w:r>
    </w:p>
    <w:p w:rsidR="009B0413" w:rsidRPr="000A384D" w:rsidRDefault="009B0413" w:rsidP="000A47AB">
      <w:pPr>
        <w:pStyle w:val="NormalHanging12a"/>
        <w:widowControl/>
      </w:pPr>
      <w:r w:rsidRPr="000A384D">
        <w:t>–</w:t>
      </w:r>
      <w:r w:rsidRPr="000A384D">
        <w:tab/>
        <w:t>έχοντας υπόψη την ανακοίνωση της Επιτροπής, της 26ης Φεβρουαρίου 2025, με τίτλο «Σχέδιο δράσης για οικονομικά προσιτή ενέργεια» (CΟΜ(20</w:t>
      </w:r>
      <w:r w:rsidR="00807E9D">
        <w:t>25</w:t>
      </w:r>
      <w:r w:rsidRPr="000A384D">
        <w:t>)</w:t>
      </w:r>
      <w:bookmarkStart w:id="7" w:name="_GoBack"/>
      <w:r w:rsidRPr="000A384D">
        <w:t>0079</w:t>
      </w:r>
      <w:bookmarkEnd w:id="7"/>
      <w:r w:rsidRPr="000A384D">
        <w:t>),</w:t>
      </w:r>
    </w:p>
    <w:p w:rsidR="009B0413" w:rsidRPr="000A384D" w:rsidRDefault="009B0413" w:rsidP="000A47AB">
      <w:pPr>
        <w:pStyle w:val="NormalHanging12a"/>
        <w:widowControl/>
      </w:pPr>
      <w:r w:rsidRPr="000A384D">
        <w:t>–</w:t>
      </w:r>
      <w:r w:rsidRPr="000A384D">
        <w:tab/>
        <w:t>έχοντας υπόψη το άρθρο 136 παράγραφος 2 του Κανονισμού του,</w:t>
      </w:r>
    </w:p>
    <w:p w:rsidR="009B0413" w:rsidRPr="000A384D" w:rsidRDefault="009B0413" w:rsidP="000A47AB">
      <w:pPr>
        <w:pStyle w:val="NormalHanging12a"/>
        <w:widowControl/>
      </w:pPr>
      <w:r w:rsidRPr="000A384D">
        <w:t>–</w:t>
      </w:r>
      <w:r w:rsidRPr="000A384D">
        <w:tab/>
        <w:t>έχοντας υπόψη την πρόταση ψηφίσματος της Επιτροπής Βιομηχανίας, Έρευνας και Ενέργειας,</w:t>
      </w:r>
    </w:p>
    <w:p w:rsidR="009B0413" w:rsidRPr="000A384D" w:rsidRDefault="009B0413" w:rsidP="000A47AB">
      <w:pPr>
        <w:pStyle w:val="NormalHanging12a"/>
        <w:widowControl/>
      </w:pPr>
      <w:r w:rsidRPr="000A384D">
        <w:t>Α.</w:t>
      </w:r>
      <w:r w:rsidRPr="000A384D">
        <w:tab/>
        <w:t>λαμβάνοντας υπόψη ότι οι ενεργοβόρες βιομηχανίες ευθύνονται για σημαντικό μερίδιο της ευρωπαϊκής οικονομίας και διαδραματίζουν καίριο ρόλο στη δημιουργία θέσεων εργασίας, ιδίως σε περιοχές και περιφέρειες όπου είναι συγκεντρωμένες· λαμβάνοντας υπόψη ότι οι ενεργοβόρες βιομηχανίες είναι ζωτικής σημασίας για τη στρατηγική αυτονομία και την ανταγωνιστικότητα της ΕΕ, καθώς και για την απαλλαγή από τις ανθρακούχες εκπομπές, λαμβανομένου υπόψη του ενεργειακού τους αποτυπώματος·</w:t>
      </w:r>
    </w:p>
    <w:p w:rsidR="009B0413" w:rsidRPr="000A384D" w:rsidRDefault="009B0413" w:rsidP="000A47AB">
      <w:pPr>
        <w:pStyle w:val="NormalHanging12a"/>
        <w:widowControl/>
      </w:pPr>
      <w:r w:rsidRPr="000A384D">
        <w:t>Β.</w:t>
      </w:r>
      <w:r w:rsidRPr="000A384D">
        <w:tab/>
        <w:t>λαμβάνοντας υπόψη ότι η μετάβαση σε μια οικονομία απαλλαγμένη από ανθρακούχες εκπομπές και σε ένα σύστημα καθαρής ενέργειας πρέπει να οδηγεί στη μείωση των τιμών της ενέργειας και να λαμβάνει υπόψη όλες τις διαθέσιμες τεχνολογίες που συμβάλλουν στην επίτευξη του στόχου της ΕΕ για μηδενικές καθαρές εκπομπές έως το 2050 με τον πλέον οικονομικά αποδοτικό τρόπο, αποφεύγοντας τον εγκλωβισμό σε συγκεκριμένες τεχνολογίες και λαμβάνοντας υπόψη το διαφορετικό ενεργειακό μείγμα στα κράτη μέλη, μεταξύ άλλων όσον αφορά τις ανανεώσιμες πηγές ενέργειας και την πυρηνική ενέργεια·</w:t>
      </w:r>
    </w:p>
    <w:p w:rsidR="00753FE4" w:rsidRPr="000A384D" w:rsidRDefault="00753FE4" w:rsidP="000A47AB">
      <w:pPr>
        <w:pStyle w:val="NormalHanging12a"/>
        <w:widowControl/>
      </w:pPr>
      <w:r w:rsidRPr="000A384D">
        <w:lastRenderedPageBreak/>
        <w:t>Γ.</w:t>
      </w:r>
      <w:r w:rsidRPr="000A384D">
        <w:tab/>
        <w:t>λαμβάνοντας υπόψη ότι η τεχνολογική ουδετερότητα είναι ζωτικής σημασίας για την ευρωπαϊκή βιομηχανία, καθώς διασφαλίζει τον θεμιτό ανταγωνισμό, προωθεί την καινοτομία και στηρίζει την καθαρή μετάβαση χωρίς να ευνοεί συγκεκριμένες τεχνολογίες· λαμβάνοντας υπόψη ότι η διατήρηση ενός ουδέτερου κανονιστικού πλαισίου επιτρέπει στις εταιρείες να επιλέγουν τις πλέον αποδοτικές και βιώσιμες λύσεις με βάση τις ανάγκες της αγοράς και όχι τις προτιμήσεις από την κορυφή προς τη βάση που καθορίζουν οι υπεύθυνοι χάραξης πολιτικής· λαμβάνοντας υπόψη ότι η προσέγγιση αυτή ενθαρρύνει τις επενδύσεις, ενισχύει την ανταγωνιστικότητα και επιτρέπει στη βιομηχανία να προσαρμοστεί στις νέες τεχνολογίες·</w:t>
      </w:r>
    </w:p>
    <w:p w:rsidR="009B0413" w:rsidRPr="000A384D" w:rsidRDefault="00753FE4" w:rsidP="000A47AB">
      <w:pPr>
        <w:pStyle w:val="NormalHanging12a"/>
        <w:widowControl/>
      </w:pPr>
      <w:r w:rsidRPr="000A384D">
        <w:t>Δ</w:t>
      </w:r>
      <w:r w:rsidR="009B0413" w:rsidRPr="000A384D">
        <w:t>.</w:t>
      </w:r>
      <w:r w:rsidR="009B0413" w:rsidRPr="000A384D">
        <w:tab/>
        <w:t>λαμβάνοντας υπόψη ότι ο εξηλεκτρισμός βρίσκεται στο επίκεντρο της απαλλαγής των ενεργοβόρων βιομηχανιών από τις ανθρακούχες εκπομπές· λαμβάνοντας υπόψη ότι οι ενεργοβόρες βιομηχανίες περιλαμβάνουν τομείς που χρησιμοποιούν ορυκτούς πόρους για να ανταποκριθούν στις απαιτήσεις θερμοκρασίας, πίεσης ή αντίδρασης, όπως χημικά, χάλυβα, χαρτί, πλαστικά, εξόρυξη, διυλιστήρια, τσιμέντο, ασβέστη, μη σιδηρούχα μέταλλα, γυαλί, κεραμικά και λιπάσματα, για τους οποίους οι εκπομπές αερίων του θερμοκηπίου είναι δύσκολο να μειωθούν επειδή είναι εγγενείς στη διαδικασία ή λόγω του υψηλού κόστους κεφαλαίου ή των λειτουργικών δαπανών ή της χαμηλής τεχνολογικής ωριμότητας·</w:t>
      </w:r>
    </w:p>
    <w:p w:rsidR="009B0413" w:rsidRPr="000A384D" w:rsidRDefault="00753FE4" w:rsidP="000A47AB">
      <w:pPr>
        <w:pStyle w:val="NormalHanging12a"/>
        <w:widowControl/>
      </w:pPr>
      <w:r w:rsidRPr="000A384D">
        <w:t>Ε</w:t>
      </w:r>
      <w:r w:rsidR="009B0413" w:rsidRPr="000A384D">
        <w:t>.</w:t>
      </w:r>
      <w:r w:rsidR="009B0413" w:rsidRPr="000A384D">
        <w:tab/>
        <w:t>λαμβάνοντας υπόψη ότι το χάσμα των τιμών της ενέργειας μεταξύ της ΕΕ και των ΗΠΑ και της Κίνας υπονομεύει την ανταγωνιστικότητα των βιομηχανιών της ΕΕ· λαμβάνοντας υπόψη ότι οι υψηλές και ασταθείς τιμές των ορυκτών καυσίμων επηρεάζουν σε μεγάλο βαθμό τις τιμές της ηλεκτρικής ενέργειας και ότι το οικονομικά προσιτό κόστος των ανανεώσιμων πηγών ενέργειας δεν μεταφέρεται στους λογαριασμούς ενέργειας·</w:t>
      </w:r>
    </w:p>
    <w:p w:rsidR="009B0413" w:rsidRPr="000A384D" w:rsidRDefault="00753FE4" w:rsidP="000A47AB">
      <w:pPr>
        <w:pStyle w:val="NormalHanging12a"/>
        <w:widowControl/>
      </w:pPr>
      <w:r w:rsidRPr="000A384D">
        <w:t>ΣΤ</w:t>
      </w:r>
      <w:r w:rsidR="009B0413" w:rsidRPr="000A384D">
        <w:t>.</w:t>
      </w:r>
      <w:r w:rsidR="009B0413" w:rsidRPr="000A384D">
        <w:tab/>
        <w:t>λαμβάνοντας υπόψη ότι μια ανεπαρκώς ολοκληρωμένη ενεργειακή ένωση θέτει περαιτέρω προκλήσεις για τις ενεργοβόρες βιομηχανίες, ιδίως σε σχέση με την έλλειψη διασυνοριακών διασυνδέσεων και την περιορισμένη διαθεσιμότητα καθαρής ενέργειας, λόγω των χρονοβόρων διαδικασιών αδειοδότησης ή των υψηλών κεφαλαιουχικών ή λειτουργικών δαπανών, καθώς και της συμφόρησης του δικτύου·</w:t>
      </w:r>
    </w:p>
    <w:p w:rsidR="009B0413" w:rsidRPr="000A384D" w:rsidRDefault="00753FE4" w:rsidP="000A47AB">
      <w:pPr>
        <w:pStyle w:val="NormalHanging12a"/>
        <w:widowControl/>
      </w:pPr>
      <w:r w:rsidRPr="000A384D">
        <w:t>Ζ</w:t>
      </w:r>
      <w:r w:rsidR="009B0413" w:rsidRPr="000A384D">
        <w:t>.</w:t>
      </w:r>
      <w:r w:rsidR="009B0413" w:rsidRPr="000A384D">
        <w:tab/>
        <w:t>λαμβάνοντας υπόψη ότι το σύστημα εμπορίας εκπομπών (ΣΕΔΕ) παρείχε μακροπρόθεσμες επενδυτικές ενδείξεις, συμβάλλοντας έτσι στη μείωση των εκπομπών των τομέων του ΣΕΔΕ κατά 47 %· λαμβάνοντας υπόψη ότι η αγορά ενέργειας έχει αλλάξει ριζικά μετά τη θέσπιση του ΣΕΔΕ, ιδίως μετά την εισβολή της Ρωσίας στην Ουκρανία και τη μετάβαση από το αέριο αγωγών στο υγροποιημένο φυσικό αέριο (ΥΦΑ)· λαμβάνοντας υπόψη ότι η έλλειψη διαφάνειας στην αγορά ανθρακούχων εκπομπών ενέχει τον κίνδυνο παρεμπόδισης της ανταγωνιστικότητας των ενεργοβόρων βιομηχανιών· λαμβάνοντας υπόψη ότι τα έσοδα του ΣΕΔΕ χρησιμοποιούνται άνισα μεταξύ των κρατών μελών, καθώς δεν στηρίζουν επαρκώς την απαλλαγή των ενεργοβόρων βιομηχανιών από τις ανθρακούχες εκπομπές·</w:t>
      </w:r>
    </w:p>
    <w:p w:rsidR="009B0413" w:rsidRPr="000A384D" w:rsidRDefault="00753FE4" w:rsidP="000A47AB">
      <w:pPr>
        <w:pStyle w:val="NormalHanging12a"/>
        <w:widowControl/>
      </w:pPr>
      <w:r w:rsidRPr="000A384D">
        <w:t>Η</w:t>
      </w:r>
      <w:r w:rsidR="009B0413" w:rsidRPr="000A384D">
        <w:t>.</w:t>
      </w:r>
      <w:r w:rsidR="009B0413" w:rsidRPr="000A384D">
        <w:tab/>
        <w:t>λαμβάνοντας υπόψη ότι οι περιττές ρυθμιστικές επιβαρύνσεις και οι χρονοβόρες διαδικασίες αδειοδότησης υπονομεύουν το επιχειρηματικό σενάριο για επενδύσεις στην απαλλαγή από τις ανθρακούχες εκπομπές στην Ευρώπη· λαμβάνοντας υπόψη ότι η έννοια του υπέρτερου δημόσιου συμφέροντος προβλέπεται στη νομοθεσία της ΕΕ· λαμβάνοντας υπόψη ότι η πολύπλοκη και κατακερματισμένη χρηματοδότηση της ΕΕ εμποδίζει τις έγκαιρες επενδύσεις σε τεχνολογίες μηδενικών καθαρών εκπομπών και την ψηφιοποίηση, ιδίως για τις μικρές και μεσαίες επιχειρήσεις (ΜΜΕ)·</w:t>
      </w:r>
    </w:p>
    <w:p w:rsidR="009B0413" w:rsidRPr="000A384D" w:rsidRDefault="00753FE4" w:rsidP="000A47AB">
      <w:pPr>
        <w:pStyle w:val="NormalHanging12a"/>
        <w:widowControl/>
      </w:pPr>
      <w:r w:rsidRPr="000A384D">
        <w:lastRenderedPageBreak/>
        <w:t>Θ</w:t>
      </w:r>
      <w:r w:rsidR="009B0413" w:rsidRPr="000A384D">
        <w:t>.</w:t>
      </w:r>
      <w:r w:rsidR="009B0413" w:rsidRPr="000A384D">
        <w:tab/>
        <w:t>λαμβάνοντας υπόψη ότι η έλλειψη αναγκαίων ιδιωτικών επενδύσεων ενέχει τον κίνδυνο να παρεμποδίσει την απαλλαγή των ενεργοβόρων βιομηχανιών από τις ανθρακούχες εκπομπές· λαμβάνοντας υπόψη ότι η υπερβολική εξάρτηση από τις κρατικές ενισχύσεις μπορεί να έχει τις ανεπιθύμητες συνέπειες της επιδείνωσης των ανισοτήτων και της στρέβλωσης του ανταγωνισμού σε ολόκληρη την ΕΕ·</w:t>
      </w:r>
    </w:p>
    <w:p w:rsidR="009B0413" w:rsidRPr="000A384D" w:rsidRDefault="00753FE4" w:rsidP="000A47AB">
      <w:pPr>
        <w:pStyle w:val="NormalHanging12a"/>
        <w:widowControl/>
      </w:pPr>
      <w:r w:rsidRPr="000A384D">
        <w:t>Ι</w:t>
      </w:r>
      <w:r w:rsidR="009B0413" w:rsidRPr="000A384D">
        <w:t>.</w:t>
      </w:r>
      <w:r w:rsidR="009B0413" w:rsidRPr="000A384D">
        <w:tab/>
        <w:t>λαμβάνοντας υπόψη ότι οι εξαρτήσεις της ΕΕ και η περιορισμένη πρόσβαση, τόσο σε ποσότητα όσο και σε ποιότητα, σε πρωτογενείς και δευτερογενείς πρώτες ύλες θέτουν σημαντικές προκλήσεις για τις ενεργοβόρες βιομηχανίες· λαμβάνοντας υπόψη ότι η κυκλικότητα και η αποδοτικότητα μπορούν να συμβάλουν στη μείωση των ετήσιων επενδυτικών αναγκών στη βιομηχανία και στον ενεργειακό εφοδιασμό· λαμβάνοντας υπόψη ότι, επί του παρόντος, τα σιδηρούχα μέταλλα που εξάγονται σε τρίτες χώρες αντιπροσωπεύουν πάνω από το ήμισυ του συνόλου των εξαγωγών αποβλήτων της ΕΕ, γεγονός που εγείρει ανησυχίες σχετικά με την ορθή επεξεργασία τους·</w:t>
      </w:r>
    </w:p>
    <w:p w:rsidR="009B0413" w:rsidRPr="000A384D" w:rsidRDefault="009B0413" w:rsidP="000A47AB">
      <w:pPr>
        <w:pStyle w:val="NormalHanging12a"/>
        <w:widowControl/>
      </w:pPr>
      <w:r w:rsidRPr="000A384D">
        <w:t>Ι</w:t>
      </w:r>
      <w:r w:rsidR="00753FE4" w:rsidRPr="000A384D">
        <w:t>Α</w:t>
      </w:r>
      <w:r w:rsidRPr="000A384D">
        <w:t>.</w:t>
      </w:r>
      <w:r w:rsidRPr="000A384D">
        <w:tab/>
        <w:t>λαμβάνοντας υπόψη ότι ο αθέμιτος ανταγωνισμός από τρίτες χώρες, συμπεριλαμβανομένης της επιδοτούμενης πλεονάζουσας παραγωγικής ικανότητας, αποτελεί μεγάλη πρόκληση για τις εταιρείες της ΕΕ· λαμβάνοντας υπόψη ότι πολλές περιοχές ανά τον κόσμο δεν έχουν επί του παρόντος φιλόδοξους στόχους απαλλαγής από τις ανθρακούχες εκπομπές, αυξάνοντας έτσι τον κίνδυνο διαρροής άνθρακα·</w:t>
      </w:r>
    </w:p>
    <w:p w:rsidR="009B0413" w:rsidRPr="000A384D" w:rsidRDefault="009B0413" w:rsidP="000A47AB">
      <w:pPr>
        <w:pStyle w:val="NormalHanging12a"/>
        <w:widowControl/>
      </w:pPr>
      <w:r w:rsidRPr="000A384D">
        <w:t>Ι</w:t>
      </w:r>
      <w:r w:rsidR="00753FE4" w:rsidRPr="000A384D">
        <w:t>Β</w:t>
      </w:r>
      <w:r w:rsidRPr="000A384D">
        <w:t>.</w:t>
      </w:r>
      <w:r w:rsidRPr="000A384D">
        <w:tab/>
        <w:t>λαμβάνοντας υπόψη ότι ο ριζικός μετασχηματισμός των ενεργοβόρων βιομηχανιών δεν μπορεί να πετύχει χωρίς τη συμμετοχή των τοπικών και περιφερειακών κοινοτήτων, των εργαζομένων και των κοινωνικών εταίρων, οι οποίοι επηρεάζονται σε μεγάλο βαθμό από τη μετάβαση·</w:t>
      </w:r>
    </w:p>
    <w:p w:rsidR="009B0413" w:rsidRPr="000A384D" w:rsidRDefault="000A384D" w:rsidP="000A384D">
      <w:pPr>
        <w:pStyle w:val="NormalHanging12a"/>
        <w:widowControl/>
        <w:ind w:left="570" w:hanging="570"/>
      </w:pPr>
      <w:r w:rsidRPr="000A384D">
        <w:t>1.</w:t>
      </w:r>
      <w:r w:rsidRPr="000A384D">
        <w:tab/>
      </w:r>
      <w:r w:rsidR="009B0413" w:rsidRPr="000A384D">
        <w:t>επαναλαμβάνει την προσήλωσή του στους στόχους της ΕΕ για απαλλαγή από τις ανθρακούχες εκπομπές και σε σταθερές και προβλέψιμες κλιματικές και βιομηχανικές πολιτικές·</w:t>
      </w:r>
    </w:p>
    <w:p w:rsidR="009B0413" w:rsidRPr="000A384D" w:rsidRDefault="000A384D" w:rsidP="000A384D">
      <w:pPr>
        <w:pStyle w:val="NormalHanging12a"/>
        <w:widowControl/>
        <w:ind w:left="570" w:hanging="570"/>
      </w:pPr>
      <w:r w:rsidRPr="000A384D">
        <w:t>2.</w:t>
      </w:r>
      <w:r w:rsidRPr="000A384D">
        <w:tab/>
      </w:r>
      <w:r w:rsidR="009B0413" w:rsidRPr="000A384D">
        <w:t>καλεί τα κράτη μέλη να επιταχύνουν τις διαδικασίες αδειοδότησης για έργα καθαρής ενέργειας, διασφαλίζοντας τη διοικητική ικανότητα, και να διευκολύνουν τις συνδέσεις με το δίκτυο ώστε να καταστεί δυνατή η καθαρή, επιτόπια παραγωγή ενέργειας, ιδίως σε απομακρυσμένες περιοχές· τονίζει ότι η ανάπτυξη των ανανεώσιμων πηγών ενέργειας και ο εξηλεκτρισμός θα απαιτήσουν μαζικές επενδύσεις στα δίκτυα και στην ευελιξία, την αποθήκευση και τα δίκτυα διανομής· καλεί την Επιτροπή να αναπτύξει, πέραν της έννοιας του υπέρτερου δημόσιου συμφέροντος, λύσεις για την επιτάχυνση των έργων απαλλαγής από τις ανθρακούχες εκπομπές·</w:t>
      </w:r>
    </w:p>
    <w:p w:rsidR="009B0413" w:rsidRPr="000A384D" w:rsidRDefault="000A384D" w:rsidP="000A384D">
      <w:pPr>
        <w:pStyle w:val="NormalHanging12a"/>
        <w:widowControl/>
        <w:ind w:left="570" w:hanging="570"/>
      </w:pPr>
      <w:r w:rsidRPr="000A384D">
        <w:t>3.</w:t>
      </w:r>
      <w:r w:rsidRPr="000A384D">
        <w:tab/>
      </w:r>
      <w:r w:rsidR="009B0413" w:rsidRPr="000A384D">
        <w:t xml:space="preserve">πιστεύει ότι απαιτείται περαιτέρω δράση για την εφαρμογή των κανόνων σχεδιασμού της αγοράς ηλεκτρικής ενέργειας, ιδίως για την προώθηση των συμβάσεων αγοράς ηλεκτρικής ενέργειας (ΣΑΗΕ) και των αμφίδρομων συμβάσεων επί διαφοράς (CfD) για τη μείωση της αστάθειας και του ενεργειακού κόστους για τις ενεργοβόρες βιομηχανίες· καλεί την Επιτροπή να προτείνει επείγοντα μέτρα για την αντιμετώπιση των υφιστάμενων φραγμών στην υπογραφή μακροπρόθεσμων συμφωνιών, ιδίως για τις ΜΜΕ, χρησιμοποιώντας μέσα και εγγυήσεις για τη μείωση του κινδύνου, συμπεριλαμβανομένης της δημόσιας εγγύησης, όπως από την Ευρωπαϊκή Τράπεζα Επενδύσεων (ΕΤΕπ)· προτείνει να διερευνηθούν πρόσθετοι τρόποι για την αποσύνδεση των τιμών των ορυκτών καυσίμων από τις τιμές της ηλεκτρικής ενέργειας, στο πλαίσιο της αγοράς ηλεκτρικής ενέργειας, μεταξύ άλλων με στόχο την ενίσχυση των μακροπρόθεσμων συμβάσεων σύμφωνα με το οικονομικά προσιτό σχέδιο δράσης για </w:t>
      </w:r>
      <w:r w:rsidR="009B0413" w:rsidRPr="000A384D">
        <w:lastRenderedPageBreak/>
        <w:t>την ενέργεια, και με την προώθηση της ανάλυσης των βραχυπρόθεσμων αγορών έως το 2025</w:t>
      </w:r>
      <w:r w:rsidR="00753FE4" w:rsidRPr="000A384D">
        <w:t>, ώστε να εξεταστούν εναλλακτικές δυνατότητες σχεδιασμού της αγοράς</w:t>
      </w:r>
      <w:r w:rsidRPr="000A384D">
        <w:t>’</w:t>
      </w:r>
    </w:p>
    <w:p w:rsidR="009B0413" w:rsidRPr="000A384D" w:rsidRDefault="000A384D" w:rsidP="000A384D">
      <w:pPr>
        <w:pStyle w:val="NormalHanging12a"/>
        <w:widowControl/>
        <w:ind w:left="570" w:hanging="570"/>
      </w:pPr>
      <w:r w:rsidRPr="000A384D">
        <w:t>4.</w:t>
      </w:r>
      <w:r w:rsidRPr="000A384D">
        <w:tab/>
      </w:r>
      <w:r w:rsidR="009B0413" w:rsidRPr="000A384D">
        <w:t>καλεί την Επιτροπή να αξιολογήσει τη δυνατότητα κλιμάκωσης των βέλτιστων πρακτικών για τις ενεργοβόρες βιομηχανίες από τα κράτη μέλη, όπως η απελευθέρωση ενέργειας από την Ιταλία· καλεί την Επιτροπή να αναπτύξει συστάσεις για τη μείωση της έκθεσης των καταναλωτών, και ιδίως των ενεργοβόρων βιομηχανιών, στην αύξηση του ενεργειακού κόστους, όπως με τη μείωση των φόρων και των εισφορών και την εναρμόνιση των τελών δικτύου, διασφαλίζοντας παράλληλα τις δημόσιες επενδύσεις σε δίκτυα·</w:t>
      </w:r>
    </w:p>
    <w:p w:rsidR="009B0413" w:rsidRPr="000A384D" w:rsidRDefault="000A384D" w:rsidP="000A384D">
      <w:pPr>
        <w:pStyle w:val="NormalHanging12a"/>
        <w:widowControl/>
        <w:ind w:left="570" w:hanging="570"/>
      </w:pPr>
      <w:r w:rsidRPr="000A384D">
        <w:t>5.</w:t>
      </w:r>
      <w:r w:rsidRPr="000A384D">
        <w:tab/>
      </w:r>
      <w:r w:rsidR="009B0413" w:rsidRPr="000A384D">
        <w:t>ζητεί την ενίσχυση της ενοποίησης του ενεργειακού συστήματος, ιδίως σε σχέση με τις διασυνοριακές διασυνδέσεις, προκειμένου να διασφαλιστεί καθαρός και ανθεκτικός ενεργειακός εφοδιασμός· ζητεί να αυξηθούν οι επενδύσεις σε ευέλικτες λύσεις, όπως η αποθήκευση, συμπεριλαμβανομένης της αποθήκευσης υδροηλεκτρικής ενέργειας μέσω άντλησης και της αποθήκευσης θερμότητας και απορριπτόμενης θερμότητας, και η απόκριση ζήτησης, για τη βελτιστοποίηση της σταθερότητας του δικτύου· υπενθυμίζει τη σημασία της ενεργειακής απόδοσης για τη μείωση του κόστους·</w:t>
      </w:r>
    </w:p>
    <w:p w:rsidR="00A23FF9" w:rsidRPr="000A384D" w:rsidRDefault="000A384D" w:rsidP="000A384D">
      <w:pPr>
        <w:pStyle w:val="NormalHanging12a"/>
        <w:widowControl/>
        <w:ind w:left="570" w:hanging="570"/>
      </w:pPr>
      <w:r w:rsidRPr="000A384D">
        <w:t>6.</w:t>
      </w:r>
      <w:r w:rsidRPr="000A384D">
        <w:tab/>
      </w:r>
      <w:r w:rsidR="00A23FF9" w:rsidRPr="00A23FF9">
        <w:t>υπογραμμίζει την ανάγκη σταδιακής κατάργησης του φυσικού αερίου το συντομότερο δυνατόν·</w:t>
      </w:r>
      <w:r w:rsidR="00A23FF9">
        <w:t xml:space="preserve"> </w:t>
      </w:r>
      <w:r w:rsidR="00A23FF9" w:rsidRPr="00A23FF9">
        <w:t>τονίζει ότι ορισμένοι τομείς δεν μπορούν να βασίζονται ουσιαστικά στον εξηλεκτρισμό βραχυπρόθεσμα και μεσοπρόθεσμα· υπογραμμίζει ότι η δέσμευση, η χρήση και η αποθήκευση διοξειδίου του άνθρακα διαδραματίζουν καίριο ρόλο στην απανθρακοποίηση των τομέων της οικονομίας που είναι δύσκολο να μειώσουν τις εκπομπές τους και στην παραγωγή προϊόντων χαμηλών ανθρακούχων εκπομπών, συμπεριλαμβανομένου του υδρογόνου χαμηλών ανθρακούχων εκπομπών· καλεί τα κράτη μέλη – κατά το ίδιο χρονικό διάστημα και ειδικά για αυτούς τους περιορισμένους τομείς – να αναπτύξουν μέτρα για την αντιμετώπιση των αυξήσεων των τιμών του φυσικού αερίου σε δεόντως αιτιολογημένες περιπτώσεις· καλεί την Επιτροπή να αναπτύξει εργαλεία για να διασφαλισθεί ο εφοδιασμός με αέριο με μειωμένο κόστος, καθιστώντας δυνατή τη συγκέντρωση της ζήτησης, με βάση το AggregateEU, και επιτρέποντας τις από κοινού αγορές φυσικού αερίου, διατηρώντας παράλληλα τους στόχους απαλλαγής από τις ανθρακούχες εκπομπές· τονίζει τη σημασία της ενθάρρυνσης σταθερών συμβάσεων με τους προμηθευτές φυσικού αερίου, της διαφοροποίησης των οδών εφοδιασμού και της βελτίωσης της διαφάνειας και της σταθερότητας της αγοράς, σύμφωνα με την ισχύουσα νομοθεσία· ζητεί να διενεργηθεί εκτίμηση επιπτώσεων στην επικείμενη επανεξέταση του ΣΕΔΕ, προκειμένου να αναλυθεί η σχέση μεταξύ της αγοράς φυσικού αερίου και των τιμών CO</w:t>
      </w:r>
      <w:r w:rsidR="00A23FF9" w:rsidRPr="00A23FF9">
        <w:rPr>
          <w:vertAlign w:val="subscript"/>
        </w:rPr>
        <w:t>2</w:t>
      </w:r>
      <w:r w:rsidR="00A23FF9" w:rsidRPr="00A23FF9">
        <w:t xml:space="preserve"> και ο ρόλος του αποθεματικού για τη σταθερότητα της αγοράς και των παραμέτρων του·</w:t>
      </w:r>
    </w:p>
    <w:p w:rsidR="009B0413" w:rsidRPr="000A384D" w:rsidRDefault="000A384D" w:rsidP="000A384D">
      <w:pPr>
        <w:pStyle w:val="NormalHanging12a"/>
        <w:widowControl/>
        <w:ind w:left="570" w:hanging="570"/>
      </w:pPr>
      <w:r w:rsidRPr="000A384D">
        <w:t>7.</w:t>
      </w:r>
      <w:r w:rsidRPr="000A384D">
        <w:tab/>
      </w:r>
      <w:r w:rsidR="009B0413" w:rsidRPr="000A384D">
        <w:t xml:space="preserve">καλεί την Επιτροπή να στηρίξει τις ενεργοβόρες βιομηχανίες στην υιοθέτηση καθαρών τεχνολογιών μηδενικών καθαρών εκπομπών, </w:t>
      </w:r>
      <w:r w:rsidR="00753FE4" w:rsidRPr="000A384D">
        <w:t xml:space="preserve">συμπεριλαμβανομένων της δέσμευσης και της αποθήκευσης άνθρακα και του υδρογόνου χαμηλών ανθρακούχων εκπομπών, </w:t>
      </w:r>
      <w:r w:rsidR="009B0413" w:rsidRPr="000A384D">
        <w:t>και ενεργειακά αποδοτικών μεθόδων παραγωγής, ενισχύοντας τους μηχανισμούς χρηματοδότησης και διασφαλίζοντας ότι τα έσοδα του ΣΕΔΕ χρησιμοποιούνται αποτελεσματικά από τα κράτη μέλη· ζητεί να συμπληρωθεί η στήριξη σε επίπεδο ΕΕ με κρατικές ενισχύσεις που θα επιτρέπουν τη στοχευμένη</w:t>
      </w:r>
      <w:r w:rsidR="00753FE4" w:rsidRPr="000A384D">
        <w:t xml:space="preserve"> και τεχνολογικά ουδέτερη </w:t>
      </w:r>
      <w:r w:rsidR="009B0413" w:rsidRPr="000A384D">
        <w:t>στήριξη των ενεργοβόρων βιομηχανιών, διατηρώντας παράλληλα ισότιμους όρους ανταγωνισμού εντός της ενιαίας αγοράς·</w:t>
      </w:r>
    </w:p>
    <w:p w:rsidR="009B0413" w:rsidRPr="000A384D" w:rsidRDefault="000A384D" w:rsidP="000A384D">
      <w:pPr>
        <w:pStyle w:val="NormalHanging12a"/>
        <w:widowControl/>
        <w:ind w:left="570" w:hanging="570"/>
      </w:pPr>
      <w:r w:rsidRPr="000A384D">
        <w:lastRenderedPageBreak/>
        <w:t>8.</w:t>
      </w:r>
      <w:r w:rsidRPr="000A384D">
        <w:tab/>
      </w:r>
      <w:r w:rsidR="009B0413" w:rsidRPr="000A384D">
        <w:t>ζητεί να συμπληρωθεί το InvestEU πριν από το επόμενο πολυετές δημοσιονομικό πλαίσιο (ΠΔΠ) και τα εναπομένοντα δάνεια του Μηχανισμού Ανάκαμψης και Ανθεκτικότητας να στηρίξουν τις επενδύσεις στην απαλλαγή των ενεργοβόρων βιομηχανιών από τις ανθρακούχες εκπομπές· σημειώνει ότι η πλατφόρμα στρατηγικών τεχνολογιών για την Ευρώπη παρέχει ήδη ευελιξία στο πλαίσιο των τρεχόντων προγραμμάτων, αλλά όχι σε επαρκή βαθμό· επιμένει ότι το επικείμενο ΠΔΠ πρέπει να αυξήσει τη χρηματοδότηση για τη στήριξη των ενεργοβόρων βιομηχανιών, με βάση το Ταμείο Καινοτομίας και τον μηχανισμό «Συνδέοντας την Ευρώπη — Ενέργεια» ή μέσω του ταμείου ανταγωνιστικότητας· τονίζει ότι η Ευρωπαϊκή Τράπεζα Υδρογόνου και το πρόγραμμα συμβάσεων επί διαφοράς για τον άνθρακα πρέπει να κλιμακωθούν· καλεί την Επιτροπή να αξιοποιήσει την πράξη για τη βιομηχανία των μηδενικών καθαρών εκπομπών</w:t>
      </w:r>
      <w:r w:rsidR="009B0413" w:rsidRPr="000A384D">
        <w:rPr>
          <w:rStyle w:val="FootnoteReference"/>
        </w:rPr>
        <w:footnoteReference w:id="1"/>
      </w:r>
      <w:r w:rsidR="009B0413" w:rsidRPr="000A384D">
        <w:t xml:space="preserve"> στην επικείμενη πράξη για την επιτάχυνση της απανθρακοποίησης, ώστε να εξορθολογιστούν οι διαδικασίες για τη χορήγηση αδειών και τη χορήγηση καθεστώτος έργου στρατηγικής σημασίας·</w:t>
      </w:r>
    </w:p>
    <w:p w:rsidR="009B0413" w:rsidRPr="000A384D" w:rsidRDefault="000A384D" w:rsidP="000A384D">
      <w:pPr>
        <w:pStyle w:val="NormalHanging12a"/>
        <w:widowControl/>
        <w:ind w:left="570" w:hanging="570"/>
      </w:pPr>
      <w:r w:rsidRPr="000A384D">
        <w:t>9.</w:t>
      </w:r>
      <w:r w:rsidRPr="000A384D">
        <w:tab/>
      </w:r>
      <w:r w:rsidR="009B0413" w:rsidRPr="000A384D">
        <w:t>τονίζει την ανάγκη απλούστευσης των γραφειοκρατικών διαδικασιών για την ενίσχυση της ελκυστικότητας των ιδιωτικών επενδύσεων και τη στήριξη της μετάβασης των ενεργοβόρων βιομηχανιών· πιστεύει ότι τόσο το InvestEU όσο και η ΕΤΕπ είναι καίριας σημασίας για την κινητοποίηση ιδιωτικής χρηματοδότησης, ιδίως μέσω μέτρων ελαχιστοποίησης των κινδύνων·</w:t>
      </w:r>
    </w:p>
    <w:p w:rsidR="009B0413" w:rsidRPr="000A384D" w:rsidRDefault="000A384D" w:rsidP="000A384D">
      <w:pPr>
        <w:pStyle w:val="NormalHanging12a"/>
        <w:widowControl/>
        <w:ind w:left="570" w:hanging="570"/>
      </w:pPr>
      <w:r w:rsidRPr="000A384D">
        <w:t>10.</w:t>
      </w:r>
      <w:r w:rsidRPr="000A384D">
        <w:tab/>
      </w:r>
      <w:r w:rsidR="009B0413" w:rsidRPr="000A384D">
        <w:t>τονίζει την ανάγκη να διασφαλιστεί η πρόσβαση σε κρίσιμες πρώτες ύλες· τονίζει ότι η επικείμενη πράξη για την κυκλική οικονομία θα πρέπει να βελτιώσει την αποδοτική χρήση των πόρων, μεταξύ άλλων μέσω της καλύτερης διαχείρισης των αποβλήτων προϊόντων που περιέχουν κρίσιμες πρώτες ύλες, καθώς και μέσω της προώθησης της ζήτησης και της διαθεσιμότητας δευτερογενών πρώτων υλών· τονίζει την ανάγκη να καθοριστεί ποιες δευτερογενείς πρώτες ύλες —για παράδειγμα ο χάλυβας και τα απορρίμματα μετάλλων— είναι στρατηγικής σημασίας και θα πρέπει να υπόκεινται σε παρακολούθηση των εξαγωγών, και να αντιμετωπιστεί κάθε ανισορροπία στην προσφορά και τη ζήτηση, μεταξύ άλλων με τη διερεύνηση εξαγωγικών περιορισμών· επιμένει στην αποτελεσματική επιβολή του κανονισμού για τις μεταφορές αποβλήτων</w:t>
      </w:r>
      <w:r w:rsidR="009B0413" w:rsidRPr="000A384D">
        <w:rPr>
          <w:rStyle w:val="FootnoteReference"/>
        </w:rPr>
        <w:footnoteReference w:id="2"/>
      </w:r>
      <w:r w:rsidR="009B0413" w:rsidRPr="000A384D">
        <w:t>·</w:t>
      </w:r>
    </w:p>
    <w:p w:rsidR="009B0413" w:rsidRPr="000A384D" w:rsidRDefault="000A384D" w:rsidP="000A384D">
      <w:pPr>
        <w:pStyle w:val="NormalHanging12a"/>
        <w:widowControl/>
        <w:ind w:left="570" w:hanging="570"/>
      </w:pPr>
      <w:r w:rsidRPr="000A384D">
        <w:t>11.</w:t>
      </w:r>
      <w:r w:rsidRPr="000A384D">
        <w:tab/>
      </w:r>
      <w:r w:rsidR="009B0413" w:rsidRPr="000A384D">
        <w:t>καλεί την Επιτροπή να αξιοποιήσει πλήρως και αποτελεσματικά τα μέσα εμπορικής άμυνας· καλεί την Επιτροπή να βρει μόνιμη λύση για την αντιμετώπιση του αθέμιτου ανταγωνισμού και της διαρθρωτικής πλεονάζουσας παραγωγικής ικανότητας, πριν από τη λήξη των ισχυόντων μέτρων διασφάλισης για τον χάλυβα το 2026· καλεί την Επιτροπή να συνεργαστεί με τις ΗΠΑ σε σχέση με τους εξαγγελθέντες δασμούς στις εισαγωγές της ΕΕ και να αποφύγει κάθε επιβλαβή κλιμάκωση·</w:t>
      </w:r>
    </w:p>
    <w:p w:rsidR="009B0413" w:rsidRPr="000A384D" w:rsidRDefault="000A384D" w:rsidP="000A384D">
      <w:pPr>
        <w:pStyle w:val="NormalHanging12a"/>
        <w:widowControl/>
        <w:ind w:left="570" w:hanging="570"/>
      </w:pPr>
      <w:r w:rsidRPr="000A384D">
        <w:lastRenderedPageBreak/>
        <w:t>12.</w:t>
      </w:r>
      <w:r w:rsidRPr="000A384D">
        <w:tab/>
      </w:r>
      <w:r w:rsidR="009B0413" w:rsidRPr="000A384D">
        <w:t>τονίζει ότι η αποτελεσματική εφαρμογή του μηχανισμού συνοριακής προσαρμογής άνθρακα (ΜΣΠΑ) είναι απαραίτητη για τη διασφάλιση ισότιμων όρων ανταγωνισμού για τις βιομηχανίες της ΕΕ και την πρόληψη της διαρροής άνθρακα, λαμβάνοντας υπόψη τον αντίκτυπο της παράλληλης σταδιακής κατάργησης των δωρεάν δικαιωμάτων του ΣΕΔΕ και τον κίνδυνο αύξησης του κόστους παραγωγής· καλεί την Επιτροπή να αντιμετωπίσει τους κινδύνους της ανακατανομής πόρων και της καταστρατήγησης του ΜΣΠΑ· ζητεί, επιπλέον, την εφαρμογή μιας αποτελεσματικής λύσης για τους εξαγωγείς της ΕΕ και την ανάλυση της πιθανής επέκτασης σε περαιτέρω τομείς και κατάντη προϊόντα, κατόπιν εκτίμησης επιπτώσεων·</w:t>
      </w:r>
    </w:p>
    <w:p w:rsidR="009B0413" w:rsidRPr="000A384D" w:rsidRDefault="000A384D" w:rsidP="000A384D">
      <w:pPr>
        <w:pStyle w:val="NormalHanging12a"/>
        <w:widowControl/>
        <w:ind w:left="570" w:hanging="570"/>
      </w:pPr>
      <w:r w:rsidRPr="000A384D">
        <w:t>13.</w:t>
      </w:r>
      <w:r w:rsidRPr="000A384D">
        <w:tab/>
      </w:r>
      <w:r w:rsidR="009B0413" w:rsidRPr="000A384D">
        <w:t>ζητεί τη δημιουργία πρωτοπόρων αγορών για καθαρά και κυκλικά ευρωπαϊκά προϊόντα, μέσω μη τιμολογιακών κριτηρίων στις δημόσιες συμβάσεις της ΕΕ, όπως η βιωσιμότητα και η ανθεκτικότητα, και η ευρωπαϊκή προτίμηση για στρατηγικούς τομείς, καθώς και μέσω της δημιουργίας εθελοντικών συστημάτων επισήμανσης και ελάχιστων απαιτήσεων περιεχομένου της ΕΕ με οικονομικά αποδοτικό τρόπο·</w:t>
      </w:r>
    </w:p>
    <w:p w:rsidR="009B0413" w:rsidRPr="000A384D" w:rsidRDefault="000A384D" w:rsidP="000A384D">
      <w:pPr>
        <w:pStyle w:val="NormalHanging12a"/>
        <w:widowControl/>
        <w:ind w:left="570" w:hanging="570"/>
      </w:pPr>
      <w:r w:rsidRPr="000A384D">
        <w:t>14.</w:t>
      </w:r>
      <w:r w:rsidRPr="000A384D">
        <w:tab/>
      </w:r>
      <w:r w:rsidR="009B0413" w:rsidRPr="000A384D">
        <w:t>τονίζει τη σημασία μιας δίκαιης μετάβασης για την παροχή βοήθειας σε περιοχές που εξαρτώνται σε μεγάλο βαθμό από τις ενεργοβόρες βιομηχανίες, με τη διατήρηση και τη δημιουργία ποιοτικών θέσεων εργασίας μέσω προγραμμάτων αναβάθμισης των δεξιοτήτων και επανειδίκευσης για τους εργαζομένους και μέσω της αποτελεσματικής χρήσης περιφερειακών μηχανισμών στήριξης, όπως το Ταμείο Δίκαιης Μετάβασης και το Ταμείο Συνοχής· τονίζει ότι η δημόσια στήριξη θα είναι καθοριστική για τη μετάβαση των ενεργοβόρων βιομηχανιών και ότι η στήριξη αυτή θα πρέπει να συνδέεται με τη δέσμευσή τους για τη διασφάλιση της απασχόλησης και των συνθηκών εργασίας και την πρόληψη της μετεγκατάστασης της παραγωγής· εκφράζει την ικανοποίησή του για την πρωτοβουλία «Ένωση δεξιοτήτων» για τη διασφάλιση της καλής αντιστοίχισης των δεξιοτήτων με τις απαιτήσεις της αγοράς εργασίας·</w:t>
      </w:r>
    </w:p>
    <w:p w:rsidR="00BE5862" w:rsidRPr="000A384D" w:rsidRDefault="000A384D" w:rsidP="000A384D">
      <w:pPr>
        <w:pStyle w:val="NormalHanging12a"/>
        <w:widowControl/>
        <w:ind w:left="570" w:hanging="570"/>
      </w:pPr>
      <w:r w:rsidRPr="000A384D">
        <w:t>15.</w:t>
      </w:r>
      <w:r w:rsidRPr="000A384D">
        <w:tab/>
      </w:r>
      <w:r w:rsidR="009B0413" w:rsidRPr="000A384D">
        <w:t>αναθέτει στην Πρόεδρό του να διαβιβάσει το παρόν ψήφισμα στην Επιτροπή, στο Συμβούλιο, καθώς και στις κυβερνήσεις και τα κοινοβούλια των κρατών μελών.</w:t>
      </w:r>
    </w:p>
    <w:p w:rsidR="00E365E1" w:rsidRPr="000A384D" w:rsidRDefault="00E365E1" w:rsidP="000A47AB">
      <w:pPr>
        <w:widowControl/>
        <w:spacing w:after="240"/>
        <w:ind w:left="207" w:hanging="567"/>
      </w:pPr>
    </w:p>
    <w:p w:rsidR="000A47AB" w:rsidRPr="000A384D" w:rsidRDefault="000A47AB" w:rsidP="000A47AB">
      <w:pPr>
        <w:widowControl/>
        <w:spacing w:after="240"/>
        <w:ind w:left="207" w:hanging="567"/>
      </w:pPr>
    </w:p>
    <w:sectPr w:rsidR="000A47AB" w:rsidRPr="000A384D" w:rsidSect="00BE586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1588" w:rsidRPr="00BE5862" w:rsidRDefault="00661588">
      <w:r w:rsidRPr="00BE5862">
        <w:separator/>
      </w:r>
    </w:p>
  </w:endnote>
  <w:endnote w:type="continuationSeparator" w:id="0">
    <w:p w:rsidR="00661588" w:rsidRPr="00BE5862" w:rsidRDefault="00661588">
      <w:r w:rsidRPr="00BE58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586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586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58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1588" w:rsidRPr="00BE5862" w:rsidRDefault="00661588">
      <w:r w:rsidRPr="00BE5862">
        <w:separator/>
      </w:r>
    </w:p>
  </w:footnote>
  <w:footnote w:type="continuationSeparator" w:id="0">
    <w:p w:rsidR="00661588" w:rsidRPr="00BE5862" w:rsidRDefault="00661588">
      <w:r w:rsidRPr="00BE5862">
        <w:continuationSeparator/>
      </w:r>
    </w:p>
  </w:footnote>
  <w:footnote w:id="1">
    <w:p w:rsidR="009B0413" w:rsidRPr="00BE5862" w:rsidRDefault="009B0413" w:rsidP="00BE5862">
      <w:pPr>
        <w:pStyle w:val="FootnoteText"/>
        <w:ind w:left="567" w:hanging="567"/>
        <w:rPr>
          <w:sz w:val="24"/>
          <w:lang w:val="el-GR"/>
        </w:rPr>
      </w:pPr>
      <w:r w:rsidRPr="00BE5862">
        <w:rPr>
          <w:rStyle w:val="FootnoteReference"/>
          <w:sz w:val="24"/>
          <w:lang w:val="el-GR"/>
        </w:rPr>
        <w:footnoteRef/>
      </w:r>
      <w:r w:rsidR="00BE5862" w:rsidRPr="00BE5862">
        <w:rPr>
          <w:sz w:val="24"/>
          <w:lang w:val="el-GR"/>
        </w:rPr>
        <w:t xml:space="preserve"> </w:t>
      </w:r>
      <w:r w:rsidR="00BE5862" w:rsidRPr="00BE5862">
        <w:rPr>
          <w:sz w:val="24"/>
          <w:lang w:val="el-GR"/>
        </w:rPr>
        <w:tab/>
      </w:r>
      <w:r w:rsidRPr="00BE5862">
        <w:rPr>
          <w:sz w:val="24"/>
          <w:lang w:val="el-GR"/>
        </w:rPr>
        <w:t xml:space="preserve">Κανονισμός (ΕΕ) 2024/1735 του Ευρωπαϊκού Κοινοβουλίου και του Συμβουλίου, της 13ης Ιουνίου 2024, σχετικά με τη θέσπιση πλαισίου μέτρων για την ενίσχυση του οικοσυστήματος παραγωγής τεχνολογιών μηδενικών καθαρών εκπομπών της Ευρώπης και την τροποποίηση του κανονισμού (ΕΕ) 2018/1724 (ΕΕ L, 2024/1735, 28.6.2024, ELI: </w:t>
      </w:r>
      <w:hyperlink r:id="rId1" w:history="1">
        <w:r w:rsidRPr="000A47AB">
          <w:rPr>
            <w:rStyle w:val="Hyperlink"/>
            <w:sz w:val="24"/>
            <w:lang w:val="el-GR"/>
          </w:rPr>
          <w:t>http://data.europa.eu/eli/reg/2024/1735/oj</w:t>
        </w:r>
      </w:hyperlink>
      <w:r w:rsidRPr="00BE5862">
        <w:rPr>
          <w:sz w:val="24"/>
          <w:lang w:val="el-GR"/>
        </w:rPr>
        <w:t>).</w:t>
      </w:r>
    </w:p>
  </w:footnote>
  <w:footnote w:id="2">
    <w:p w:rsidR="009B0413" w:rsidRPr="00BE5862" w:rsidRDefault="009B0413" w:rsidP="00BE5862">
      <w:pPr>
        <w:pStyle w:val="FootnoteText"/>
        <w:ind w:left="567" w:hanging="567"/>
        <w:rPr>
          <w:sz w:val="24"/>
          <w:lang w:val="el-GR"/>
        </w:rPr>
      </w:pPr>
      <w:r w:rsidRPr="00BE5862">
        <w:rPr>
          <w:rStyle w:val="FootnoteReference"/>
          <w:sz w:val="24"/>
          <w:lang w:val="el-GR"/>
        </w:rPr>
        <w:footnoteRef/>
      </w:r>
      <w:r w:rsidR="00BE5862" w:rsidRPr="00BE5862">
        <w:rPr>
          <w:sz w:val="24"/>
          <w:lang w:val="el-GR"/>
        </w:rPr>
        <w:t xml:space="preserve"> </w:t>
      </w:r>
      <w:r w:rsidR="00BE5862" w:rsidRPr="00BE5862">
        <w:rPr>
          <w:sz w:val="24"/>
          <w:lang w:val="el-GR"/>
        </w:rPr>
        <w:tab/>
      </w:r>
      <w:r w:rsidRPr="00BE5862">
        <w:rPr>
          <w:sz w:val="24"/>
          <w:lang w:val="el-GR"/>
        </w:rPr>
        <w:t>Κανονισμός (ΕΕ) 2024/1157 του Ευρωπαϊκού Κοινοβουλίου και του Συμβουλίου, της 11ης Απριλίου 2024, για τις μεταφορές αποβλήτων και την τροποποίηση των κανονισμών (ΕΕ) αριθ. 1257/2013 και (ΕΕ) 2020/1056 και την κατάργηση του κανονισμού (ΕΚ) αριθ. 1013/2006 (ΕΕ L, 2024/1157, 30.4.2024, ELI: </w:t>
      </w:r>
      <w:hyperlink r:id="rId2" w:history="1">
        <w:r w:rsidRPr="000A47AB">
          <w:rPr>
            <w:rStyle w:val="Hyperlink"/>
            <w:sz w:val="24"/>
            <w:lang w:val="el-GR"/>
          </w:rPr>
          <w:t>http://data.europa.eu/eli/reg/2024/1157/oj</w:t>
        </w:r>
      </w:hyperlink>
      <w:r w:rsidRPr="00BE5862">
        <w:rPr>
          <w:sz w:val="24"/>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586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586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58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4080BF9"/>
    <w:multiLevelType w:val="hybridMultilevel"/>
    <w:tmpl w:val="FEDA7894"/>
    <w:lvl w:ilvl="0" w:tplc="CDB40EE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A72575"/>
    <w:multiLevelType w:val="hybridMultilevel"/>
    <w:tmpl w:val="4628BE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2"/>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09/2025"/>
    <w:docVar w:name="dvlangue" w:val="EL"/>
    <w:docVar w:name="dvnumam" w:val="0"/>
    <w:docVar w:name="dvpe" w:val="772.489"/>
    <w:docVar w:name="dvtitre" w:val="Ψήφισμα του Ευρωπαϊκού Κοινοβουλίου σχετικά με τις ενεργοβόρες βιομηχανίες(2025/2536(RSP))"/>
  </w:docVars>
  <w:rsids>
    <w:rsidRoot w:val="00661588"/>
    <w:rsid w:val="00002272"/>
    <w:rsid w:val="00064002"/>
    <w:rsid w:val="000677B9"/>
    <w:rsid w:val="000831BA"/>
    <w:rsid w:val="000A384D"/>
    <w:rsid w:val="000A42CC"/>
    <w:rsid w:val="000A47AB"/>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1588"/>
    <w:rsid w:val="006631B6"/>
    <w:rsid w:val="00680577"/>
    <w:rsid w:val="006F74FA"/>
    <w:rsid w:val="00731ADD"/>
    <w:rsid w:val="00734777"/>
    <w:rsid w:val="00747932"/>
    <w:rsid w:val="00751A4A"/>
    <w:rsid w:val="00753FE4"/>
    <w:rsid w:val="00756632"/>
    <w:rsid w:val="00762C74"/>
    <w:rsid w:val="00786EC0"/>
    <w:rsid w:val="007D1690"/>
    <w:rsid w:val="007E22AD"/>
    <w:rsid w:val="00807E9D"/>
    <w:rsid w:val="00817416"/>
    <w:rsid w:val="00842779"/>
    <w:rsid w:val="00865F67"/>
    <w:rsid w:val="00881A7B"/>
    <w:rsid w:val="008840E5"/>
    <w:rsid w:val="00887B3E"/>
    <w:rsid w:val="008C2AC6"/>
    <w:rsid w:val="00930C23"/>
    <w:rsid w:val="0093193B"/>
    <w:rsid w:val="009509D8"/>
    <w:rsid w:val="00950B64"/>
    <w:rsid w:val="00981893"/>
    <w:rsid w:val="009B0413"/>
    <w:rsid w:val="00A1687D"/>
    <w:rsid w:val="00A23FF9"/>
    <w:rsid w:val="00A43E52"/>
    <w:rsid w:val="00A4678D"/>
    <w:rsid w:val="00A778C7"/>
    <w:rsid w:val="00AB441E"/>
    <w:rsid w:val="00AB6293"/>
    <w:rsid w:val="00AE0928"/>
    <w:rsid w:val="00AE3156"/>
    <w:rsid w:val="00AF3B82"/>
    <w:rsid w:val="00B12E95"/>
    <w:rsid w:val="00B22876"/>
    <w:rsid w:val="00B558F0"/>
    <w:rsid w:val="00BD48FE"/>
    <w:rsid w:val="00BD7BD8"/>
    <w:rsid w:val="00BE5862"/>
    <w:rsid w:val="00BE6ADC"/>
    <w:rsid w:val="00C03FC5"/>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1E89"/>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4B4658"/>
  <w15:chartTrackingRefBased/>
  <w15:docId w15:val="{36CEECA6-4966-4555-9DC9-FE4EB6F93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B0413"/>
    <w:pPr>
      <w:spacing w:before="480" w:after="240"/>
    </w:pPr>
  </w:style>
  <w:style w:type="paragraph" w:customStyle="1" w:styleId="NormalBold">
    <w:name w:val="NormalBold"/>
    <w:basedOn w:val="Normal"/>
    <w:rsid w:val="009B0413"/>
    <w:rPr>
      <w:b/>
    </w:rPr>
  </w:style>
  <w:style w:type="paragraph" w:customStyle="1" w:styleId="NormalHanging12a">
    <w:name w:val="NormalHanging12a"/>
    <w:basedOn w:val="Normal"/>
    <w:rsid w:val="009B0413"/>
    <w:pPr>
      <w:spacing w:after="240"/>
      <w:ind w:left="567" w:hanging="567"/>
    </w:pPr>
  </w:style>
  <w:style w:type="paragraph" w:styleId="BalloonText">
    <w:name w:val="Balloon Text"/>
    <w:basedOn w:val="Normal"/>
    <w:link w:val="BalloonTextChar"/>
    <w:rsid w:val="000A47AB"/>
    <w:rPr>
      <w:rFonts w:ascii="Segoe UI" w:hAnsi="Segoe UI" w:cs="Segoe UI"/>
      <w:sz w:val="18"/>
      <w:szCs w:val="18"/>
    </w:rPr>
  </w:style>
  <w:style w:type="character" w:customStyle="1" w:styleId="BalloonTextChar">
    <w:name w:val="Balloon Text Char"/>
    <w:basedOn w:val="DefaultParagraphFont"/>
    <w:link w:val="BalloonText"/>
    <w:rsid w:val="000A47AB"/>
    <w:rPr>
      <w:rFonts w:ascii="Segoe UI" w:hAnsi="Segoe UI" w:cs="Segoe UI"/>
      <w:sz w:val="18"/>
      <w:szCs w:val="18"/>
      <w:lang w:val="el-GR"/>
    </w:rPr>
  </w:style>
  <w:style w:type="character" w:styleId="Hyperlink">
    <w:name w:val="Hyperlink"/>
    <w:basedOn w:val="DefaultParagraphFont"/>
    <w:rsid w:val="000A47AB"/>
    <w:rPr>
      <w:color w:val="0563C1" w:themeColor="hyperlink"/>
      <w:u w:val="single"/>
    </w:rPr>
  </w:style>
  <w:style w:type="character" w:styleId="Strong">
    <w:name w:val="Strong"/>
    <w:basedOn w:val="DefaultParagraphFont"/>
    <w:uiPriority w:val="22"/>
    <w:qFormat/>
    <w:rsid w:val="00753F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157/oj" TargetMode="External"/><Relationship Id="rId1" Type="http://schemas.openxmlformats.org/officeDocument/2006/relationships/hyperlink" Target="http://data.europa.eu/eli/reg/2024/17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7798B0-F625-480A-86AE-746A518AC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2347</Words>
  <Characters>14583</Characters>
  <Application>Microsoft Office Word</Application>
  <DocSecurity>0</DocSecurity>
  <Lines>121</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SAVVIDOU Viktoria</cp:lastModifiedBy>
  <cp:revision>2</cp:revision>
  <cp:lastPrinted>2004-11-19T15:42:00Z</cp:lastPrinted>
  <dcterms:created xsi:type="dcterms:W3CDTF">2025-05-05T13:16:00Z</dcterms:created>
  <dcterms:modified xsi:type="dcterms:W3CDTF">2025-05-05T13:16:00Z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P10_TA(2025)0065_</vt:lpwstr>
  </property>
  <property fmtid="{D5CDD505-2E9C-101B-9397-08002B2CF9AE}" pid="4" name="&lt;Type&gt;">
    <vt:lpwstr>RR</vt:lpwstr>
  </property>
</Properties>
</file>