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632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86320" w:rsidRDefault="00010AE7" w:rsidP="0010095E">
            <w:pPr>
              <w:pStyle w:val="EPName"/>
            </w:pPr>
            <w:r w:rsidRPr="00A86320">
              <w:t>Parlament Europejski</w:t>
            </w:r>
          </w:p>
          <w:p w:rsidR="00751A4A" w:rsidRPr="00A8632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6320">
              <w:t>2024</w:t>
            </w:r>
            <w:r w:rsidR="00817416" w:rsidRPr="00A86320">
              <w:t>-202</w:t>
            </w:r>
            <w:r w:rsidRPr="00A8632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86320" w:rsidRDefault="00187494" w:rsidP="0010095E">
            <w:pPr>
              <w:pStyle w:val="EPLogo"/>
            </w:pPr>
            <w:r w:rsidRPr="00A8632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86320" w:rsidRDefault="00D058B8" w:rsidP="004C5D52">
      <w:pPr>
        <w:pStyle w:val="LineTop"/>
      </w:pPr>
    </w:p>
    <w:p w:rsidR="00680577" w:rsidRPr="00A86320" w:rsidRDefault="00010AE7" w:rsidP="00680577">
      <w:pPr>
        <w:pStyle w:val="EPBodyTA1"/>
      </w:pPr>
      <w:r w:rsidRPr="00A86320">
        <w:t>TEKSTY PRZYJĘTE</w:t>
      </w:r>
    </w:p>
    <w:p w:rsidR="00D058B8" w:rsidRPr="00A86320" w:rsidRDefault="00D058B8" w:rsidP="00D058B8">
      <w:pPr>
        <w:pStyle w:val="LineBottom"/>
      </w:pPr>
    </w:p>
    <w:p w:rsidR="00010AE7" w:rsidRPr="00A86320" w:rsidRDefault="00010AE7" w:rsidP="00010AE7">
      <w:pPr>
        <w:pStyle w:val="ATHeading1"/>
      </w:pPr>
      <w:bookmarkStart w:id="0" w:name="TANumber"/>
      <w:r w:rsidRPr="00A86320">
        <w:t>P10_TA(2025)00</w:t>
      </w:r>
      <w:bookmarkEnd w:id="0"/>
      <w:r w:rsidR="006B5D38">
        <w:t>65</w:t>
      </w:r>
    </w:p>
    <w:p w:rsidR="00010AE7" w:rsidRPr="00A86320" w:rsidRDefault="00010AE7" w:rsidP="00010AE7">
      <w:pPr>
        <w:pStyle w:val="ATHeading2"/>
      </w:pPr>
      <w:bookmarkStart w:id="1" w:name="title"/>
      <w:r w:rsidRPr="00A86320">
        <w:t>Sektory energochłonne</w:t>
      </w:r>
      <w:bookmarkEnd w:id="1"/>
    </w:p>
    <w:p w:rsidR="00010AE7" w:rsidRPr="00A86320" w:rsidRDefault="00010AE7" w:rsidP="00010AE7">
      <w:pPr>
        <w:rPr>
          <w:i/>
          <w:vanish/>
        </w:rPr>
      </w:pPr>
      <w:r w:rsidRPr="00A86320">
        <w:rPr>
          <w:i/>
        </w:rPr>
        <w:fldChar w:fldCharType="begin"/>
      </w:r>
      <w:r w:rsidRPr="00A86320">
        <w:rPr>
          <w:i/>
        </w:rPr>
        <w:instrText xml:space="preserve"> TC"(</w:instrText>
      </w:r>
      <w:bookmarkStart w:id="2" w:name="DocNumber"/>
      <w:r w:rsidRPr="00A86320">
        <w:rPr>
          <w:i/>
        </w:rPr>
        <w:instrText>B</w:instrText>
      </w:r>
      <w:proofErr w:type="gramStart"/>
      <w:r w:rsidRPr="00A86320">
        <w:rPr>
          <w:i/>
        </w:rPr>
        <w:instrText>10-0209/2025</w:instrText>
      </w:r>
      <w:bookmarkEnd w:id="2"/>
      <w:r w:rsidRPr="00A86320">
        <w:rPr>
          <w:i/>
        </w:rPr>
        <w:instrText>)"\l</w:instrText>
      </w:r>
      <w:proofErr w:type="gramEnd"/>
      <w:r w:rsidRPr="00A86320">
        <w:rPr>
          <w:i/>
        </w:rPr>
        <w:instrText xml:space="preserve">3 \n&gt; \* MERGEFORMAT </w:instrText>
      </w:r>
      <w:r w:rsidRPr="00A86320">
        <w:rPr>
          <w:i/>
        </w:rPr>
        <w:fldChar w:fldCharType="end"/>
      </w:r>
    </w:p>
    <w:p w:rsidR="00010AE7" w:rsidRPr="00A86320" w:rsidRDefault="00010AE7" w:rsidP="00010AE7">
      <w:pPr>
        <w:rPr>
          <w:vanish/>
        </w:rPr>
      </w:pPr>
      <w:bookmarkStart w:id="3" w:name="PE"/>
      <w:r w:rsidRPr="00A86320">
        <w:rPr>
          <w:vanish/>
        </w:rPr>
        <w:t>PE772.489</w:t>
      </w:r>
      <w:bookmarkEnd w:id="3"/>
    </w:p>
    <w:p w:rsidR="00010AE7" w:rsidRPr="00A86320" w:rsidRDefault="00010AE7" w:rsidP="00010AE7">
      <w:pPr>
        <w:pStyle w:val="ATHeading3"/>
      </w:pPr>
      <w:bookmarkStart w:id="4" w:name="Sujet"/>
      <w:r w:rsidRPr="00A86320">
        <w:t xml:space="preserve">Rezolucja Parlamentu Europejskiego z dnia </w:t>
      </w:r>
      <w:r w:rsidR="00D20174">
        <w:t>3 kwietnia</w:t>
      </w:r>
      <w:r w:rsidRPr="00A86320">
        <w:t xml:space="preserve"> 2025 r. w sprawie sektorów energochłonnych</w:t>
      </w:r>
      <w:bookmarkEnd w:id="4"/>
      <w:r w:rsidRPr="00A86320">
        <w:t xml:space="preserve"> </w:t>
      </w:r>
      <w:bookmarkStart w:id="5" w:name="References"/>
      <w:r w:rsidRPr="00A86320">
        <w:t>(2025/2536(RSP))</w:t>
      </w:r>
      <w:bookmarkEnd w:id="5"/>
    </w:p>
    <w:p w:rsidR="00EC3422" w:rsidRPr="00A86320" w:rsidRDefault="00EC3422" w:rsidP="00EC3422">
      <w:pPr>
        <w:pStyle w:val="EPComma"/>
      </w:pPr>
      <w:bookmarkStart w:id="6" w:name="TextBodyBegin"/>
      <w:bookmarkEnd w:id="6"/>
      <w:r w:rsidRPr="00A86320">
        <w:rPr>
          <w:i/>
        </w:rPr>
        <w:t>Parlament Europejski</w:t>
      </w:r>
      <w:r w:rsidRPr="00A86320">
        <w:t>,</w:t>
      </w:r>
    </w:p>
    <w:p w:rsidR="00EC3422" w:rsidRPr="00A86320" w:rsidRDefault="00EC3422" w:rsidP="00EC3422">
      <w:pPr>
        <w:pStyle w:val="NormalHanging12a"/>
      </w:pPr>
      <w:r w:rsidRPr="00A86320">
        <w:t>–</w:t>
      </w:r>
      <w:r w:rsidRPr="00A86320">
        <w:tab/>
        <w:t xml:space="preserve">uwzględniając sprawozdanie Maria </w:t>
      </w:r>
      <w:proofErr w:type="spellStart"/>
      <w:r w:rsidRPr="00A86320">
        <w:t>Draghiego</w:t>
      </w:r>
      <w:proofErr w:type="spellEnd"/>
      <w:r w:rsidRPr="00A86320">
        <w:t xml:space="preserve"> z września 2024 r. na temat przyszłości europejskiej konkurencyjności,</w:t>
      </w:r>
    </w:p>
    <w:p w:rsidR="00EC3422" w:rsidRPr="00A86320" w:rsidRDefault="00EC3422" w:rsidP="00EC3422">
      <w:pPr>
        <w:pStyle w:val="NormalHanging12a"/>
      </w:pPr>
      <w:r w:rsidRPr="00A86320">
        <w:t>–</w:t>
      </w:r>
      <w:r w:rsidRPr="00A86320">
        <w:tab/>
        <w:t xml:space="preserve">uwzględniając sprawozdanie Enrica </w:t>
      </w:r>
      <w:proofErr w:type="spellStart"/>
      <w:r w:rsidRPr="00A86320">
        <w:t>Letty</w:t>
      </w:r>
      <w:proofErr w:type="spellEnd"/>
      <w:r w:rsidRPr="00A86320">
        <w:t xml:space="preserve"> z kwietnia 2024 r. pt. „Much </w:t>
      </w:r>
      <w:proofErr w:type="spellStart"/>
      <w:r w:rsidRPr="00A86320">
        <w:t>more</w:t>
      </w:r>
      <w:proofErr w:type="spellEnd"/>
      <w:r w:rsidRPr="00A86320">
        <w:t xml:space="preserve"> </w:t>
      </w:r>
      <w:proofErr w:type="spellStart"/>
      <w:r w:rsidRPr="00A86320">
        <w:t>than</w:t>
      </w:r>
      <w:proofErr w:type="spellEnd"/>
      <w:r w:rsidRPr="00A86320">
        <w:t xml:space="preserve"> a market” [Znacznie więcej niż rynek],</w:t>
      </w:r>
    </w:p>
    <w:p w:rsidR="00EC3422" w:rsidRPr="00A86320" w:rsidRDefault="00EC3422" w:rsidP="00EC3422">
      <w:pPr>
        <w:pStyle w:val="NormalHanging12a"/>
      </w:pPr>
      <w:r w:rsidRPr="00A86320">
        <w:t>–</w:t>
      </w:r>
      <w:r w:rsidRPr="00A86320">
        <w:tab/>
        <w:t>uwzględniając komunikat Komisji z 26 lutego 2025 r. pt. „Pakt dla czystego przemysłu: wspólny plan działania na rzecz konkurencyjności i dekarbonizacji” (COM(2025)0085),</w:t>
      </w:r>
    </w:p>
    <w:p w:rsidR="00EC3422" w:rsidRPr="00A86320" w:rsidRDefault="00EC3422" w:rsidP="00EC3422">
      <w:pPr>
        <w:pStyle w:val="NormalHanging12a"/>
      </w:pPr>
      <w:r w:rsidRPr="00A86320">
        <w:t>–</w:t>
      </w:r>
      <w:r w:rsidRPr="00A86320">
        <w:tab/>
        <w:t>uwzględniając komunikat Komisji z 26 lutego 2025 r. pt. „Plan działania na rzecz przystępnej cenowo energii” (COM(2025)0079),</w:t>
      </w:r>
    </w:p>
    <w:p w:rsidR="00EC3422" w:rsidRPr="00A86320" w:rsidRDefault="00EC3422" w:rsidP="00EC3422">
      <w:pPr>
        <w:pStyle w:val="NormalHanging12a"/>
      </w:pPr>
      <w:r w:rsidRPr="00A86320">
        <w:t>–</w:t>
      </w:r>
      <w:r w:rsidRPr="00A86320">
        <w:tab/>
        <w:t>uwzględniając art. 136 ust. 2 Regulaminu,</w:t>
      </w:r>
    </w:p>
    <w:p w:rsidR="00EC3422" w:rsidRPr="00A86320" w:rsidRDefault="00EC3422" w:rsidP="00EC3422">
      <w:pPr>
        <w:pStyle w:val="NormalHanging12a"/>
      </w:pPr>
      <w:r w:rsidRPr="00A86320">
        <w:t>–</w:t>
      </w:r>
      <w:r w:rsidRPr="00A86320">
        <w:tab/>
        <w:t>uwzględniając projekt rezolucji Komisji Przemysłu, Badań Naukowych i Energii,</w:t>
      </w:r>
    </w:p>
    <w:p w:rsidR="00EC3422" w:rsidRPr="00A86320" w:rsidRDefault="00EC3422" w:rsidP="00EC3422">
      <w:pPr>
        <w:pStyle w:val="NormalHanging12a"/>
      </w:pPr>
      <w:r w:rsidRPr="00A86320">
        <w:t>A.</w:t>
      </w:r>
      <w:r w:rsidRPr="00A86320">
        <w:tab/>
      </w:r>
      <w:proofErr w:type="gramStart"/>
      <w:r w:rsidRPr="00A86320">
        <w:t>mając</w:t>
      </w:r>
      <w:proofErr w:type="gramEnd"/>
      <w:r w:rsidRPr="00A86320">
        <w:t xml:space="preserve"> na uwadze, że sektory energochłonne mają znaczny udział w gospodarce UE i odgrywają kluczową rolę w tworzeniu miejsc pracy, zwłaszcza na obszarach i w regionach, w których są skoncentrowane; mając na uwadze, że sektory energochłonne mają zasadnicze znaczenie dla strategicznej autonomii i konkurencyjności UE, a także dla dekarbonizacji, choć należy uwzględnić ich ślad energetyczny;</w:t>
      </w:r>
    </w:p>
    <w:p w:rsidR="00EC3422" w:rsidRDefault="00EC3422" w:rsidP="00EC3422">
      <w:pPr>
        <w:pStyle w:val="NormalHanging12a"/>
      </w:pPr>
      <w:r w:rsidRPr="00A86320">
        <w:t>B.</w:t>
      </w:r>
      <w:r w:rsidRPr="00A86320">
        <w:tab/>
        <w:t xml:space="preserve">mając na uwadze, że przejście na gospodarkę </w:t>
      </w:r>
      <w:proofErr w:type="spellStart"/>
      <w:r w:rsidRPr="00A86320">
        <w:t>bezemisyjną</w:t>
      </w:r>
      <w:proofErr w:type="spellEnd"/>
      <w:r w:rsidRPr="00A86320">
        <w:t xml:space="preserve"> i czysty system energetyczny musi prowadzić do obniżenia cen energii i uwzględniać wszystkie dostępne technologie, które przyczyniają się do osiągnięcia unijnego celu neutralności emisyjnej do 2050 r. w najbardziej opłacalny sposób; trzeba przy tym uniknąć blokad technologicznych i uwzględnić różne koszyki energetyczne w poszczególnych państwach członkowskich, w tym w odniesieniu do energii ze źródeł odnawialnych i energii jądrowej;</w:t>
      </w:r>
    </w:p>
    <w:p w:rsidR="006B5D38" w:rsidRPr="00A86320" w:rsidRDefault="00200152" w:rsidP="00EC3422">
      <w:pPr>
        <w:pStyle w:val="NormalHanging12a"/>
      </w:pPr>
      <w:r>
        <w:t>C</w:t>
      </w:r>
      <w:r w:rsidR="006B5D38" w:rsidRPr="006B5D38">
        <w:t>.</w:t>
      </w:r>
      <w:r w:rsidR="006B5D38" w:rsidRPr="006B5D38">
        <w:tab/>
      </w:r>
      <w:proofErr w:type="gramStart"/>
      <w:r w:rsidR="006B5D38" w:rsidRPr="006B5D38">
        <w:t>mając</w:t>
      </w:r>
      <w:proofErr w:type="gramEnd"/>
      <w:r w:rsidR="006B5D38" w:rsidRPr="006B5D38">
        <w:t xml:space="preserve"> na uwadze, że neutralność technologiczna ma kluczowe znaczenie dla przemysłu europejskiego, ponieważ gwarantuje uczciwą konkurencję oraz wspiera innowacje i </w:t>
      </w:r>
      <w:r w:rsidR="006B5D38" w:rsidRPr="006B5D38">
        <w:lastRenderedPageBreak/>
        <w:t>czystą transformację bez faworyzowania konkretnych technologii; mając na uwadze, że utrzymanie neutralnych ram regulacyjnych umożliwia przedsiębiorstwom wybór najbardziej skutecznych i zrównoważonych rozwiązań zorientowanych na potrzeby rynku, a nie na odgórne preferencje decydentów politycznych; mając na uwadze, że takie podejście zachęca do inwestycji, zwiększa konkurencyjność i umożliwia przemysłowi adaptację do nowych technologii;</w:t>
      </w:r>
    </w:p>
    <w:p w:rsidR="00EC3422" w:rsidRPr="00A86320" w:rsidRDefault="00200152" w:rsidP="00EC3422">
      <w:pPr>
        <w:pStyle w:val="NormalHanging12a"/>
      </w:pPr>
      <w:r>
        <w:t>D</w:t>
      </w:r>
      <w:r w:rsidR="00EC3422" w:rsidRPr="00A86320">
        <w:t>.</w:t>
      </w:r>
      <w:r w:rsidR="00EC3422" w:rsidRPr="00A86320">
        <w:tab/>
      </w:r>
      <w:proofErr w:type="gramStart"/>
      <w:r w:rsidR="00EC3422" w:rsidRPr="00A86320">
        <w:t>mając</w:t>
      </w:r>
      <w:proofErr w:type="gramEnd"/>
      <w:r w:rsidR="00EC3422" w:rsidRPr="00A86320">
        <w:t xml:space="preserve"> na uwadze, że centralnym elementem dekarbonizacji sektorów energochłonnych jest elektryfikacja; mając na uwadze, że do sektorów energochłonnych zaliczają się gałęzie przemysłu, które wykorzystują zasoby kopalne z powodu wymagań dotyczących temperatury, ciśnienia lub reakcji, np. przemysł chemiczny, stalowy, papierniczy, tworzyw sztucznych, górnictwo, rafinerie, przemysł cementowy, wapienniczy, przemysł metali nieżelaznych, przemysł szklarski, ceramiczny i nawozowy, gdzie trudno ograniczyć emisje gazów cieplarnianych, ze względu na to, że stanowią one integralną część procesu, lub ze względu na wysokie koszty kapitałowe lub operacyjne bądź niski poziom dojrzałości technologicznej;</w:t>
      </w:r>
    </w:p>
    <w:p w:rsidR="00EC3422" w:rsidRPr="00A86320" w:rsidRDefault="00200152" w:rsidP="00EC3422">
      <w:pPr>
        <w:pStyle w:val="NormalHanging12a"/>
      </w:pPr>
      <w:r>
        <w:t>E</w:t>
      </w:r>
      <w:r w:rsidR="00EC3422" w:rsidRPr="00A86320">
        <w:t>.</w:t>
      </w:r>
      <w:r w:rsidR="00EC3422" w:rsidRPr="00A86320">
        <w:tab/>
      </w:r>
      <w:proofErr w:type="gramStart"/>
      <w:r w:rsidR="00EC3422" w:rsidRPr="00A86320">
        <w:t>mając</w:t>
      </w:r>
      <w:proofErr w:type="gramEnd"/>
      <w:r w:rsidR="00EC3422" w:rsidRPr="00A86320">
        <w:t xml:space="preserve"> na uwadze, że różnica w cenach energii między UE a USA i Chinami osłabia konkurencyjność przemysłu UE; mając na uwadze, że wysokie i zmienne ceny paliw kopalnych mają duży wpływ na ceny energii elektrycznej, a przystępne koszty odnawialnych źródeł energii nie przekładają się na rachunki za energię;</w:t>
      </w:r>
    </w:p>
    <w:p w:rsidR="00EC3422" w:rsidRPr="00A86320" w:rsidRDefault="00200152" w:rsidP="00EC3422">
      <w:pPr>
        <w:pStyle w:val="NormalHanging12a"/>
      </w:pPr>
      <w:r>
        <w:t>F</w:t>
      </w:r>
      <w:r w:rsidR="00EC3422" w:rsidRPr="00A86320">
        <w:t>.</w:t>
      </w:r>
      <w:r w:rsidR="00EC3422" w:rsidRPr="00A86320">
        <w:tab/>
      </w:r>
      <w:proofErr w:type="gramStart"/>
      <w:r w:rsidR="00EC3422" w:rsidRPr="00A86320">
        <w:t>mając</w:t>
      </w:r>
      <w:proofErr w:type="gramEnd"/>
      <w:r w:rsidR="00EC3422" w:rsidRPr="00A86320">
        <w:t xml:space="preserve"> na uwadze, że niewystarczająco zintegrowana unia energetyczna stwarza dalsze wyzwania dla sektorów energochłonnych, w szczególności w odniesieniu do braku transgranicznych połączeń międzysystemowych i ograniczonej dostępności czystej energii ze względu na długotrwałe procedury wydawania pozwoleń lub wysokie wydatki kapitałowe lub operacyjne, a także ograniczenia przesyłowe w sieci;</w:t>
      </w:r>
    </w:p>
    <w:p w:rsidR="00EC3422" w:rsidRPr="00A86320" w:rsidRDefault="00200152" w:rsidP="00EC3422">
      <w:pPr>
        <w:pStyle w:val="NormalHanging12a"/>
      </w:pPr>
      <w:r>
        <w:t>G</w:t>
      </w:r>
      <w:r w:rsidR="00EC3422" w:rsidRPr="00A86320">
        <w:t>.</w:t>
      </w:r>
      <w:r w:rsidR="00EC3422" w:rsidRPr="00A86320">
        <w:tab/>
        <w:t>mając na uwadze, że system handlu uprawnieniami do emisji (ETS) zapewnił długoterminowe sygnały inwestycyjne i przyczynił się do zmniejszenia emisji z objętych nim sektorów o 47 %; mając na uwadze, że od czasu wprowadzenia ETS rynek energii uległ głębokim zmianom, zwłaszcza po rosyjskiej inwazji na Ukrainę i przejściu z gazu rurociągowego na skroplony gaz ziemny (LNG); mając na uwadze, że brak przejrzystości na rynku uprawnień do emisji dwutlenku węgla grozi osłabieniem konkurencyjności sektorów energochłonnych; mając na uwadze, że dochody z ETS są wykorzystywane nierównomiernie w poszczególnych państwach członkowskich, co nie zapewnia odpowiedniego wsparcia dekarbonizacji sektorów energochłonnych;</w:t>
      </w:r>
    </w:p>
    <w:p w:rsidR="00EC3422" w:rsidRPr="00A86320" w:rsidRDefault="00200152" w:rsidP="00EC3422">
      <w:pPr>
        <w:pStyle w:val="NormalHanging12a"/>
      </w:pPr>
      <w:r>
        <w:t>H</w:t>
      </w:r>
      <w:r w:rsidR="00EC3422" w:rsidRPr="00A86320">
        <w:t>.</w:t>
      </w:r>
      <w:r w:rsidR="00EC3422" w:rsidRPr="00A86320">
        <w:tab/>
      </w:r>
      <w:proofErr w:type="gramStart"/>
      <w:r w:rsidR="00EC3422" w:rsidRPr="00A86320">
        <w:t>mając</w:t>
      </w:r>
      <w:proofErr w:type="gramEnd"/>
      <w:r w:rsidR="00EC3422" w:rsidRPr="00A86320">
        <w:t xml:space="preserve"> na uwadze, że niepotrzebne obciążenia regulacyjne i długotrwałe procedury wydawania pozwoleń podważają uzasadnienie biznesowe inwestycji w dekarbonizację w Europie; mając na uwadze, że w prawodawstwie UE przewidziano pojęcie nadrzędnego interesu publicznego; mając na uwadze, że złożone i rozdrobnione finansowanie UE spowalnia inwestycje w technologie neutralne emisyjnie i cyfryzację, zwłaszcza w przypadku małych i średnich przedsiębiorstw (MŚP);</w:t>
      </w:r>
    </w:p>
    <w:p w:rsidR="00EC3422" w:rsidRPr="00A86320" w:rsidRDefault="00200152" w:rsidP="00EC3422">
      <w:pPr>
        <w:pStyle w:val="NormalHanging12a"/>
      </w:pPr>
      <w:r>
        <w:t>I</w:t>
      </w:r>
      <w:r w:rsidR="00EC3422" w:rsidRPr="00A86320">
        <w:t>.</w:t>
      </w:r>
      <w:r w:rsidR="00EC3422" w:rsidRPr="00A86320">
        <w:tab/>
      </w:r>
      <w:proofErr w:type="gramStart"/>
      <w:r w:rsidR="00EC3422" w:rsidRPr="00A86320">
        <w:t>mając</w:t>
      </w:r>
      <w:proofErr w:type="gramEnd"/>
      <w:r w:rsidR="00EC3422" w:rsidRPr="00A86320">
        <w:t xml:space="preserve"> na uwadze, że brak niezbędnych inwestycji prywatnych może utrudnić dekarbonizację sektorów energochłonnych; mając na uwadze, że niepożądanym skutkiem nadmiernego polegania na pomocy państwa może być pogłębienie dysproporcji i zakłócenie konkurencji w całej UE;</w:t>
      </w:r>
    </w:p>
    <w:p w:rsidR="00EC3422" w:rsidRPr="00A86320" w:rsidRDefault="00200152" w:rsidP="00EC3422">
      <w:pPr>
        <w:pStyle w:val="NormalHanging12a"/>
      </w:pPr>
      <w:r>
        <w:t>J</w:t>
      </w:r>
      <w:r w:rsidR="00EC3422" w:rsidRPr="00A86320">
        <w:t>.</w:t>
      </w:r>
      <w:r w:rsidR="00EC3422" w:rsidRPr="00A86320">
        <w:tab/>
        <w:t xml:space="preserve">mając na uwadze, że zależność UE od państw trzecich i ograniczony dostęp do </w:t>
      </w:r>
      <w:r w:rsidR="00EC3422" w:rsidRPr="00A86320">
        <w:lastRenderedPageBreak/>
        <w:t>surowców pierwotnych i wtórnych, zarówno pod względem ilości, jak i jakości, stanowią poważne wyzwanie dla sektorów energochłonnych; mając na uwadze, że obieg zamknięty i efektywność mogą przyczynić się do zmniejszenia rocznych potrzeb inwestycyjnych w przemyśle i dostawach energii; mając na uwadze, że ponad połowę całego wywozu odpadów z UE stanowią metale żelazne wywożone do państw trzecich, co budzi obawy co do ich należytego przetwarzania;</w:t>
      </w:r>
    </w:p>
    <w:p w:rsidR="00EC3422" w:rsidRPr="00A86320" w:rsidRDefault="00200152" w:rsidP="00EC3422">
      <w:pPr>
        <w:pStyle w:val="NormalHanging12a"/>
      </w:pPr>
      <w:r>
        <w:t>K</w:t>
      </w:r>
      <w:r w:rsidR="00EC3422" w:rsidRPr="00A86320">
        <w:t>.</w:t>
      </w:r>
      <w:r w:rsidR="00EC3422" w:rsidRPr="00A86320">
        <w:tab/>
        <w:t>mając na uwadze, że poważnym wyzwaniem dla przedsiębiorstw z UE jest nieuczciwa konkurencja ze strony państw spoza UE, w tym subsydiowana nadwyżka mocy produkcyjnych; mając na uwadze, że wiele regionów na całym świecie nie ma ambitnych celów w zakresie dekarbonizacji, co zwiększa ryzyko ucieczki emisji;</w:t>
      </w:r>
    </w:p>
    <w:p w:rsidR="00EC3422" w:rsidRPr="00A86320" w:rsidRDefault="00200152" w:rsidP="00EC3422">
      <w:pPr>
        <w:pStyle w:val="NormalHanging12a"/>
      </w:pPr>
      <w:r>
        <w:t>L</w:t>
      </w:r>
      <w:r w:rsidR="00EC3422" w:rsidRPr="00A86320">
        <w:t>.</w:t>
      </w:r>
      <w:r w:rsidR="00EC3422" w:rsidRPr="00A86320">
        <w:tab/>
      </w:r>
      <w:proofErr w:type="gramStart"/>
      <w:r w:rsidR="00EC3422" w:rsidRPr="00A86320">
        <w:t>mając</w:t>
      </w:r>
      <w:proofErr w:type="gramEnd"/>
      <w:r w:rsidR="00EC3422" w:rsidRPr="00A86320">
        <w:t xml:space="preserve"> na uwadze, że głęboka transformacja sektorów energochłonnych nie uda się bez zaangażowania społeczności lokalnych i regionalnych, pracowników i partnerów społecznych, którzy odczuwają poważne skutki transformacji;</w:t>
      </w:r>
    </w:p>
    <w:p w:rsidR="00EC3422" w:rsidRPr="00A86320" w:rsidRDefault="00EC3422" w:rsidP="00EC3422">
      <w:pPr>
        <w:pStyle w:val="NormalHanging12a"/>
      </w:pPr>
      <w:r w:rsidRPr="00A86320">
        <w:t>1.</w:t>
      </w:r>
      <w:r w:rsidRPr="00A86320">
        <w:tab/>
      </w:r>
      <w:proofErr w:type="gramStart"/>
      <w:r w:rsidRPr="00A86320">
        <w:t>potwierdza</w:t>
      </w:r>
      <w:proofErr w:type="gramEnd"/>
      <w:r w:rsidRPr="00A86320">
        <w:t xml:space="preserve"> swoje zaangażowanie na rzecz celów UE w zakresie dekarbonizacji oraz na rzecz stabilnej i przewidywalnej polityki klimatycznej i przemysłowej;</w:t>
      </w:r>
    </w:p>
    <w:p w:rsidR="00EC3422" w:rsidRPr="00A86320" w:rsidRDefault="00EC3422" w:rsidP="00EC3422">
      <w:pPr>
        <w:pStyle w:val="NormalHanging12a"/>
      </w:pPr>
      <w:r w:rsidRPr="00A86320">
        <w:t>2.</w:t>
      </w:r>
      <w:r w:rsidRPr="00A86320">
        <w:tab/>
      </w:r>
      <w:proofErr w:type="gramStart"/>
      <w:r w:rsidRPr="00A86320">
        <w:t>wzywa</w:t>
      </w:r>
      <w:proofErr w:type="gramEnd"/>
      <w:r w:rsidRPr="00A86320">
        <w:t xml:space="preserve"> państwa członkowskie do przyspieszenia procedur wydawania pozwoleń i koncesji na projekty dotyczące czystej energii, przy zapewnieniu zdolności administracyjnych, oraz do ułatwienia podłączania do sieci, aby umożliwić czyste wytwarzanie energii na miejscu, zwłaszcza na obszarach oddalonych; podkreśla, że rozwój odnawialnych źródeł energii i elektryfikacja będą wymagały ogromnych inwestycji w sieci oraz w elastyczność, magazynowanie i dystrybucję; wzywa Komisję, aby poza koncepcją nadrzędnego interesu publicznego opracowała rozwiązania służące przyspieszeniu projektów dekarbonizacji;</w:t>
      </w:r>
    </w:p>
    <w:p w:rsidR="00EC3422" w:rsidRPr="00A86320" w:rsidRDefault="00EC3422" w:rsidP="00EC3422">
      <w:pPr>
        <w:pStyle w:val="NormalHanging12a"/>
      </w:pPr>
      <w:r w:rsidRPr="00A86320">
        <w:t>3.</w:t>
      </w:r>
      <w:r w:rsidRPr="00A86320">
        <w:tab/>
      </w:r>
      <w:proofErr w:type="gramStart"/>
      <w:r w:rsidRPr="00A86320">
        <w:t>uważa</w:t>
      </w:r>
      <w:proofErr w:type="gramEnd"/>
      <w:r w:rsidRPr="00A86320">
        <w:t xml:space="preserve">, że konieczne są dalsze działania w celu wdrożenia przepisów dotyczących struktury rynku energii elektrycznej, w szczególności z myślą o promowaniu umów zakupu energii elektrycznej i dwukierunkowych kontraktów różnicowych w celu zmniejszenia zmienności i kosztów energii dla sektorów energochłonnych; wzywa Komisję, aby zaproponowała pilne środki w celu usunięcia barier, które utrudniają zawieranie umów długoterminowych, zwłaszcza w przypadku MŚP, i wykorzystała instrumenty i gwarancje ograniczające ryzyko, w tym gwarancje publiczne, np. Europejskiego Banku Inwestycyjnego (EBI); sugeruje zbadanie dodatkowych sposobów oddzielenia cen paliw kopalnych od cen energii elektrycznej w ramach struktury rynku energii elektrycznej, w tym w celu zwiększenia liczby umów długoterminowych </w:t>
      </w:r>
      <w:proofErr w:type="gramStart"/>
      <w:r w:rsidRPr="00A86320">
        <w:t>zgodnie</w:t>
      </w:r>
      <w:proofErr w:type="gramEnd"/>
      <w:r w:rsidRPr="00A86320">
        <w:t xml:space="preserve"> z Planem działania na rzecz przystępnej cenowo energii oraz poprzez przyspieszenie analizy rynków krótkoterminowych do 2025 r.</w:t>
      </w:r>
      <w:r w:rsidR="006B5D38">
        <w:t xml:space="preserve"> </w:t>
      </w:r>
      <w:r w:rsidR="006B5D38" w:rsidRPr="006B5D38">
        <w:t>z myślą o ewentualnych alternatywnych rozwiązaniach rynkowych</w:t>
      </w:r>
      <w:r w:rsidRPr="00A86320">
        <w:t>;</w:t>
      </w:r>
    </w:p>
    <w:p w:rsidR="00EC3422" w:rsidRPr="00A86320" w:rsidRDefault="00EC3422" w:rsidP="00EC3422">
      <w:pPr>
        <w:pStyle w:val="NormalHanging12a"/>
      </w:pPr>
      <w:r w:rsidRPr="00A86320">
        <w:t>4.</w:t>
      </w:r>
      <w:r w:rsidRPr="00A86320">
        <w:tab/>
      </w:r>
      <w:proofErr w:type="gramStart"/>
      <w:r w:rsidRPr="00A86320">
        <w:t>wzywa</w:t>
      </w:r>
      <w:proofErr w:type="gramEnd"/>
      <w:r w:rsidRPr="00A86320">
        <w:t xml:space="preserve"> Komisję, aby oceniła możliwość upowszechnienia najlepszych praktyk z państw członkowskich dla sektorów energochłonnych, takich jak uwolnienie energii we Włoszech; wzywa Komisję do opracowania zaleceń dotyczących zmniejszenia narażenia konsumentów, a zwłaszcza sektorów energochłonnych, na rosnące koszty energii, np. przez obniżenie podatków i opłat oraz harmonizację opłat sieciowych, przy jednoczesnym zapewnieniu inwestycji publicznych w sieci;</w:t>
      </w:r>
    </w:p>
    <w:p w:rsidR="00EC3422" w:rsidRPr="00A86320" w:rsidRDefault="00EC3422" w:rsidP="00EC3422">
      <w:pPr>
        <w:pStyle w:val="NormalHanging12a"/>
      </w:pPr>
      <w:r w:rsidRPr="00A86320">
        <w:t>5.</w:t>
      </w:r>
      <w:r w:rsidRPr="00A86320">
        <w:tab/>
      </w:r>
      <w:proofErr w:type="gramStart"/>
      <w:r w:rsidRPr="00A86320">
        <w:t>apeluje</w:t>
      </w:r>
      <w:proofErr w:type="gramEnd"/>
      <w:r w:rsidRPr="00A86320">
        <w:t xml:space="preserve"> o większą integrację systemu energetycznego, w szczególności w odniesieniu do transgranicznych połączeń wzajemnych w celu zapewnienia czystych i odpornych </w:t>
      </w:r>
      <w:r w:rsidRPr="00A86320">
        <w:lastRenderedPageBreak/>
        <w:t>dostaw energii; zwraca się o zwiększenie inwestycji w elastyczność, np. w magazynowanie, w tym elektrownie szczytowo-pompowe oraz magazynowanie ciepła i ciepła odpadowego, oraz regulację zapotrzebowania, aby zoptymalizować stabilność sieci; przypomina, jak ważna dla obniżenia kosztów jest efektywność energetyczna;</w:t>
      </w:r>
    </w:p>
    <w:p w:rsidR="00EC3422" w:rsidRPr="00A86320" w:rsidRDefault="00EC3422" w:rsidP="00EC3422">
      <w:pPr>
        <w:pStyle w:val="NormalHanging12a"/>
      </w:pPr>
      <w:r w:rsidRPr="00A86320">
        <w:t>6.</w:t>
      </w:r>
      <w:r w:rsidRPr="00A86320">
        <w:tab/>
      </w:r>
      <w:proofErr w:type="gramStart"/>
      <w:r w:rsidR="00A5208B" w:rsidRPr="00A5208B">
        <w:t>podkreśla</w:t>
      </w:r>
      <w:proofErr w:type="gramEnd"/>
      <w:r w:rsidR="00A5208B" w:rsidRPr="00A5208B">
        <w:t xml:space="preserve"> potrzebę jak najszybszego wycofania</w:t>
      </w:r>
      <w:r w:rsidR="00A5208B" w:rsidRPr="00EC6642">
        <w:t xml:space="preserve"> gazu ziemnego; podkreśla, że w perspektywie krótko- i średnioterminowej niektóre sektory nie mogą w znacznym stopniu polegać na elektryfikacji;</w:t>
      </w:r>
      <w:bookmarkStart w:id="7" w:name="_GoBack"/>
      <w:bookmarkEnd w:id="7"/>
      <w:r w:rsidR="00A5208B" w:rsidRPr="00A5208B">
        <w:t xml:space="preserve"> podkreśla, że wychwytywanie, składowanie i utylizacja dwutlenku węgla odgrywają kluczową rolę w dekarbonizacji sektorów, z których emisje trudno zredukować, oraz w produkcji produktów niskoemisyjnych, w tym wodoru niskoemisyjnego; </w:t>
      </w:r>
      <w:r w:rsidR="00A5208B" w:rsidRPr="00EC6642">
        <w:t xml:space="preserve">wzywa państwa członkowskie, aby – w tym samym czasie i w odniesieniu do tych ograniczonych sektorów – w należycie uzasadnionych przypadkach opracowały środki służące zaradzeniu problemowi skoków cen gazu; wzywa Komisję, aby opracowała narzędzia zapewniające dostawy gazu po obniżonych kosztach przez umożliwienie agregacji zapotrzebowania, w oparciu o </w:t>
      </w:r>
      <w:proofErr w:type="spellStart"/>
      <w:r w:rsidR="00A5208B" w:rsidRPr="00EC6642">
        <w:t>AggregateEU</w:t>
      </w:r>
      <w:proofErr w:type="spellEnd"/>
      <w:r w:rsidR="00A5208B" w:rsidRPr="00EC6642">
        <w:t xml:space="preserve">, oraz wspólnych </w:t>
      </w:r>
      <w:proofErr w:type="gramStart"/>
      <w:r w:rsidR="00A5208B" w:rsidRPr="00EC6642">
        <w:t>zakupów</w:t>
      </w:r>
      <w:proofErr w:type="gramEnd"/>
      <w:r w:rsidR="00A5208B" w:rsidRPr="00EC6642">
        <w:t xml:space="preserve"> gazu, przy jednoczesnym utrzymaniu celów w zakresie dekarbonizacji; podkreśla, jak ważne jest zachęcanie do zawierania stabilnych umów z dostawcami gazu, dywersyfikacja dróg dostaw oraz poprawa przejrzystości i stabilności rynku, zgodnie z obowiązującymi przepisami; apeluje o przeprowadzenie w ramach zbliżającego się przeglądu ETS oceny skutków w celu przeanalizowania związku między rynkiem gazu a cenami CO</w:t>
      </w:r>
      <w:r w:rsidR="00A5208B" w:rsidRPr="00EC6642">
        <w:rPr>
          <w:vertAlign w:val="subscript"/>
        </w:rPr>
        <w:t>2</w:t>
      </w:r>
      <w:r w:rsidR="00A5208B" w:rsidRPr="00EC6642">
        <w:t xml:space="preserve"> oraz roli rezerwy stabilności rynkowej i jej parametrów;</w:t>
      </w:r>
      <w:r w:rsidR="006B5D38">
        <w:t xml:space="preserve"> </w:t>
      </w:r>
    </w:p>
    <w:p w:rsidR="00EC3422" w:rsidRPr="00A86320" w:rsidRDefault="00EC3422" w:rsidP="00EC3422">
      <w:pPr>
        <w:pStyle w:val="NormalHanging12a"/>
      </w:pPr>
      <w:r w:rsidRPr="00A86320">
        <w:t>7.</w:t>
      </w:r>
      <w:r w:rsidRPr="00A86320">
        <w:tab/>
      </w:r>
      <w:proofErr w:type="gramStart"/>
      <w:r w:rsidRPr="00A86320">
        <w:t>wzywa</w:t>
      </w:r>
      <w:proofErr w:type="gramEnd"/>
      <w:r w:rsidRPr="00A86320">
        <w:t xml:space="preserve"> Komisję, aby wspierała sektory energochłonne w przyjmowaniu czystych i neutralnych emisyjnie technologii, w tym </w:t>
      </w:r>
      <w:r w:rsidR="006B5D38" w:rsidRPr="006B5D38">
        <w:t>wychwytywania i składowania dwutlenku węgla i wodoru niskoemisyjnego</w:t>
      </w:r>
      <w:r w:rsidRPr="00A86320">
        <w:t xml:space="preserve">, oraz energooszczędnych metod produkcji przez wzmocnienie mechanizmów finansowania i zapewnienie skutecznego wykorzystania dochodów z ETS przez państwa członkowskie; apeluje o uzupełnienie wsparcia na szczeblu UE pomocą państwa, która umożliwia ukierunkowane </w:t>
      </w:r>
      <w:r w:rsidR="006B5D38" w:rsidRPr="006B5D38">
        <w:t>neutralne pod względem technologicznym</w:t>
      </w:r>
      <w:r w:rsidR="006B5D38">
        <w:t xml:space="preserve"> </w:t>
      </w:r>
      <w:r w:rsidRPr="00A86320">
        <w:t>wsparcie dla sektorów energochłonnych, przy jednoczesnym zachowaniu równych warunków działania na jednolitym rynku;</w:t>
      </w:r>
    </w:p>
    <w:p w:rsidR="00EC3422" w:rsidRPr="00A86320" w:rsidRDefault="00EC3422" w:rsidP="00EC3422">
      <w:pPr>
        <w:pStyle w:val="NormalHanging12a"/>
      </w:pPr>
      <w:r w:rsidRPr="00A86320">
        <w:t>8.</w:t>
      </w:r>
      <w:r w:rsidRPr="00A86320">
        <w:tab/>
      </w:r>
      <w:proofErr w:type="gramStart"/>
      <w:r w:rsidRPr="00A86320">
        <w:t>apeluje</w:t>
      </w:r>
      <w:proofErr w:type="gramEnd"/>
      <w:r w:rsidRPr="00A86320">
        <w:t xml:space="preserve"> o zwiększenie skali Programu </w:t>
      </w:r>
      <w:proofErr w:type="spellStart"/>
      <w:r w:rsidRPr="00A86320">
        <w:t>InvestEU</w:t>
      </w:r>
      <w:proofErr w:type="spellEnd"/>
      <w:r w:rsidRPr="00A86320">
        <w:t xml:space="preserve"> przed przyjęciem kolejnych wieloletnich ram finansowych (WRF) oraz o wsparcie inwestycji w dekarbonizację sektorów energochłonnych z niewykorzystanych pożyczek w ramach Instrumentu na rzecz Odbudowy i Zwiększania Odporności; zauważa, że Platforma na rzecz Technologii Strategicznych dla Europy umożliwia już elastyczność w ramach obecnych programów, ale jest to niewystarczające; nalega, aby w przyszłych WRF zwiększono środki finansowe na wsparcie europejskich sektorów energochłonnych w oparciu o Fundusz Innowacyjny i instrument „Łącząc Europę” – Energia lub za pośrednictwem funduszu konkurencyjności; podkreśla, że trzeba rozbudować Europejski Bank Wodoru i program kontraktów na transakcje różnicowe dotyczące dwutlenku węgla; wzywa Komisję do </w:t>
      </w:r>
      <w:proofErr w:type="gramStart"/>
      <w:r w:rsidRPr="00A86320">
        <w:t>wykorzystania</w:t>
      </w:r>
      <w:proofErr w:type="gramEnd"/>
      <w:r w:rsidRPr="00A86320">
        <w:t xml:space="preserve"> aktu w sprawie przemysłu neutralnego emisyjnie</w:t>
      </w:r>
      <w:r w:rsidRPr="00A86320">
        <w:rPr>
          <w:rStyle w:val="FootnoteReference"/>
        </w:rPr>
        <w:footnoteReference w:id="1"/>
      </w:r>
      <w:r w:rsidRPr="00A86320">
        <w:t xml:space="preserve"> w przyszłym akcie w sprawie przyspieszenia dekarbonizacji w celu usprawnienia </w:t>
      </w:r>
      <w:r w:rsidRPr="00A86320">
        <w:lastRenderedPageBreak/>
        <w:t>procesów wydawania pozwoleń i przyznawania statusu projektu strategicznego;</w:t>
      </w:r>
    </w:p>
    <w:p w:rsidR="00EC3422" w:rsidRPr="00A86320" w:rsidRDefault="00EC3422" w:rsidP="00EC3422">
      <w:pPr>
        <w:pStyle w:val="NormalHanging12a"/>
      </w:pPr>
      <w:r w:rsidRPr="00A86320">
        <w:t>9.</w:t>
      </w:r>
      <w:r w:rsidRPr="00A86320">
        <w:tab/>
      </w:r>
      <w:proofErr w:type="gramStart"/>
      <w:r w:rsidRPr="00A86320">
        <w:t>zwraca</w:t>
      </w:r>
      <w:proofErr w:type="gramEnd"/>
      <w:r w:rsidRPr="00A86320">
        <w:t xml:space="preserve"> uwagę na potrzebę uproszczenia procedur biurokratycznych w celu zwiększenia atrakcyjności inwestycji prywatnych i wsparcia transformacji sektorów energochłonnych; uważa, że zarówno </w:t>
      </w:r>
      <w:proofErr w:type="spellStart"/>
      <w:r w:rsidRPr="00A86320">
        <w:t>InvestEU</w:t>
      </w:r>
      <w:proofErr w:type="spellEnd"/>
      <w:r w:rsidRPr="00A86320">
        <w:t>, jak i EBI odgrywają kluczową rolę w pobudzaniu finansowania prywatnego, zwłaszcza przez środki zmniejszające ryzyko;</w:t>
      </w:r>
    </w:p>
    <w:p w:rsidR="00EC3422" w:rsidRPr="00A86320" w:rsidRDefault="00EC3422" w:rsidP="00EC3422">
      <w:pPr>
        <w:pStyle w:val="NormalHanging12a"/>
      </w:pPr>
      <w:r w:rsidRPr="00A86320">
        <w:t>10.</w:t>
      </w:r>
      <w:r w:rsidRPr="00A86320">
        <w:tab/>
      </w:r>
      <w:proofErr w:type="gramStart"/>
      <w:r w:rsidRPr="00A86320">
        <w:t>zwraca</w:t>
      </w:r>
      <w:proofErr w:type="gramEnd"/>
      <w:r w:rsidRPr="00A86320">
        <w:t xml:space="preserve"> uwagę na potrzebę zapewnienia dostępu do surowców krytycznych; podkreśla, że przyszły akt o gospodarce o obiegu zamkniętym powinien poprawić </w:t>
      </w:r>
      <w:proofErr w:type="spellStart"/>
      <w:r w:rsidRPr="00A86320">
        <w:t>zasobooszczędność</w:t>
      </w:r>
      <w:proofErr w:type="spellEnd"/>
      <w:r w:rsidRPr="00A86320">
        <w:t>, w tym przez lepsze gospodarowanie odpadami produktów zawierających surowce krytyczne, a także wspierać popyt na surowce wtórne i ich dostępność; podkreśla potrzebę zdefiniowania tych surowców wtórnych, które mają strategiczne znaczenie i które powinny podlegać monitorowaniu wywozu, np. stali i złomu, oraz wyeliminowania zakłóceń równowagi w ich podaży i popycie, w tym przez zbadanie ograniczeń wywozowych; nalega na skuteczne egzekwowanie rozporządzenia w sprawie przemieszczania odpadów</w:t>
      </w:r>
      <w:r w:rsidRPr="00A86320">
        <w:rPr>
          <w:rStyle w:val="FootnoteReference"/>
        </w:rPr>
        <w:footnoteReference w:id="2"/>
      </w:r>
      <w:r w:rsidRPr="00A86320">
        <w:t>;</w:t>
      </w:r>
    </w:p>
    <w:p w:rsidR="00EC3422" w:rsidRPr="00A86320" w:rsidRDefault="00EC3422" w:rsidP="00EC3422">
      <w:pPr>
        <w:pStyle w:val="NormalHanging12a"/>
      </w:pPr>
      <w:r w:rsidRPr="00A86320">
        <w:t>11.</w:t>
      </w:r>
      <w:r w:rsidRPr="00A86320">
        <w:tab/>
      </w:r>
      <w:proofErr w:type="gramStart"/>
      <w:r w:rsidRPr="00A86320">
        <w:t>wzywa</w:t>
      </w:r>
      <w:proofErr w:type="gramEnd"/>
      <w:r w:rsidRPr="00A86320">
        <w:t xml:space="preserve"> Komisję do pełnego i skutecznego wykorzystania instrumentów ochrony handlu; wzywa Komisję, aby znalazła trwałe rozwiązanie problemu nieuczciwej konkurencji i strukturalnej nadwyżki mocy produkcyjnych, zanim w 2026 r. wygasną środki ochronne dotyczące stali; apeluje do Komisji o współpracę z USA w związku z zapowiedzianymi cłami na przywóz produktów z UE i o unikanie szkodliwej eskalacji;</w:t>
      </w:r>
    </w:p>
    <w:p w:rsidR="00EC3422" w:rsidRPr="00A86320" w:rsidRDefault="00EC3422" w:rsidP="00EC3422">
      <w:pPr>
        <w:pStyle w:val="NormalHanging12a"/>
      </w:pPr>
      <w:r w:rsidRPr="00A86320">
        <w:t>12.</w:t>
      </w:r>
      <w:r w:rsidRPr="00A86320">
        <w:tab/>
      </w:r>
      <w:proofErr w:type="gramStart"/>
      <w:r w:rsidRPr="00A86320">
        <w:t>podkreśla</w:t>
      </w:r>
      <w:proofErr w:type="gramEnd"/>
      <w:r w:rsidRPr="00A86320">
        <w:t>, że zasadnicze znaczenie dla zapewnienia równych warunków działania dla przemysłu UE i zapobiegania ucieczce emisji ma skuteczne wdrożenie mechanizmu dostosowywania cen na granicach z uwzględnieniem emisji CO</w:t>
      </w:r>
      <w:r w:rsidRPr="00A86320">
        <w:rPr>
          <w:vertAlign w:val="subscript"/>
        </w:rPr>
        <w:t>2</w:t>
      </w:r>
      <w:r w:rsidRPr="00A86320">
        <w:t xml:space="preserve"> (CBAM), biorąc pod uwagę wpływ równoległego wycofywania bezpłatnych uprawnień w ramach ETS oraz ryzyko wzrostu kosztów produkcji; wzywa Komisję do zajęcia się ryzykiem przesuwania zasobów i obchodzenia CBAM; zwraca się o wdrożenie skutecznego rozwiązania dla eksporterów z UE oraz o przeprowadzenie analizy ewentualnego rozszerzenia na kolejne sektory i produkty rynku niższego szczebla, poprzedzonej oceną skutków;</w:t>
      </w:r>
    </w:p>
    <w:p w:rsidR="00EC3422" w:rsidRPr="00A86320" w:rsidRDefault="00EC3422" w:rsidP="00EC3422">
      <w:pPr>
        <w:pStyle w:val="NormalHanging12a"/>
      </w:pPr>
      <w:r w:rsidRPr="00A86320">
        <w:t>13.</w:t>
      </w:r>
      <w:r w:rsidRPr="00A86320">
        <w:tab/>
      </w:r>
      <w:proofErr w:type="gramStart"/>
      <w:r w:rsidRPr="00A86320">
        <w:t>apeluje</w:t>
      </w:r>
      <w:proofErr w:type="gramEnd"/>
      <w:r w:rsidRPr="00A86320">
        <w:t xml:space="preserve"> o stworzenie wiodących rynków czystych produktów europejskich o obiegu zamkniętym przez umieszczenie w zamówieniach publicznych UE kryteriów </w:t>
      </w:r>
      <w:proofErr w:type="spellStart"/>
      <w:r w:rsidRPr="00A86320">
        <w:t>pozacenowych</w:t>
      </w:r>
      <w:proofErr w:type="spellEnd"/>
      <w:r w:rsidRPr="00A86320">
        <w:t xml:space="preserve">, takich jak </w:t>
      </w:r>
      <w:proofErr w:type="spellStart"/>
      <w:r w:rsidRPr="00A86320">
        <w:t>zrównoważoność</w:t>
      </w:r>
      <w:proofErr w:type="spellEnd"/>
      <w:r w:rsidRPr="00A86320">
        <w:t xml:space="preserve"> i odporność oraz europejskie preferencje dla sektorów strategicznych, a także przez wprowadzenie dobrowolnych systemów etykietowania i wymogów dotyczących minimalnej zawartości z UE w sposób racjonalny pod względem kosztów;</w:t>
      </w:r>
    </w:p>
    <w:p w:rsidR="00EC3422" w:rsidRPr="00A86320" w:rsidRDefault="00EC3422" w:rsidP="00EC3422">
      <w:pPr>
        <w:pStyle w:val="NormalHanging12a"/>
      </w:pPr>
      <w:r w:rsidRPr="00A86320">
        <w:t>14.</w:t>
      </w:r>
      <w:r w:rsidRPr="00A86320">
        <w:tab/>
      </w:r>
      <w:proofErr w:type="gramStart"/>
      <w:r w:rsidRPr="00A86320">
        <w:t>podkreśla</w:t>
      </w:r>
      <w:proofErr w:type="gramEnd"/>
      <w:r w:rsidRPr="00A86320">
        <w:t xml:space="preserve"> znaczenie sprawiedliwej transformacji, która powinna pomóc obszarom w dużym stopniu zależnym od sektorów energochłonnych dzięki utrzymaniu i tworzeniu wysokiej jakości miejsc pracy poprzez programy podnoszenia i nabywania nowych kwalifikacji przez pracowników oraz poprzez skuteczne wykorzystanie regionalnych mechanizmów wsparcia, takich jak Fundusz na rzecz Sprawiedliwej Transformacji i Fundusz Spójności; podkreśla, że wsparcie publiczne będzie miało kluczowe znaczenie </w:t>
      </w:r>
      <w:r w:rsidRPr="00A86320">
        <w:lastRenderedPageBreak/>
        <w:t xml:space="preserve">dla transformacji sektorów energochłonnych oraz że powinno być powiązane z ich zobowiązaniem do ochrony zatrudnienia i warunków pracy oraz zapobiegania </w:t>
      </w:r>
      <w:proofErr w:type="spellStart"/>
      <w:r w:rsidRPr="00A86320">
        <w:t>offshoringowi</w:t>
      </w:r>
      <w:proofErr w:type="spellEnd"/>
      <w:r w:rsidRPr="00A86320">
        <w:t>; z zadowoleniem przyjmuje inicjatywę „Unia umiejętności” służącą dopasowaniu umiejętności do potrzeb rynku pracy;</w:t>
      </w:r>
    </w:p>
    <w:p w:rsidR="00A86320" w:rsidRPr="00A86320" w:rsidRDefault="00EC3422" w:rsidP="00A86320">
      <w:pPr>
        <w:pStyle w:val="NormalHanging12a"/>
      </w:pPr>
      <w:r w:rsidRPr="00A86320">
        <w:t>15.</w:t>
      </w:r>
      <w:r w:rsidRPr="00A86320">
        <w:tab/>
      </w:r>
      <w:proofErr w:type="gramStart"/>
      <w:r w:rsidRPr="00A86320">
        <w:t>zobowiązuje</w:t>
      </w:r>
      <w:proofErr w:type="gramEnd"/>
      <w:r w:rsidRPr="00A86320">
        <w:t xml:space="preserve"> swoją przewodniczącą do przekazania niniejszej rezolucji Komisji, Radzie oraz rządom i parlamentom państw członkowskich.</w:t>
      </w:r>
    </w:p>
    <w:p w:rsidR="00E365E1" w:rsidRPr="00A86320" w:rsidRDefault="00E365E1" w:rsidP="00010AE7"/>
    <w:sectPr w:rsidR="00E365E1" w:rsidRPr="00A86320" w:rsidSect="00A863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AE7" w:rsidRPr="00A86320" w:rsidRDefault="00010AE7">
      <w:r w:rsidRPr="00A86320">
        <w:separator/>
      </w:r>
    </w:p>
  </w:endnote>
  <w:endnote w:type="continuationSeparator" w:id="0">
    <w:p w:rsidR="00010AE7" w:rsidRPr="00A86320" w:rsidRDefault="00010AE7">
      <w:r w:rsidRPr="00A863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32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32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32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AE7" w:rsidRPr="00A86320" w:rsidRDefault="00010AE7">
      <w:r w:rsidRPr="00A86320">
        <w:separator/>
      </w:r>
    </w:p>
  </w:footnote>
  <w:footnote w:type="continuationSeparator" w:id="0">
    <w:p w:rsidR="00010AE7" w:rsidRPr="00A86320" w:rsidRDefault="00010AE7">
      <w:r w:rsidRPr="00A86320">
        <w:continuationSeparator/>
      </w:r>
    </w:p>
  </w:footnote>
  <w:footnote w:id="1">
    <w:p w:rsidR="00EC3422" w:rsidRPr="00A86320" w:rsidRDefault="00EC3422" w:rsidP="00A86320">
      <w:pPr>
        <w:pStyle w:val="FootnoteText"/>
        <w:ind w:left="567" w:hanging="567"/>
        <w:rPr>
          <w:sz w:val="24"/>
          <w:lang w:val="pl-PL"/>
        </w:rPr>
      </w:pPr>
      <w:r w:rsidRPr="00A86320">
        <w:rPr>
          <w:rStyle w:val="FootnoteReference"/>
          <w:sz w:val="24"/>
          <w:lang w:val="pl-PL"/>
        </w:rPr>
        <w:footnoteRef/>
      </w:r>
      <w:r w:rsidR="00A86320" w:rsidRPr="00A86320">
        <w:rPr>
          <w:sz w:val="24"/>
          <w:lang w:val="pl-PL"/>
        </w:rPr>
        <w:t xml:space="preserve"> </w:t>
      </w:r>
      <w:r w:rsidR="00A86320" w:rsidRPr="00A86320">
        <w:rPr>
          <w:sz w:val="24"/>
          <w:lang w:val="pl-PL"/>
        </w:rPr>
        <w:tab/>
      </w:r>
      <w:r w:rsidRPr="00A86320">
        <w:rPr>
          <w:sz w:val="24"/>
          <w:lang w:val="pl-PL"/>
        </w:rPr>
        <w:t>Rozporządzenie Parlamentu Europejskiego i Rady (UE) 2024/1735 z dnia 13 czerwca 2024 r. w sprawie ustanowienia ram środków na rzecz wzmocnienia europejskiego ekosystemu produkcji technologii neutralnych emisyjnie i zmieniające rozporządzenie (UE) 2018/1724 (Dz.U. L, 2024/1735, 28.6.2024, ELI: http</w:t>
      </w:r>
      <w:proofErr w:type="gramStart"/>
      <w:r w:rsidRPr="00A86320">
        <w:rPr>
          <w:sz w:val="24"/>
          <w:lang w:val="pl-PL"/>
        </w:rPr>
        <w:t>://data</w:t>
      </w:r>
      <w:proofErr w:type="gramEnd"/>
      <w:r w:rsidRPr="00A86320">
        <w:rPr>
          <w:sz w:val="24"/>
          <w:lang w:val="pl-PL"/>
        </w:rPr>
        <w:t>.</w:t>
      </w:r>
      <w:proofErr w:type="gramStart"/>
      <w:r w:rsidRPr="00A86320">
        <w:rPr>
          <w:sz w:val="24"/>
          <w:lang w:val="pl-PL"/>
        </w:rPr>
        <w:t>europa</w:t>
      </w:r>
      <w:proofErr w:type="gramEnd"/>
      <w:r w:rsidRPr="00A86320">
        <w:rPr>
          <w:sz w:val="24"/>
          <w:lang w:val="pl-PL"/>
        </w:rPr>
        <w:t>.</w:t>
      </w:r>
      <w:proofErr w:type="gramStart"/>
      <w:r w:rsidRPr="00A86320">
        <w:rPr>
          <w:sz w:val="24"/>
          <w:lang w:val="pl-PL"/>
        </w:rPr>
        <w:t>eu</w:t>
      </w:r>
      <w:proofErr w:type="gramEnd"/>
      <w:r w:rsidRPr="00A86320">
        <w:rPr>
          <w:sz w:val="24"/>
          <w:lang w:val="pl-PL"/>
        </w:rPr>
        <w:t>/eli/reg/2024/1735/oj).</w:t>
      </w:r>
    </w:p>
  </w:footnote>
  <w:footnote w:id="2">
    <w:p w:rsidR="00EC3422" w:rsidRPr="00A86320" w:rsidRDefault="00EC3422" w:rsidP="00A86320">
      <w:pPr>
        <w:pStyle w:val="FootnoteText"/>
        <w:ind w:left="567" w:hanging="567"/>
        <w:rPr>
          <w:sz w:val="24"/>
          <w:lang w:val="pl-PL"/>
        </w:rPr>
      </w:pPr>
      <w:r w:rsidRPr="00A86320">
        <w:rPr>
          <w:rStyle w:val="FootnoteReference"/>
          <w:sz w:val="24"/>
          <w:lang w:val="pl-PL"/>
        </w:rPr>
        <w:footnoteRef/>
      </w:r>
      <w:r w:rsidR="00A86320" w:rsidRPr="00A86320">
        <w:rPr>
          <w:sz w:val="24"/>
          <w:lang w:val="pl-PL"/>
        </w:rPr>
        <w:t xml:space="preserve"> </w:t>
      </w:r>
      <w:r w:rsidR="00A86320" w:rsidRPr="00A86320">
        <w:rPr>
          <w:sz w:val="24"/>
          <w:lang w:val="pl-PL"/>
        </w:rPr>
        <w:tab/>
      </w:r>
      <w:r w:rsidRPr="00A86320">
        <w:rPr>
          <w:sz w:val="24"/>
          <w:lang w:val="pl-PL"/>
        </w:rPr>
        <w:t>Rozporządzenie Parlamentu Europejskiego i Rady (UE</w:t>
      </w:r>
      <w:proofErr w:type="gramStart"/>
      <w:r w:rsidRPr="00A86320">
        <w:rPr>
          <w:sz w:val="24"/>
          <w:lang w:val="pl-PL"/>
        </w:rPr>
        <w:t>) 2024/1157 z</w:t>
      </w:r>
      <w:proofErr w:type="gramEnd"/>
      <w:r w:rsidRPr="00A86320">
        <w:rPr>
          <w:sz w:val="24"/>
          <w:lang w:val="pl-PL"/>
        </w:rPr>
        <w:t> dnia 11 kwietnia 2024 r. w sprawie przemieszczania odpadów, zmiany rozporządzeń (UE) nr 1257/2013 i (UE) 2020/1056 oraz uchylenia rozporządzenia (WE) nr 1013/2006 (Dz.U. L, 2024/1157, 30.4.2024, ELI: http</w:t>
      </w:r>
      <w:proofErr w:type="gramStart"/>
      <w:r w:rsidRPr="00A86320">
        <w:rPr>
          <w:sz w:val="24"/>
          <w:lang w:val="pl-PL"/>
        </w:rPr>
        <w:t>://data</w:t>
      </w:r>
      <w:proofErr w:type="gramEnd"/>
      <w:r w:rsidRPr="00A86320">
        <w:rPr>
          <w:sz w:val="24"/>
          <w:lang w:val="pl-PL"/>
        </w:rPr>
        <w:t>.</w:t>
      </w:r>
      <w:proofErr w:type="gramStart"/>
      <w:r w:rsidRPr="00A86320">
        <w:rPr>
          <w:sz w:val="24"/>
          <w:lang w:val="pl-PL"/>
        </w:rPr>
        <w:t>europa</w:t>
      </w:r>
      <w:proofErr w:type="gramEnd"/>
      <w:r w:rsidRPr="00A86320">
        <w:rPr>
          <w:sz w:val="24"/>
          <w:lang w:val="pl-PL"/>
        </w:rPr>
        <w:t>.</w:t>
      </w:r>
      <w:proofErr w:type="gramStart"/>
      <w:r w:rsidRPr="00A86320">
        <w:rPr>
          <w:sz w:val="24"/>
          <w:lang w:val="pl-PL"/>
        </w:rPr>
        <w:t>eu</w:t>
      </w:r>
      <w:proofErr w:type="gramEnd"/>
      <w:r w:rsidRPr="00A86320">
        <w:rPr>
          <w:sz w:val="24"/>
          <w:lang w:val="pl-PL"/>
        </w:rPr>
        <w:t xml:space="preserve">/eli/reg/2024/1157/oj).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32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32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32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09/2025"/>
    <w:docVar w:name="dvlangue" w:val="PL"/>
    <w:docVar w:name="dvnumam" w:val="0"/>
    <w:docVar w:name="dvpe" w:val="772.489"/>
    <w:docVar w:name="dvtitre" w:val="Rezolucja Parlamentu Europejskiego z dnia  2025 r. w sprawie sektorów energochłonnych(2025/2536(RSP))"/>
  </w:docVars>
  <w:rsids>
    <w:rsidRoot w:val="00010AE7"/>
    <w:rsid w:val="00002272"/>
    <w:rsid w:val="00010AE7"/>
    <w:rsid w:val="00064002"/>
    <w:rsid w:val="000677B9"/>
    <w:rsid w:val="000831BA"/>
    <w:rsid w:val="000951F0"/>
    <w:rsid w:val="000A42CC"/>
    <w:rsid w:val="000E7DD9"/>
    <w:rsid w:val="0010095E"/>
    <w:rsid w:val="00125B37"/>
    <w:rsid w:val="00187494"/>
    <w:rsid w:val="001F32AE"/>
    <w:rsid w:val="0020015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5D3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208B"/>
    <w:rsid w:val="00A778C7"/>
    <w:rsid w:val="00A8632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017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342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778B39"/>
  <w15:chartTrackingRefBased/>
  <w15:docId w15:val="{E4E76F5D-1DBC-4764-B850-78EDD1A1E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C3422"/>
    <w:pPr>
      <w:spacing w:before="480" w:after="240"/>
    </w:pPr>
  </w:style>
  <w:style w:type="paragraph" w:customStyle="1" w:styleId="NormalHanging12a">
    <w:name w:val="NormalHanging12a"/>
    <w:basedOn w:val="Normal"/>
    <w:rsid w:val="00EC3422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9FD58-242C-4D9E-8B2E-702419E2F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1944</Words>
  <Characters>13324</Characters>
  <Application>Microsoft Office Word</Application>
  <DocSecurity>0</DocSecurity>
  <Lines>111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2025-04-04T08:30:00Z</dcterms:created>
  <dcterms:modified xsi:type="dcterms:W3CDTF">2025-04-04T08:30:00Z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P10_TA(2025)0065_</vt:lpwstr>
  </property>
  <property fmtid="{D5CDD505-2E9C-101B-9397-08002B2CF9AE}" pid="4" name="&lt;Type&gt;">
    <vt:lpwstr>RR</vt:lpwstr>
  </property>
</Properties>
</file>