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6739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6739B" w:rsidRDefault="007515AB">
            <w:pPr>
              <w:pStyle w:val="EPName"/>
            </w:pPr>
            <w:r>
              <w:t>Európsky parlament</w:t>
            </w:r>
          </w:p>
          <w:p w:rsidR="0046739B" w:rsidRDefault="007515A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46739B" w:rsidRDefault="007515AB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739B" w:rsidRDefault="0046739B">
      <w:pPr>
        <w:pStyle w:val="LineTop"/>
      </w:pPr>
    </w:p>
    <w:p w:rsidR="0046739B" w:rsidRDefault="007515AB">
      <w:pPr>
        <w:pStyle w:val="EPBodyTA1"/>
      </w:pPr>
      <w:r>
        <w:t>PRIJATÉ TEXTY</w:t>
      </w:r>
    </w:p>
    <w:p w:rsidR="0046739B" w:rsidRDefault="0046739B">
      <w:pPr>
        <w:pStyle w:val="LineBottom"/>
      </w:pPr>
    </w:p>
    <w:p w:rsidR="0046739B" w:rsidRDefault="007515AB">
      <w:pPr>
        <w:pStyle w:val="ATHeading1"/>
      </w:pPr>
      <w:bookmarkStart w:id="0" w:name="TANumber"/>
      <w:r>
        <w:t>P10_TA(2025)0065</w:t>
      </w:r>
      <w:bookmarkEnd w:id="0"/>
    </w:p>
    <w:p w:rsidR="0046739B" w:rsidRDefault="007515AB">
      <w:pPr>
        <w:pStyle w:val="ATHeading2"/>
      </w:pPr>
      <w:bookmarkStart w:id="1" w:name="title"/>
      <w:r>
        <w:t>Energeticky náročné priemyselné odvetvia</w:t>
      </w:r>
      <w:bookmarkEnd w:id="1"/>
    </w:p>
    <w:p w:rsidR="0046739B" w:rsidRDefault="007515AB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B10-0209/2025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6739B" w:rsidRDefault="007515AB">
      <w:pPr>
        <w:rPr>
          <w:vanish/>
        </w:rPr>
      </w:pPr>
      <w:bookmarkStart w:id="3" w:name="PE"/>
      <w:r>
        <w:rPr>
          <w:vanish/>
        </w:rPr>
        <w:t>PE772.489</w:t>
      </w:r>
      <w:bookmarkEnd w:id="3"/>
    </w:p>
    <w:p w:rsidR="0046739B" w:rsidRDefault="007515AB">
      <w:pPr>
        <w:pStyle w:val="ATHeading3"/>
      </w:pPr>
      <w:bookmarkStart w:id="4" w:name="Sujet"/>
      <w:r>
        <w:t xml:space="preserve">Uznesenie Európskeho parlamentu z 3. apríla 2025 o energeticky náročných priemyselných </w:t>
      </w:r>
      <w:r>
        <w:t>odvetviach</w:t>
      </w:r>
      <w:bookmarkEnd w:id="4"/>
      <w:r>
        <w:t xml:space="preserve"> </w:t>
      </w:r>
      <w:bookmarkStart w:id="5" w:name="References"/>
      <w:r>
        <w:t>(2025/2536(RSP))</w:t>
      </w:r>
      <w:bookmarkEnd w:id="5"/>
    </w:p>
    <w:p w:rsidR="0046739B" w:rsidRDefault="007515AB">
      <w:pPr>
        <w:pStyle w:val="EPComma"/>
      </w:pPr>
      <w:bookmarkStart w:id="6" w:name="TextBodyBegin"/>
      <w:bookmarkEnd w:id="6"/>
      <w:r>
        <w:rPr>
          <w:i/>
        </w:rPr>
        <w:t>Európsky parlament</w:t>
      </w:r>
      <w:r>
        <w:t>,</w:t>
      </w:r>
    </w:p>
    <w:p w:rsidR="0046739B" w:rsidRDefault="007515AB">
      <w:pPr>
        <w:pStyle w:val="NormalHanging12a"/>
      </w:pPr>
      <w:r>
        <w:t>–</w:t>
      </w:r>
      <w:r>
        <w:tab/>
        <w:t xml:space="preserve">so zreteľom na správu Maria Draghiho zo </w:t>
      </w:r>
      <w:r>
        <w:t>septembra 2024 s názvom Budúcnosť európskej konkurencieschopnosti,</w:t>
      </w:r>
    </w:p>
    <w:p w:rsidR="0046739B" w:rsidRDefault="007515AB">
      <w:pPr>
        <w:pStyle w:val="NormalHanging12a"/>
      </w:pPr>
      <w:r>
        <w:t>–</w:t>
      </w:r>
      <w:r>
        <w:tab/>
        <w:t>so zreteľom na správu Enrica Lettu z</w:t>
      </w:r>
      <w:r>
        <w:t xml:space="preserve"> apríla </w:t>
      </w:r>
      <w:bookmarkStart w:id="7" w:name="_GoBack"/>
      <w:bookmarkEnd w:id="7"/>
      <w:r>
        <w:t>2024 s názvom Oveľa viac než len trh,</w:t>
      </w:r>
    </w:p>
    <w:p w:rsidR="0046739B" w:rsidRDefault="007515AB">
      <w:pPr>
        <w:pStyle w:val="NormalHanging12a"/>
      </w:pPr>
      <w:r>
        <w:t>–</w:t>
      </w:r>
      <w:r>
        <w:tab/>
        <w:t>so zre</w:t>
      </w:r>
      <w:r>
        <w:t>teľom na oznámenie Komisie z 26. februára 2025 s názvom Dohoda o čistom priemysle: spoločný plán konkurencieschopnosti a dekarbonizácie (COM(2025)0085),</w:t>
      </w:r>
    </w:p>
    <w:p w:rsidR="0046739B" w:rsidRDefault="007515AB">
      <w:pPr>
        <w:pStyle w:val="NormalHanging12a"/>
      </w:pPr>
      <w:r>
        <w:t>–</w:t>
      </w:r>
      <w:r>
        <w:tab/>
        <w:t xml:space="preserve">so zreteľom na oznámenie Komisie z 26. februára 2025 s názvom Akčný plán pre prijateľné ceny energie </w:t>
      </w:r>
      <w:r>
        <w:t>(COM(2025)0079),</w:t>
      </w:r>
    </w:p>
    <w:p w:rsidR="0046739B" w:rsidRDefault="007515AB">
      <w:pPr>
        <w:pStyle w:val="NormalHanging12a"/>
      </w:pPr>
      <w:r>
        <w:t>–</w:t>
      </w:r>
      <w:r>
        <w:tab/>
        <w:t>so zreteľom na článok 136 ods. 2 rokovacieho poriadku,</w:t>
      </w:r>
    </w:p>
    <w:p w:rsidR="0046739B" w:rsidRDefault="007515AB">
      <w:pPr>
        <w:pStyle w:val="NormalHanging12a"/>
      </w:pPr>
      <w:r>
        <w:t>–</w:t>
      </w:r>
      <w:r>
        <w:tab/>
        <w:t>so zreteľom na návrh uznesenia Výboru pre priemysel, výskum a energetiku,</w:t>
      </w:r>
    </w:p>
    <w:p w:rsidR="0046739B" w:rsidRDefault="007515AB">
      <w:pPr>
        <w:pStyle w:val="NormalHanging12a"/>
      </w:pPr>
      <w:r>
        <w:t>A.</w:t>
      </w:r>
      <w:r>
        <w:tab/>
        <w:t xml:space="preserve">keďže energeticky náročné priemyselné odvetvia (ENPO) tvoria významnú časť hospodárstva EÚ a zohrávajú </w:t>
      </w:r>
      <w:r>
        <w:t>kľúčovú úlohu pri vytváraní pracovných miest, najmä v oblastiach a regiónoch, v ktorých sú sústredené; keďže ENPO majú zásadný význam pre strategickú autonómiu a konkurencieschopnosť EÚ, ako aj pre dekarbonizáciu, a to vzhľadom na ich energetickú stopu;</w:t>
      </w:r>
    </w:p>
    <w:p w:rsidR="0046739B" w:rsidRDefault="007515AB">
      <w:pPr>
        <w:pStyle w:val="NormalHanging12a"/>
      </w:pPr>
      <w:r>
        <w:t>B.</w:t>
      </w:r>
      <w:r>
        <w:tab/>
        <w:t>keďže prechod na dekarbonizované hospodárstvo a čistý energetický systém musí viesť k zníženiu cien energie a musí zohľadňovať všetky dostupné technológie, ktoré prispievajú k dosiahnutiu cieľa nulovej bilancie emisií EÚ do roku 2050 nákladovo najefektívn</w:t>
      </w:r>
      <w:r>
        <w:t>ejším spôsobom a súčasne zabrániť efektu odkázanosti na určitého dodávateľa energie a zohľadniť rozdielny energetický mix v jednotlivých členských štátoch, a to aj pokiaľ ide o obnoviteľné zdroje energie a jadrovú energiu;</w:t>
      </w:r>
    </w:p>
    <w:p w:rsidR="0046739B" w:rsidRDefault="007515AB">
      <w:pPr>
        <w:pStyle w:val="NormalHanging12a"/>
      </w:pPr>
      <w:r>
        <w:t>C.</w:t>
      </w:r>
      <w:r>
        <w:tab/>
        <w:t>keďže pre európsky priemysel m</w:t>
      </w:r>
      <w:r>
        <w:t xml:space="preserve">á zásadný význam technologická neutralita, pretože zabezpečuje spravodlivú hospodársku súťaž, podporuje inovácie a prechod na čistú energiu bez uprednostňovania konkrétnych technológií; keďže zachovanie neutrálneho regulačného rámca umožňuje spoločnostiam </w:t>
      </w:r>
      <w:r>
        <w:t xml:space="preserve">vybrať si najúčinnejšie a najudržateľnejšie riešenia založené na potrebách trhu, a nie na preferenciách zhora nadol stanovených </w:t>
      </w:r>
      <w:r>
        <w:lastRenderedPageBreak/>
        <w:t>tvorcami politík; keďže tento prístup podporuje investície, zvyšuje konkurencieschopnosť a umožňuje priemyslu prispôsobiť sa nov</w:t>
      </w:r>
      <w:r>
        <w:t>ým technológiám;</w:t>
      </w:r>
    </w:p>
    <w:p w:rsidR="0046739B" w:rsidRDefault="007515AB">
      <w:pPr>
        <w:pStyle w:val="NormalHanging12a"/>
      </w:pPr>
      <w:r>
        <w:t>D.</w:t>
      </w:r>
      <w:r>
        <w:tab/>
        <w:t>keďže elektrifikácia je stredobodom dekarbonizácie ENPO; keďže medzi ENPO patria odvetvia, ktoré využívajú fosílne zdroje na splnenie požiadaviek na teplotu, tlak alebo reakcie, ako sú chemický priemysel, výroba ocele, papiera, plastov,</w:t>
      </w:r>
      <w:r>
        <w:t xml:space="preserve"> ťažba, rafinérie, cementárne, vápenky, výroba neželezných kovov, skla, keramiky a hnojív, v prípade ktorých sa emisie skleníkových plynov ťažko znižujú, pretože sú neoddeliteľnou súčasťou procesu alebo z dôvodu vysokých kapitálových alebo prevádzkových ná</w:t>
      </w:r>
      <w:r>
        <w:t>kladov alebo nízkej technologickej vyspelosti;</w:t>
      </w:r>
    </w:p>
    <w:p w:rsidR="0046739B" w:rsidRDefault="007515AB">
      <w:pPr>
        <w:pStyle w:val="NormalHanging12a"/>
      </w:pPr>
      <w:r>
        <w:t>E.</w:t>
      </w:r>
      <w:r>
        <w:tab/>
        <w:t>keďže rozdiel v cenách energie medzi EÚ a USA a Čínou oslabuje konkurencieschopnosť priemyselných odvetví EÚ; keďže zvýšené a nestále ceny fosílnych palív výrazne ovplyvňujú ceny elektrickej energie a cenov</w:t>
      </w:r>
      <w:r>
        <w:t>á dostupnosť obnoviteľných zdrojov energie sa neprenáša na účty za energiu;</w:t>
      </w:r>
    </w:p>
    <w:p w:rsidR="0046739B" w:rsidRDefault="007515AB">
      <w:pPr>
        <w:pStyle w:val="NormalHanging12a"/>
      </w:pPr>
      <w:r>
        <w:t>F.</w:t>
      </w:r>
      <w:r>
        <w:tab/>
        <w:t>keďže nedostatočne integrovaná energetická únia predstavuje ďalšie výzvy pre ENPO, najmä v súvislosti s nedostatkom cezhraničných prepojení a obmedzenou dostupnosťou čistej ener</w:t>
      </w:r>
      <w:r>
        <w:t>gie v dôsledku zdĺhavých povoľovacích postupov alebo vysokých kapitálových alebo prevádzkových výdavkov, ako aj preťaženia siete;</w:t>
      </w:r>
    </w:p>
    <w:p w:rsidR="0046739B" w:rsidRDefault="007515AB">
      <w:pPr>
        <w:pStyle w:val="NormalHanging12a"/>
      </w:pPr>
      <w:r>
        <w:t>G.</w:t>
      </w:r>
      <w:r>
        <w:tab/>
        <w:t xml:space="preserve">keďže systém obchodovania s emisiami (ETS) poskytol dlhodobé investičné signály a pomohol znížiť emisie v odvetviach ETS o </w:t>
      </w:r>
      <w:r>
        <w:t>47 %; keďže trh s energiou sa od zavedenia ETS výrazne zmenil, najmä po invázii Ruska na Ukrajinu a prechode z plynovodného plynu na skvapalnený zemný plyn (LNG); keďže nedostatočná transparentnosť trhu s uhlíkom môže ohroziť konkurencieschopnosť ENPO; keď</w:t>
      </w:r>
      <w:r>
        <w:t>že príjmy z ETS sa v jednotlivých členských štátoch využívajú nerovnomerne, čím sa dostatočne nepodporuje dekarbonizácia ENPO;</w:t>
      </w:r>
    </w:p>
    <w:p w:rsidR="0046739B" w:rsidRDefault="007515AB">
      <w:pPr>
        <w:pStyle w:val="NormalHanging12a"/>
      </w:pPr>
      <w:r>
        <w:t>H.</w:t>
      </w:r>
      <w:r>
        <w:tab/>
        <w:t>keďže zbytočná regulačná záťaž a zdĺhavé povoľovacie postupy ohrozujú návratnosť a dôvody investovania do dekarbonizácie v Eur</w:t>
      </w:r>
      <w:r>
        <w:t>ópe; keďže koncepcia vyššieho verejného záujmu je stanovená v právnych predpisoch EÚ; keďže zložité a roztrieštené financovanie EÚ bráni včasným investíciám do emisne neutrálnych technológií a digitalizácie, najmä malým a stredným podnikom (MSP);</w:t>
      </w:r>
    </w:p>
    <w:p w:rsidR="0046739B" w:rsidRDefault="007515AB">
      <w:pPr>
        <w:pStyle w:val="NormalHanging12a"/>
      </w:pPr>
      <w:r>
        <w:t>I.</w:t>
      </w:r>
      <w:r>
        <w:tab/>
        <w:t xml:space="preserve">keďže </w:t>
      </w:r>
      <w:r>
        <w:t>nedostatok potrebných súkromných investícií môže brániť dekarbonizácii ENPO; keďže nadmerné spoliehanie sa na štátnu pomoc môže mať neželané dôsledky prehlbovania rozdielov a narušenia hospodárskej súťaže v celej EÚ;</w:t>
      </w:r>
    </w:p>
    <w:p w:rsidR="0046739B" w:rsidRDefault="007515AB">
      <w:pPr>
        <w:pStyle w:val="NormalHanging12a"/>
      </w:pPr>
      <w:r>
        <w:t>J.</w:t>
      </w:r>
      <w:r>
        <w:tab/>
        <w:t>keďže závislosť EÚ a obmedzený príst</w:t>
      </w:r>
      <w:r>
        <w:t xml:space="preserve">up, pokiaľ ide o kvantitu aj kvalitu, k prvotným a druhotným surovinám, predstavujú pre ENPO značné výzvy; keďže obehovosť a efektívnosť môžu pomôcť znížiť ročné investičné potreby do priemyslu a dodávok energie; keďže železné kovy vyvážané do krajín mimo </w:t>
      </w:r>
      <w:r>
        <w:t>EÚ v súčasnosti predstavujú viac ako polovicu celkového vývozu odpadu z EÚ, čo vyvoláva otázky v súvislosti s ich riadnym spracovaním;</w:t>
      </w:r>
    </w:p>
    <w:p w:rsidR="0046739B" w:rsidRDefault="007515AB">
      <w:pPr>
        <w:pStyle w:val="NormalHanging12a"/>
      </w:pPr>
      <w:r>
        <w:t>K.</w:t>
      </w:r>
      <w:r>
        <w:tab/>
        <w:t>keďže nekalá hospodárska súťaž zo strany krajín mimo EÚ vrátane subvencovanej nadmernej kapacity predstavuje pre spolo</w:t>
      </w:r>
      <w:r>
        <w:t>čnosti EÚ veľkú výzvu; keďže mnohé regióny na celom svete v súčasnosti nemajú ambiciózne ciele v oblasti dekarbonizácie, čím sa zvyšuje riziko úniku uhlíka;</w:t>
      </w:r>
    </w:p>
    <w:p w:rsidR="0046739B" w:rsidRDefault="007515AB">
      <w:pPr>
        <w:pStyle w:val="NormalHanging12a"/>
      </w:pPr>
      <w:r>
        <w:lastRenderedPageBreak/>
        <w:t>L.</w:t>
      </w:r>
      <w:r>
        <w:tab/>
        <w:t>keďže hĺbková transformácia ENPO nemôže uspieť bez zapojenia miestnych a regionálnych komunít, p</w:t>
      </w:r>
      <w:r>
        <w:t>racovníkov a sociálnych partnerov, ktorí sú touto transformáciou výrazne dotknutí;</w:t>
      </w:r>
    </w:p>
    <w:p w:rsidR="0046739B" w:rsidRDefault="007515AB">
      <w:pPr>
        <w:pStyle w:val="NormalHanging12a"/>
      </w:pPr>
      <w:r>
        <w:t>1.</w:t>
      </w:r>
      <w:r>
        <w:tab/>
        <w:t>opakuje svoj záväzok k cieľom EÚ v oblasti dekarbonizácie a k stabilným a predvídateľným politikám v oblasti klímy a priemyslu;</w:t>
      </w:r>
    </w:p>
    <w:p w:rsidR="0046739B" w:rsidRDefault="007515AB">
      <w:pPr>
        <w:pStyle w:val="NormalHanging12a"/>
      </w:pPr>
      <w:r>
        <w:t>2.</w:t>
      </w:r>
      <w:r>
        <w:tab/>
        <w:t>vyzýva členské štáty, aby urýchlili pov</w:t>
      </w:r>
      <w:r>
        <w:t>oľovacie a licenčné postupy pre projekty v oblasti čistej energie, zabezpečili administratívne kapacity a uľahčili pripojenie do sústavy s cieľom umožniť výrobu čistej energie na mieste, najmä v odľahlých oblastiach; zdôrazňuje, že rast obnoviteľných zdroj</w:t>
      </w:r>
      <w:r>
        <w:t>ov energie a elektrifikácia si budú vyžadovať rozsiahle investície do prenosových sústav a do flexibility, uskladňovania a distribučných sietí; vyzýva Komisiu, aby okrem koncepcie vyššieho verejného záujmu vypracovala riešenia na urýchlenie projektov dekar</w:t>
      </w:r>
      <w:r>
        <w:t>bonizácie;</w:t>
      </w:r>
    </w:p>
    <w:p w:rsidR="0046739B" w:rsidRDefault="007515AB">
      <w:pPr>
        <w:pStyle w:val="NormalHanging12a"/>
      </w:pPr>
      <w:r>
        <w:t>3.</w:t>
      </w:r>
      <w:r>
        <w:tab/>
        <w:t>domnieva sa, že sú potrebné ďalšie opatrenia na vykonávanie pravidiel koncepcie trhu s elektrinou, najmä na podporu zmlúv o nákupe elektriny a dvojsmerných rozdielových zmlúv s cieľom znížiť volatilitu a náklady na energiu pre ENPO; vyzýva Ko</w:t>
      </w:r>
      <w:r>
        <w:t>misiu, aby navrhla naliehavé opatrenia na riešenie súčasných prekážok, ktoré bránia podpisovaniu dlhodobých dohôd, najmä pre MSP, s využitím nástrojov a záruk na zníženie rizika vrátane verejnej záruky, ako napríklad zo strany Európskej investičnej banky (</w:t>
      </w:r>
      <w:r>
        <w:t>EIB); navrhuje, aby sa v rámci EMD preskúmali ďalšie spôsoby oddelenia cien fosílnych palív od cien elektrickej energie, a to aj s cieľom podporiť dlhodobé zmluvy v súlade s akčným plánom pre cenovo dostupnú energiu, a aby sa analýza krátkodobých trhov pos</w:t>
      </w:r>
      <w:r>
        <w:t>unula do roku 2025 s cieľom zvážiť alternatívne možnosti koncepcie trhu;</w:t>
      </w:r>
    </w:p>
    <w:p w:rsidR="0046739B" w:rsidRDefault="007515AB">
      <w:pPr>
        <w:pStyle w:val="NormalHanging12a"/>
      </w:pPr>
      <w:r>
        <w:t>4.</w:t>
      </w:r>
      <w:r>
        <w:tab/>
        <w:t>vyzýva Komisiu, aby posúdila možnosť rozšírenia najlepších postupov pre ENPO z členských štátov, ako je uvoľňovanie energie v Taliansku; vyzýva Komisiu, aby vypracovala odporúčania</w:t>
      </w:r>
      <w:r>
        <w:t xml:space="preserve"> na zníženie vystavenia spotrebiteľov, a najmä ENPO, rastúcim nákladom na energiu, napríklad znížením daní a odvodov a harmonizáciou sieťových poplatkov, a zároveň zabezpečením verejných investícií do sietí;</w:t>
      </w:r>
    </w:p>
    <w:p w:rsidR="0046739B" w:rsidRDefault="007515AB">
      <w:pPr>
        <w:pStyle w:val="NormalHanging12a"/>
      </w:pPr>
      <w:r>
        <w:t>5.</w:t>
      </w:r>
      <w:r>
        <w:tab/>
        <w:t>vyzýva na posilnenie integrácie energetického</w:t>
      </w:r>
      <w:r>
        <w:t xml:space="preserve"> systému, najmä v súvislosti s cezhraničnými prepojeniami, s cieľom zabezpečiť čisté a odolné dodávky energie; požaduje zvýšenie investícií do flexibility, ako je uskladňovanie vrátane prečerpávacích vodných elektrární a uskladňovania tepla a odpadového te</w:t>
      </w:r>
      <w:r>
        <w:t>pla, a do reakcie na strane spotreby s cieľom optimalizovať stabilitu siete; pripomína význam energetickej účinnosti pri znižovaní nákladov;</w:t>
      </w:r>
    </w:p>
    <w:p w:rsidR="0046739B" w:rsidRDefault="007515AB">
      <w:pPr>
        <w:pStyle w:val="NormalHanging12a"/>
      </w:pPr>
      <w:r>
        <w:t>6.</w:t>
      </w:r>
      <w:r>
        <w:tab/>
        <w:t>zdôrazňuje, že je potrebné čo najskôr postupne ukončiť využívanie zemného plynu; zdôrazňuje, že niektoré odvetvi</w:t>
      </w:r>
      <w:r>
        <w:t xml:space="preserve">a sa v krátkodobom až strednodobom horizonte nemôžu výrazne spoliehať na elektrifikáciu; </w:t>
      </w:r>
      <w:r>
        <w:rPr>
          <w:rStyle w:val="Strong"/>
          <w:b w:val="0"/>
        </w:rPr>
        <w:t>zdôrazňuje, že zachytávanie, využívanie a ukladanie uhlíka zohráva kľúčovú úlohu pri dekarbonizácii odvetví, v ktorých je znižovanie emisií náročné, a pri výrobe nízko</w:t>
      </w:r>
      <w:r>
        <w:rPr>
          <w:rStyle w:val="Strong"/>
          <w:b w:val="0"/>
        </w:rPr>
        <w:t>uhlíkových produktov vrátane nízkouhlíkového vodíka;</w:t>
      </w:r>
      <w:r>
        <w:rPr>
          <w:rStyle w:val="Strong"/>
          <w:b w:val="0"/>
          <w:i/>
        </w:rPr>
        <w:t xml:space="preserve"> </w:t>
      </w:r>
      <w:r>
        <w:t>vyzýva členské štáty, aby v rovnakom časovom období a pre tieto obmedzené odvetvia vypracovali opatrenia na riešenie prudkých špičiek cien plynu v riadne odôvodnených prípadoch; vyzýva Komisiu, aby vyvin</w:t>
      </w:r>
      <w:r>
        <w:t xml:space="preserve">ula nástroje na zabezpečenie dodávok plynu za zmiernené náklady tým, že umožní agregáciu dopytu, bude vychádzať z AggregateEU a spoločného nákupu plynu a zároveň zachová ciele dekarbonizácie; zdôrazňuje význam podpory stabilných zmlúv s dodávateľmi plynu, </w:t>
      </w:r>
      <w:r>
        <w:t xml:space="preserve">diverzifikácie dodávateľských trás a zlepšenia transparentnosti a stability trhu v súlade </w:t>
      </w:r>
      <w:r>
        <w:lastRenderedPageBreak/>
        <w:t>so súčasnými právnymi predpismi; požaduje posúdenie vplyvu v rámci nadchádzajúceho preskúmania ETS, aby sa analyzoval vzťah medzi trhom s plynom a cenami CO</w:t>
      </w:r>
      <w:r>
        <w:rPr>
          <w:vertAlign w:val="subscript"/>
        </w:rPr>
        <w:t>2</w:t>
      </w:r>
      <w:r>
        <w:t xml:space="preserve"> a úloha </w:t>
      </w:r>
      <w:r>
        <w:t>trhovej stabilizačnej rezervy a jej parametrov;</w:t>
      </w:r>
    </w:p>
    <w:p w:rsidR="0046739B" w:rsidRDefault="007515AB">
      <w:pPr>
        <w:pStyle w:val="NormalHanging12a"/>
      </w:pPr>
      <w:r>
        <w:t>7.</w:t>
      </w:r>
      <w:r>
        <w:tab/>
        <w:t>vyzýva Komisiu, aby podporovala ENPO pri zavádzaní čistých a emisne neutrálnych technológií vrátane zachytávania a ukladania nízkouhlíkového</w:t>
      </w:r>
      <w:r>
        <w:t xml:space="preserve"> vodíka a energeticky účinných výrobných metód posilnením mechanizmov financovania a zabezpečením toho, aby členské štáty účinne využívali príjmy z ETS; žiada, aby sa podpora na úrovni EÚ doplnila štátnou pomocou, ktorá umožní cielenú, technologicky neutrá</w:t>
      </w:r>
      <w:r>
        <w:t>lnu podporu pre európske priemyselné odvetvia a zároveň zachová rovnaké podmienky v rámci jednotného trhu;</w:t>
      </w:r>
    </w:p>
    <w:p w:rsidR="0046739B" w:rsidRDefault="007515AB">
      <w:pPr>
        <w:pStyle w:val="NormalHanging12a"/>
      </w:pPr>
      <w:r>
        <w:t>8.</w:t>
      </w:r>
      <w:r>
        <w:tab/>
        <w:t>vyzýva na navýšenie programu InvestEU pred budúcim viacročným finančným rámcom (VFR) a na podporu investícií do dekarbonizácie ENPO zo zostávajúci</w:t>
      </w:r>
      <w:r>
        <w:t>ch úverov v rámci Mechanizmu na podporu obnovy a odolnosti; konštatuje, že Platforma strategických technológií pre Európu už umožňuje flexibilitu v rámci súčasných programov, ale nie je nedostatočná; trvá na tom, aby sa v nadchádzajúcom VFR zvýšili finančn</w:t>
      </w:r>
      <w:r>
        <w:t>é prostriedky na podporu ENPO, a to na základe Inovačného fondu a Nástroja na prepájanie Európy – energetika alebo prostredníctvom fondu pre konkurencieschopnosť; zdôrazňuje, že je potrebné rozšíriť Európsku vodíkovú banku a program rozdielových zmlúv o uh</w:t>
      </w:r>
      <w:r>
        <w:t>líku; vyzýva Komisiu, aby v pripravovanom akte o emisne neutrálnom priemysle</w:t>
      </w:r>
      <w:r>
        <w:rPr>
          <w:rStyle w:val="FootnoteReference"/>
        </w:rPr>
        <w:footnoteReference w:id="1"/>
      </w:r>
      <w:r>
        <w:t xml:space="preserve"> vychádzala z aktu o urýchľovači dekarbonizácie s cieľom zefektívniť postupy udeľovania povolení a statusu strategického projektu;</w:t>
      </w:r>
    </w:p>
    <w:p w:rsidR="0046739B" w:rsidRDefault="007515AB">
      <w:pPr>
        <w:pStyle w:val="NormalHanging12a"/>
      </w:pPr>
      <w:r>
        <w:t>9.</w:t>
      </w:r>
      <w:r>
        <w:tab/>
        <w:t>zdôrazňuje potrebu zjednodušiť byrokratické p</w:t>
      </w:r>
      <w:r>
        <w:t>ostupy, aby sa zvýšila atraktívnosť súkromných investícií a podporila transformácia ENPO; domnieva sa, že program InvestEU aj EIB zohrávajú kľúčovú úlohu pri stimulovaní súkromného financovania, najmä prostredníctvom opatrení na znižovanie rizika;</w:t>
      </w:r>
    </w:p>
    <w:p w:rsidR="0046739B" w:rsidRDefault="007515AB">
      <w:pPr>
        <w:pStyle w:val="NormalHanging12a"/>
      </w:pPr>
      <w:r>
        <w:t>10.</w:t>
      </w:r>
      <w:r>
        <w:tab/>
        <w:t>zdôr</w:t>
      </w:r>
      <w:r>
        <w:t>azňuje potrebu zabezpečiť prístup ku kritickým surovinám; zdôrazňuje, že nadchádzajúci akt o obehovom hospodárstve by mal zlepšiť efektívnosť využívania zdrojov, a to aj lepším nakladaním s odpadom z výrobkov obsahujúcich kritické suroviny, ako aj podporou</w:t>
      </w:r>
      <w:r>
        <w:t xml:space="preserve"> dopytu po druhotných surovinách a ich dostupnosti; zdôrazňuje, že je potrebné vymedziť tie druhotné suroviny, ktoré sú strategické a ktoré by mali podliehať monitorovaniu vývozu, ako je oceľ a kovový šrot, a riešiť akúkoľvek nerovnováhu v ich ponuke a dop</w:t>
      </w:r>
      <w:r>
        <w:t>yte, a to aj preskúmaním vývozných obmedzení; trvá na účinnom presadzovaní nariadenia o preprave odpadu</w:t>
      </w:r>
      <w:r>
        <w:rPr>
          <w:rStyle w:val="FootnoteReference"/>
        </w:rPr>
        <w:footnoteReference w:id="2"/>
      </w:r>
      <w:r>
        <w:t>;</w:t>
      </w:r>
    </w:p>
    <w:p w:rsidR="0046739B" w:rsidRDefault="007515AB">
      <w:pPr>
        <w:pStyle w:val="NormalHanging12a"/>
      </w:pPr>
      <w:r>
        <w:t>11.</w:t>
      </w:r>
      <w:r>
        <w:tab/>
        <w:t xml:space="preserve">vyzýva Komisiu, aby plne a efektívne využívala nástroje na ochranu obchodu; vyzýva Komisiu, aby našla trvalé riešenie nekalej hospodárskej súťaže </w:t>
      </w:r>
      <w:r>
        <w:t xml:space="preserve">a štrukturálnej nadmernej kapacity pred uplynutím platnosti súčasných ochranných opatrení v oblasti ocele v roku 2026; vyzýva Komisiu, aby spolupracovala s USA v súvislosti s </w:t>
      </w:r>
      <w:r>
        <w:lastRenderedPageBreak/>
        <w:t>oznámenými clami na dovoz z EÚ a zabránila akejkoľvek škodlivej eskalácii;</w:t>
      </w:r>
    </w:p>
    <w:p w:rsidR="0046739B" w:rsidRDefault="007515AB">
      <w:pPr>
        <w:pStyle w:val="NormalHanging12a"/>
      </w:pPr>
      <w:r>
        <w:t>12.</w:t>
      </w:r>
      <w:r>
        <w:tab/>
        <w:t>zd</w:t>
      </w:r>
      <w:r>
        <w:t>ôrazňuje, že účinné vykonávanie Mechanizmu kompenzácie uhlíka na hraniciach (CBAM) je nevyhnutné na zabezpečenie rovnakých podmienok pre priemyselné odvetvia EÚ a zabránenie úniku uhlíka, s ohľadom na vplyv súbežného postupného rušenia bezodplatných kvót E</w:t>
      </w:r>
      <w:r>
        <w:t>TS a riziko zvýšenia výrobných nákladov; vyzýva Komisiu, aby riešila riziká presúvania zdrojov a obchádzania mechanizmu CBAM; okrem toho žiada zavedenie účinného riešenia pre vývozcov z EÚ a analýzu možného rozšírenia na ďalšie odvetvia a nadväzujúce výrob</w:t>
      </w:r>
      <w:r>
        <w:t>ky, ktorému by predchádzalo posúdenie vplyvu;</w:t>
      </w:r>
    </w:p>
    <w:p w:rsidR="0046739B" w:rsidRDefault="007515AB">
      <w:pPr>
        <w:pStyle w:val="NormalHanging12a"/>
      </w:pPr>
      <w:r>
        <w:t>13.</w:t>
      </w:r>
      <w:r>
        <w:tab/>
        <w:t>vyzýva na vytvorenie vedúcich trhov s čistými a obehovými európskymi výrobkami prostredníctvom necenových kritérií vo verejnom obstarávaní EÚ, ako je udržateľnosť a odolnosť a uprednostňovanie európskych st</w:t>
      </w:r>
      <w:r>
        <w:t>rategických odvetví, ako aj vytvorením dobrovoľných systémov označovania a požiadaviek na minimálny podiel obsahu vyrobeného v EÚ nákladovo efektívnym spôsobom;</w:t>
      </w:r>
    </w:p>
    <w:p w:rsidR="0046739B" w:rsidRDefault="007515AB">
      <w:pPr>
        <w:pStyle w:val="NormalHanging12a"/>
      </w:pPr>
      <w:r>
        <w:t>14.</w:t>
      </w:r>
      <w:r>
        <w:tab/>
        <w:t>zdôrazňuje význam spravodlivej transformácie pri pomoci oblastiam, ktoré sú vo veľkej miere</w:t>
      </w:r>
      <w:r>
        <w:t xml:space="preserve"> závislé od ENPO, a to udržaním a vytváraním kvalitných pracovných miest prostredníctvom programov zvyšovania úrovne zručností a rekvalifikácie pracovníkov a prostredníctvom účinného využívania regionálnych podporných mechanizmov, ako je Fond na spravodliv</w:t>
      </w:r>
      <w:r>
        <w:t>ú transformáciu a Kohézny fond; zdôrazňuje, že verejná podpora bude kľúčová pre prechod európskych priemyselných odvetví, a že táto podpora by mala byť viazaná na ich záväzok chrániť podmienky zamestnania a pracovné podmienky a predchádzať presúvaniu do za</w:t>
      </w:r>
      <w:r>
        <w:t>hraničia; víta iniciatívu Únia zručností, ktorej cieľom je zabezpečiť dobrý súlad medzi zručnosťami a požiadavkami trhu práce;</w:t>
      </w:r>
    </w:p>
    <w:p w:rsidR="0046739B" w:rsidRDefault="007515AB">
      <w:pPr>
        <w:pStyle w:val="NormalHanging12a"/>
      </w:pPr>
      <w:r>
        <w:t>15.</w:t>
      </w:r>
      <w:r>
        <w:tab/>
        <w:t>poveruje svoju predsedníčku, aby postúpila toto uznesenie Komisii, Rade a vládam a parlamentom členských štátov.</w:t>
      </w:r>
    </w:p>
    <w:sectPr w:rsidR="004673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39B" w:rsidRDefault="007515AB">
      <w:r>
        <w:separator/>
      </w:r>
    </w:p>
  </w:endnote>
  <w:endnote w:type="continuationSeparator" w:id="0">
    <w:p w:rsidR="0046739B" w:rsidRDefault="0075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9B" w:rsidRDefault="0046739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9B" w:rsidRDefault="0046739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9B" w:rsidRDefault="004673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39B" w:rsidRDefault="007515AB">
      <w:r>
        <w:separator/>
      </w:r>
    </w:p>
  </w:footnote>
  <w:footnote w:type="continuationSeparator" w:id="0">
    <w:p w:rsidR="0046739B" w:rsidRDefault="007515AB">
      <w:r>
        <w:continuationSeparator/>
      </w:r>
    </w:p>
  </w:footnote>
  <w:footnote w:id="1">
    <w:p w:rsidR="0046739B" w:rsidRDefault="007515AB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Európskeho parlamentu a Rady (EÚ) 2024/1735 z 13. júna 2024 o zriadení rámca opatrení na posilnenie európskeho ekosystému výroby emisne neutrálnych technológií a </w:t>
      </w:r>
      <w:r>
        <w:rPr>
          <w:sz w:val="24"/>
          <w:lang w:val="sk-SK"/>
        </w:rPr>
        <w:t xml:space="preserve">o zmene nariadenia (EÚ) 2018/1724 (Ú. v. EÚ L, 2024/1735, 28.6.2024, ELI: </w:t>
      </w:r>
      <w:hyperlink r:id="rId1" w:history="1">
        <w:r>
          <w:rPr>
            <w:rStyle w:val="Hyperlink"/>
            <w:sz w:val="24"/>
            <w:lang w:val="en-GB"/>
          </w:rPr>
          <w:t>http://data.europa.eu/eli/reg/2024/1735/oj</w:t>
        </w:r>
      </w:hyperlink>
      <w:r>
        <w:rPr>
          <w:sz w:val="24"/>
          <w:lang w:val="sk-SK"/>
        </w:rPr>
        <w:t>).</w:t>
      </w:r>
    </w:p>
  </w:footnote>
  <w:footnote w:id="2">
    <w:p w:rsidR="0046739B" w:rsidRDefault="007515AB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Európskeho parlamentu a Rady (EÚ) 2024/1157 z 11. apríla 2024 o </w:t>
      </w:r>
      <w:r>
        <w:rPr>
          <w:sz w:val="24"/>
          <w:lang w:val="sk-SK"/>
        </w:rPr>
        <w:t xml:space="preserve">preprave odpadu, ktorým sa menia nariadenia (EÚ) č. 1257/2013 a (EÚ) 2020/1056 a zrušuje nariadenie (ES) č. 1013/2006 (Ú. v. EÚ L, 2024/1157, 30.4.2024, ELI: </w:t>
      </w:r>
      <w:hyperlink r:id="rId2" w:history="1">
        <w:r>
          <w:rPr>
            <w:rStyle w:val="Hyperlink"/>
            <w:sz w:val="24"/>
            <w:lang w:val="sk-SK"/>
          </w:rPr>
          <w:t>http://data.europa.eu/eli/reg/2024/1157</w:t>
        </w:r>
        <w:r>
          <w:rPr>
            <w:rStyle w:val="Hyperlink"/>
            <w:sz w:val="24"/>
            <w:lang w:val="sk-SK"/>
          </w:rPr>
          <w:t>/oj</w:t>
        </w:r>
      </w:hyperlink>
      <w:r>
        <w:rPr>
          <w:sz w:val="24"/>
          <w:lang w:val="sk-SK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9B" w:rsidRDefault="0046739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9B" w:rsidRDefault="0046739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9B" w:rsidRDefault="004673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9/2025"/>
    <w:docVar w:name="dvlangue" w:val="SK"/>
    <w:docVar w:name="dvnumam" w:val="0"/>
    <w:docVar w:name="dvpe" w:val="772.489"/>
    <w:docVar w:name="dvtitre" w:val="Uznesenie Európskeho parlamentu z xx. apríla 2025 o energeticky náročných priemyselných odvetviach(2025/2536(RSP))"/>
  </w:docVars>
  <w:rsids>
    <w:rsidRoot w:val="0046739B"/>
    <w:rsid w:val="0046739B"/>
    <w:rsid w:val="0075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CE746"/>
  <w15:chartTrackingRefBased/>
  <w15:docId w15:val="{962CBB9A-D692-42B2-B8ED-A6B53218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157/oj" TargetMode="External"/><Relationship Id="rId1" Type="http://schemas.openxmlformats.org/officeDocument/2006/relationships/hyperlink" Target="http://data.europa.eu/eli/reg/2024/17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23989-0DF1-4545-9D19-DDB08C50E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1821</Words>
  <Characters>11656</Characters>
  <Application>Microsoft Office Word</Application>
  <DocSecurity>0</DocSecurity>
  <Lines>97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2025-05-12T06:49:00Z</dcterms:created>
  <dcterms:modified xsi:type="dcterms:W3CDTF">2025-05-12T06:49:00Z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B10-0209/2025</vt:lpwstr>
  </property>
  <property fmtid="{D5CDD505-2E9C-101B-9397-08002B2CF9AE}" pid="4" name="&lt;Type&gt;">
    <vt:lpwstr>RR</vt:lpwstr>
  </property>
</Properties>
</file>