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5BCF" w:rsidTr="0010095E">
        <w:trPr>
          <w:trHeight w:hRule="exact" w:val="1418"/>
        </w:trPr>
        <w:tc>
          <w:tcPr>
            <w:tcW w:w="6804" w:type="dxa"/>
            <w:shd w:val="clear" w:color="auto" w:fill="auto"/>
            <w:vAlign w:val="center"/>
          </w:tcPr>
          <w:p w:rsidR="00751A4A" w:rsidRPr="00D45BCF" w:rsidRDefault="00672008" w:rsidP="0010095E">
            <w:pPr>
              <w:pStyle w:val="EPName"/>
            </w:pPr>
            <w:r w:rsidRPr="00D45BCF">
              <w:t>Eiropas Parlaments</w:t>
            </w:r>
          </w:p>
          <w:p w:rsidR="00751A4A" w:rsidRPr="00D45BCF" w:rsidRDefault="005F1B17" w:rsidP="005F1B17">
            <w:pPr>
              <w:pStyle w:val="EPTerm"/>
              <w:rPr>
                <w:rStyle w:val="HideTWBExt"/>
                <w:noProof w:val="0"/>
                <w:vanish w:val="0"/>
                <w:color w:val="auto"/>
              </w:rPr>
            </w:pPr>
            <w:r w:rsidRPr="00D45BCF">
              <w:t>2024</w:t>
            </w:r>
            <w:r w:rsidR="00817416" w:rsidRPr="00D45BCF">
              <w:t>-202</w:t>
            </w:r>
            <w:r w:rsidRPr="00D45BCF">
              <w:t>9</w:t>
            </w:r>
          </w:p>
        </w:tc>
        <w:tc>
          <w:tcPr>
            <w:tcW w:w="2268" w:type="dxa"/>
            <w:shd w:val="clear" w:color="auto" w:fill="auto"/>
          </w:tcPr>
          <w:p w:rsidR="00751A4A" w:rsidRPr="00D45BCF" w:rsidRDefault="00187494" w:rsidP="0010095E">
            <w:pPr>
              <w:pStyle w:val="EPLogo"/>
            </w:pPr>
            <w:r w:rsidRPr="00D45B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5BCF" w:rsidRDefault="00D058B8" w:rsidP="004C5D52">
      <w:pPr>
        <w:pStyle w:val="LineTop"/>
      </w:pPr>
    </w:p>
    <w:p w:rsidR="00680577" w:rsidRPr="00D45BCF" w:rsidRDefault="00672008" w:rsidP="00680577">
      <w:pPr>
        <w:pStyle w:val="EPBodyTA1"/>
      </w:pPr>
      <w:r w:rsidRPr="00D45BCF">
        <w:t>PIEŅEMTIE TEKSTI</w:t>
      </w:r>
    </w:p>
    <w:p w:rsidR="00D058B8" w:rsidRPr="00D45BCF" w:rsidRDefault="00D058B8" w:rsidP="00D058B8">
      <w:pPr>
        <w:pStyle w:val="LineBottom"/>
      </w:pPr>
    </w:p>
    <w:p w:rsidR="00672008" w:rsidRPr="00D45BCF" w:rsidRDefault="00672008" w:rsidP="00672008">
      <w:pPr>
        <w:pStyle w:val="ATHeading1"/>
      </w:pPr>
      <w:bookmarkStart w:id="0" w:name="TANumber"/>
      <w:r w:rsidRPr="00D45BCF">
        <w:t>P10_TA(2025)00</w:t>
      </w:r>
      <w:r w:rsidR="00D45BCF">
        <w:t>67</w:t>
      </w:r>
      <w:bookmarkStart w:id="1" w:name="_GoBack"/>
      <w:bookmarkEnd w:id="0"/>
      <w:bookmarkEnd w:id="1"/>
    </w:p>
    <w:p w:rsidR="00672008" w:rsidRPr="00D45BCF" w:rsidRDefault="001A1BCC" w:rsidP="00672008">
      <w:pPr>
        <w:pStyle w:val="ATHeading2"/>
      </w:pPr>
      <w:r w:rsidRPr="00D45BCF">
        <w:t xml:space="preserve">Pieprasījums atcelt </w:t>
      </w:r>
      <w:r w:rsidRPr="00D45BCF">
        <w:rPr>
          <w:i/>
        </w:rPr>
        <w:t xml:space="preserve">Petr </w:t>
      </w:r>
      <w:proofErr w:type="spellStart"/>
      <w:r w:rsidRPr="00D45BCF">
        <w:rPr>
          <w:i/>
        </w:rPr>
        <w:t>Bystron</w:t>
      </w:r>
      <w:proofErr w:type="spellEnd"/>
      <w:r w:rsidRPr="00D45BCF">
        <w:t xml:space="preserve"> imunitāti</w:t>
      </w:r>
    </w:p>
    <w:p w:rsidR="00672008" w:rsidRPr="00D45BCF" w:rsidRDefault="00672008" w:rsidP="00672008">
      <w:pPr>
        <w:rPr>
          <w:i/>
          <w:vanish/>
        </w:rPr>
      </w:pPr>
      <w:r w:rsidRPr="00D45BCF">
        <w:rPr>
          <w:i/>
        </w:rPr>
        <w:fldChar w:fldCharType="begin"/>
      </w:r>
      <w:r w:rsidRPr="00D45BCF">
        <w:rPr>
          <w:i/>
        </w:rPr>
        <w:instrText xml:space="preserve"> TC"(</w:instrText>
      </w:r>
      <w:bookmarkStart w:id="2" w:name="DocNumber"/>
      <w:r w:rsidRPr="00D45BCF">
        <w:rPr>
          <w:i/>
        </w:rPr>
        <w:instrText>A10-0077/2025</w:instrText>
      </w:r>
      <w:bookmarkEnd w:id="2"/>
      <w:r w:rsidRPr="00D45BCF">
        <w:rPr>
          <w:i/>
        </w:rPr>
        <w:instrText xml:space="preserve"> - Referente: Pascale Piera)"\l3 \n&gt; \* MERGEFORMAT </w:instrText>
      </w:r>
      <w:r w:rsidRPr="00D45BCF">
        <w:rPr>
          <w:i/>
        </w:rPr>
        <w:fldChar w:fldCharType="end"/>
      </w:r>
    </w:p>
    <w:p w:rsidR="00672008" w:rsidRPr="00D45BCF" w:rsidRDefault="00672008" w:rsidP="00672008">
      <w:pPr>
        <w:rPr>
          <w:vanish/>
        </w:rPr>
      </w:pPr>
      <w:bookmarkStart w:id="3" w:name="Commission"/>
      <w:r w:rsidRPr="00D45BCF">
        <w:rPr>
          <w:vanish/>
        </w:rPr>
        <w:t>Juridiskā komiteja</w:t>
      </w:r>
      <w:bookmarkEnd w:id="3"/>
    </w:p>
    <w:p w:rsidR="00672008" w:rsidRPr="00D45BCF" w:rsidRDefault="00672008" w:rsidP="00672008">
      <w:pPr>
        <w:rPr>
          <w:vanish/>
        </w:rPr>
      </w:pPr>
      <w:bookmarkStart w:id="4" w:name="PE"/>
      <w:r w:rsidRPr="00D45BCF">
        <w:rPr>
          <w:vanish/>
        </w:rPr>
        <w:t>PE766.946</w:t>
      </w:r>
      <w:bookmarkEnd w:id="4"/>
    </w:p>
    <w:p w:rsidR="00735232" w:rsidRPr="00D45BCF" w:rsidRDefault="00672008" w:rsidP="001A1BCC">
      <w:pPr>
        <w:pStyle w:val="ATHeading3"/>
      </w:pPr>
      <w:bookmarkStart w:id="5" w:name="Sujet"/>
      <w:r w:rsidRPr="00D45BCF">
        <w:t xml:space="preserve">Eiropas Parlamenta 2025. gada </w:t>
      </w:r>
      <w:r w:rsidR="001A1BCC" w:rsidRPr="00D45BCF">
        <w:t>6</w:t>
      </w:r>
      <w:r w:rsidRPr="00D45BCF">
        <w:t xml:space="preserve">. </w:t>
      </w:r>
      <w:r w:rsidR="001A1BCC" w:rsidRPr="00D45BCF">
        <w:t>maija</w:t>
      </w:r>
      <w:r w:rsidRPr="00D45BCF">
        <w:t xml:space="preserve"> lēmums par pieprasījumu atcelt </w:t>
      </w:r>
      <w:r w:rsidRPr="00D45BCF">
        <w:rPr>
          <w:i/>
        </w:rPr>
        <w:t xml:space="preserve">Petr </w:t>
      </w:r>
      <w:proofErr w:type="spellStart"/>
      <w:r w:rsidRPr="00D45BCF">
        <w:rPr>
          <w:i/>
        </w:rPr>
        <w:t>Bystron</w:t>
      </w:r>
      <w:proofErr w:type="spellEnd"/>
      <w:r w:rsidRPr="00D45BCF">
        <w:t xml:space="preserve"> imunitāti</w:t>
      </w:r>
      <w:bookmarkEnd w:id="5"/>
      <w:r w:rsidRPr="00D45BCF">
        <w:t xml:space="preserve"> </w:t>
      </w:r>
      <w:bookmarkStart w:id="6" w:name="References"/>
      <w:r w:rsidRPr="00D45BCF">
        <w:t>(2024/2047(IMM))</w:t>
      </w:r>
      <w:bookmarkStart w:id="7" w:name="TextBodyBegin"/>
      <w:bookmarkEnd w:id="6"/>
      <w:bookmarkEnd w:id="7"/>
    </w:p>
    <w:p w:rsidR="00735232" w:rsidRPr="00D45BCF" w:rsidRDefault="00735232" w:rsidP="00735232">
      <w:pPr>
        <w:pStyle w:val="EPComma"/>
      </w:pPr>
      <w:r w:rsidRPr="00D45BCF">
        <w:rPr>
          <w:i/>
        </w:rPr>
        <w:t>Eiropas Parlaments</w:t>
      </w:r>
      <w:r w:rsidRPr="00D45BCF">
        <w:t>,</w:t>
      </w:r>
    </w:p>
    <w:p w:rsidR="00735232" w:rsidRPr="00D45BCF" w:rsidRDefault="00735232" w:rsidP="001A1BCC">
      <w:pPr>
        <w:pStyle w:val="NormalHanging12a"/>
      </w:pPr>
      <w:r w:rsidRPr="00D45BCF">
        <w:t>–</w:t>
      </w:r>
      <w:r w:rsidRPr="00D45BCF">
        <w:tab/>
        <w:t xml:space="preserve">ņemot vērā pieprasījumu atcelt </w:t>
      </w:r>
      <w:r w:rsidRPr="00D45BCF">
        <w:rPr>
          <w:i/>
          <w:iCs/>
        </w:rPr>
        <w:t xml:space="preserve">Petr </w:t>
      </w:r>
      <w:proofErr w:type="spellStart"/>
      <w:r w:rsidRPr="00D45BCF">
        <w:rPr>
          <w:i/>
          <w:iCs/>
        </w:rPr>
        <w:t>Bystron</w:t>
      </w:r>
      <w:proofErr w:type="spellEnd"/>
      <w:r w:rsidRPr="00D45BCF">
        <w:t xml:space="preserve"> imunitāti, kuru Vācijas Federālās tieslietu ministrs saistībā ar Minhenes pilsētas prokuratūras sāktā kriminālprocesa ietvaros veikto izmeklēšanu nosūtījis 2024. gada 27. augustā, pārsūtot Minhenes ģenerālprokurora 2024. gada 23. jūlija pieprasījumu, un par kuru paziņots 2024. gada 16. septembra plenārsēdē,</w:t>
      </w:r>
    </w:p>
    <w:p w:rsidR="00735232" w:rsidRPr="00D45BCF" w:rsidRDefault="00735232" w:rsidP="001A1BCC">
      <w:pPr>
        <w:pStyle w:val="NormalHanging12a"/>
      </w:pPr>
      <w:r w:rsidRPr="00D45BCF">
        <w:t>–</w:t>
      </w:r>
      <w:r w:rsidRPr="00D45BCF">
        <w:tab/>
        <w:t xml:space="preserve">pēc </w:t>
      </w:r>
      <w:r w:rsidRPr="00D45BCF">
        <w:rPr>
          <w:i/>
          <w:iCs/>
        </w:rPr>
        <w:t>Petr </w:t>
      </w:r>
      <w:proofErr w:type="spellStart"/>
      <w:r w:rsidRPr="00D45BCF">
        <w:rPr>
          <w:i/>
          <w:iCs/>
        </w:rPr>
        <w:t>Bystron</w:t>
      </w:r>
      <w:proofErr w:type="spellEnd"/>
      <w:r w:rsidRPr="00D45BCF">
        <w:t xml:space="preserve"> uzklausīšanas 2025. gada 13. februārī saskaņā ar Reglamenta 9. panta 6. punktu un ņemot vērā viņa iesniegtos dokumentus,</w:t>
      </w:r>
    </w:p>
    <w:p w:rsidR="00735232" w:rsidRPr="00D45BCF" w:rsidRDefault="00735232" w:rsidP="001A1BCC">
      <w:pPr>
        <w:pStyle w:val="NormalHanging12a"/>
      </w:pPr>
      <w:r w:rsidRPr="00D45BCF">
        <w:t>–</w:t>
      </w:r>
      <w:r w:rsidRPr="00D45BCF">
        <w:tab/>
        <w:t>ņemot vērā Protokola Nr. 7 par privilēģijām un imunitāti Eiropas Savienībā 8. un 9. pantu, kā arī 1976. gada 20. septembra Akta par Eiropas Parlamenta deputātu ievēlēšanu tiešās vispārējās vēlēšanās 6. panta 2. punktu,</w:t>
      </w:r>
    </w:p>
    <w:p w:rsidR="00735232" w:rsidRPr="00D45BCF" w:rsidRDefault="00735232" w:rsidP="001A1BCC">
      <w:pPr>
        <w:pStyle w:val="NormalHanging12a"/>
      </w:pPr>
      <w:r w:rsidRPr="00D45BCF">
        <w:t>–</w:t>
      </w:r>
      <w:r w:rsidRPr="00D45BCF">
        <w:tab/>
        <w:t>ņemot vērā Eiropas Savienības Tiesas 2008. gada 21. oktobra, 2010. gada 19. marta, 2011. gada 6. septembra, 2013. gada 17. janvāra, 2019. gada 19. decembra un 2023. gada 5. jūlija spriedumu</w:t>
      </w:r>
      <w:r w:rsidRPr="00D45BCF">
        <w:rPr>
          <w:rStyle w:val="FootnoteReference"/>
        </w:rPr>
        <w:footnoteReference w:id="1"/>
      </w:r>
      <w:r w:rsidRPr="00D45BCF">
        <w:t>,</w:t>
      </w:r>
    </w:p>
    <w:p w:rsidR="00735232" w:rsidRPr="00D45BCF" w:rsidRDefault="00735232" w:rsidP="001A1BCC">
      <w:pPr>
        <w:pStyle w:val="NormalHanging12a"/>
      </w:pPr>
      <w:r w:rsidRPr="00D45BCF">
        <w:t>–</w:t>
      </w:r>
      <w:r w:rsidRPr="00D45BCF">
        <w:tab/>
        <w:t>ņemot vērā Vācijas Federālās Republikas Pamatlikuma 46. pantu,</w:t>
      </w:r>
    </w:p>
    <w:p w:rsidR="00735232" w:rsidRPr="00D45BCF" w:rsidRDefault="00735232" w:rsidP="00DA1F9D">
      <w:pPr>
        <w:pStyle w:val="NormalHanging12a"/>
      </w:pPr>
      <w:r w:rsidRPr="00D45BCF">
        <w:lastRenderedPageBreak/>
        <w:t>–</w:t>
      </w:r>
      <w:r w:rsidRPr="00D45BCF">
        <w:tab/>
        <w:t>ņemot vērā Reglamenta 5. panta 2. punktu, 6. panta 1. punktu un 9. pantu,</w:t>
      </w:r>
    </w:p>
    <w:p w:rsidR="00735232" w:rsidRPr="00D45BCF" w:rsidRDefault="00735232" w:rsidP="00DA1F9D">
      <w:pPr>
        <w:pStyle w:val="NormalHanging12a"/>
      </w:pPr>
      <w:r w:rsidRPr="00D45BCF">
        <w:t>–</w:t>
      </w:r>
      <w:r w:rsidRPr="00D45BCF">
        <w:tab/>
        <w:t>ņemot vērā Juridiskās komitejas ziņojumu (A10-0077/2025),</w:t>
      </w:r>
    </w:p>
    <w:p w:rsidR="00735232" w:rsidRPr="00D45BCF" w:rsidRDefault="00735232" w:rsidP="00DA1F9D">
      <w:pPr>
        <w:pStyle w:val="NormalHanging12a"/>
      </w:pPr>
      <w:r w:rsidRPr="00D45BCF">
        <w:t>A.</w:t>
      </w:r>
      <w:r w:rsidRPr="00D45BCF">
        <w:tab/>
        <w:t xml:space="preserve">tā kā Minhenes ģenerālprokurors ir pieprasījis atcelt Eiropas Parlamenta deputāta </w:t>
      </w:r>
      <w:r w:rsidRPr="00D45BCF">
        <w:rPr>
          <w:i/>
          <w:iCs/>
        </w:rPr>
        <w:t xml:space="preserve">Petr </w:t>
      </w:r>
      <w:proofErr w:type="spellStart"/>
      <w:r w:rsidRPr="00D45BCF">
        <w:rPr>
          <w:i/>
          <w:iCs/>
        </w:rPr>
        <w:t>Bystron</w:t>
      </w:r>
      <w:proofErr w:type="spellEnd"/>
      <w:r w:rsidRPr="00D45BCF">
        <w:t xml:space="preserve"> imunitāti, pamatojoties uz apsūdzībām, kas viņam ir izvirzītas saskaņā ar Vācijas Kriminālkodeksa 108.e panta 1. punktu, 261. panta 1. punkta 2. apakšpunktu, 261. panta 7. punktu, 263. panta 1. punktu un 263. panta 3. punkta 1. apakšpunktu, Vācijas Vispārējā nodokļu kodeksa 370. panta 1. punktu un minētā Kriminālkodeksa 53. pantu par iespējamiem noziedzīgiem nodarījumiem – pasīvo korupciju, nelikumīgi iegūtu līdzekļu legalizāciju un krāpšanu – vismaz sešas epizodes – un izvairīšanos no nodokļu maksāšanas – vismaz piecas epizodes;</w:t>
      </w:r>
    </w:p>
    <w:p w:rsidR="00735232" w:rsidRPr="00D45BCF" w:rsidRDefault="00735232" w:rsidP="00DA1F9D">
      <w:pPr>
        <w:pStyle w:val="NormalHanging12a"/>
      </w:pPr>
      <w:r w:rsidRPr="00D45BCF">
        <w:t>B.</w:t>
      </w:r>
      <w:r w:rsidRPr="00D45BCF">
        <w:tab/>
        <w:t xml:space="preserve">tā kā pieprasījums atcelt imunitāti liecina par to, ka, sākot ar kādu brīdi 2020. gadā, </w:t>
      </w:r>
      <w:r w:rsidR="006E6E94" w:rsidRPr="00D45BCF">
        <w:rPr>
          <w:i/>
          <w:iCs/>
        </w:rPr>
        <w:t>Petr</w:t>
      </w:r>
      <w:r w:rsidRPr="00D45BCF">
        <w:rPr>
          <w:i/>
          <w:iCs/>
        </w:rPr>
        <w:t xml:space="preserve"> </w:t>
      </w:r>
      <w:proofErr w:type="spellStart"/>
      <w:r w:rsidRPr="00D45BCF">
        <w:rPr>
          <w:i/>
          <w:iCs/>
        </w:rPr>
        <w:t>Bystron</w:t>
      </w:r>
      <w:proofErr w:type="spellEnd"/>
      <w:r w:rsidRPr="00D45BCF">
        <w:t xml:space="preserve"> cita starpā esot saņēmis skaidras naudas maksājumus tieši rokā vai </w:t>
      </w:r>
      <w:proofErr w:type="spellStart"/>
      <w:r w:rsidRPr="00D45BCF">
        <w:t>kriptovalūtas</w:t>
      </w:r>
      <w:proofErr w:type="spellEnd"/>
      <w:r w:rsidRPr="00D45BCF">
        <w:t xml:space="preserve"> pārvedumus no </w:t>
      </w:r>
      <w:proofErr w:type="spellStart"/>
      <w:r w:rsidRPr="00D45BCF">
        <w:t>prokrieviskās</w:t>
      </w:r>
      <w:proofErr w:type="spellEnd"/>
      <w:r w:rsidRPr="00D45BCF">
        <w:t xml:space="preserve"> tīmekļa vietnes </w:t>
      </w:r>
      <w:proofErr w:type="spellStart"/>
      <w:r w:rsidRPr="00D45BCF">
        <w:rPr>
          <w:i/>
          <w:iCs/>
        </w:rPr>
        <w:t>Voice</w:t>
      </w:r>
      <w:proofErr w:type="spellEnd"/>
      <w:r w:rsidRPr="00D45BCF">
        <w:rPr>
          <w:i/>
          <w:iCs/>
        </w:rPr>
        <w:t xml:space="preserve"> </w:t>
      </w:r>
      <w:proofErr w:type="spellStart"/>
      <w:r w:rsidRPr="00D45BCF">
        <w:rPr>
          <w:i/>
          <w:iCs/>
        </w:rPr>
        <w:t>of</w:t>
      </w:r>
      <w:proofErr w:type="spellEnd"/>
      <w:r w:rsidRPr="00D45BCF">
        <w:rPr>
          <w:i/>
          <w:iCs/>
        </w:rPr>
        <w:t xml:space="preserve"> </w:t>
      </w:r>
      <w:proofErr w:type="spellStart"/>
      <w:r w:rsidRPr="00D45BCF">
        <w:rPr>
          <w:i/>
          <w:iCs/>
        </w:rPr>
        <w:t>Europe</w:t>
      </w:r>
      <w:proofErr w:type="spellEnd"/>
      <w:r w:rsidRPr="00D45BCF">
        <w:t xml:space="preserve"> īpašnieka apmaiņā pret savu apņemšanos izteikties un balsot kā valsts parlamenta deputātam Kremļa interesēs; tā kā saskaņā ar pieejamo informāciju </w:t>
      </w:r>
      <w:r w:rsidR="006E6E94" w:rsidRPr="00D45BCF">
        <w:rPr>
          <w:i/>
          <w:iCs/>
        </w:rPr>
        <w:t>Petr</w:t>
      </w:r>
      <w:r w:rsidRPr="00D45BCF">
        <w:rPr>
          <w:i/>
          <w:iCs/>
        </w:rPr>
        <w:t xml:space="preserve"> </w:t>
      </w:r>
      <w:proofErr w:type="spellStart"/>
      <w:r w:rsidRPr="00D45BCF">
        <w:rPr>
          <w:i/>
          <w:iCs/>
        </w:rPr>
        <w:t>Bystron</w:t>
      </w:r>
      <w:proofErr w:type="spellEnd"/>
      <w:r w:rsidRPr="00D45BCF">
        <w:t xml:space="preserve"> 2023. gada 17. un 20. martā esot noguldījis ievērojamas summas bankomātā uz tāda uzņēmuma konta, kura vienīgais akcionārs un izpilddirektors ir viņš pats; tā kā 2023. gada 20. martā viņš</w:t>
      </w:r>
      <w:r w:rsidR="006E6E94" w:rsidRPr="00D45BCF">
        <w:t xml:space="preserve">, iespējams, </w:t>
      </w:r>
      <w:r w:rsidRPr="00D45BCF">
        <w:t xml:space="preserve">atkārtoti esot izņēmis tādu pašu summu 200 EUR banknotēs no tās pašas bankas bankomāta; tā kā, atbildot uz bankas pieprasījumu, </w:t>
      </w:r>
      <w:r w:rsidRPr="00D45BCF">
        <w:rPr>
          <w:i/>
          <w:iCs/>
        </w:rPr>
        <w:t xml:space="preserve">Petr </w:t>
      </w:r>
      <w:proofErr w:type="spellStart"/>
      <w:r w:rsidRPr="00D45BCF">
        <w:rPr>
          <w:i/>
          <w:iCs/>
        </w:rPr>
        <w:t>Bystron</w:t>
      </w:r>
      <w:proofErr w:type="spellEnd"/>
      <w:r w:rsidR="005551A8" w:rsidRPr="00D45BCF">
        <w:rPr>
          <w:i/>
          <w:iCs/>
        </w:rPr>
        <w:t xml:space="preserve">, </w:t>
      </w:r>
      <w:r w:rsidR="005551A8" w:rsidRPr="00D45BCF">
        <w:rPr>
          <w:iCs/>
        </w:rPr>
        <w:t>iespējams,</w:t>
      </w:r>
      <w:r w:rsidRPr="00D45BCF">
        <w:t xml:space="preserve"> paskaidrojumus par šo aizdomīgo darbību iemesliem nesniedza; tā kā no iespējami skaidrā naudā saņemtajiem kukuļiem </w:t>
      </w:r>
      <w:r w:rsidRPr="00D45BCF">
        <w:rPr>
          <w:i/>
          <w:iCs/>
        </w:rPr>
        <w:t xml:space="preserve">Petr </w:t>
      </w:r>
      <w:proofErr w:type="spellStart"/>
      <w:r w:rsidRPr="00D45BCF">
        <w:rPr>
          <w:i/>
          <w:iCs/>
        </w:rPr>
        <w:t>Bystron</w:t>
      </w:r>
      <w:proofErr w:type="spellEnd"/>
      <w:r w:rsidRPr="00D45BCF">
        <w:t xml:space="preserve"> esot noguldījis arī citas summas: 2021. gada jūlijā, 2022. gada aprīlī</w:t>
      </w:r>
      <w:r w:rsidR="005551A8" w:rsidRPr="00D45BCF">
        <w:t xml:space="preserve"> un</w:t>
      </w:r>
      <w:r w:rsidRPr="00D45BCF">
        <w:t xml:space="preserve"> septembrī, kā arī 2023. gada jūnijā un jūlijā; tā kā saskaņā ar pieejamo informāciju </w:t>
      </w:r>
      <w:r w:rsidRPr="00D45BCF">
        <w:rPr>
          <w:i/>
          <w:iCs/>
        </w:rPr>
        <w:t xml:space="preserve">Petr </w:t>
      </w:r>
      <w:proofErr w:type="spellStart"/>
      <w:r w:rsidRPr="00D45BCF">
        <w:rPr>
          <w:i/>
          <w:iCs/>
        </w:rPr>
        <w:t>Bystron</w:t>
      </w:r>
      <w:proofErr w:type="spellEnd"/>
      <w:r w:rsidRPr="00D45BCF">
        <w:t xml:space="preserve"> </w:t>
      </w:r>
      <w:r w:rsidR="005551A8" w:rsidRPr="00D45BCF">
        <w:t xml:space="preserve">, iespējams, </w:t>
      </w:r>
      <w:r w:rsidRPr="00D45BCF">
        <w:t xml:space="preserve">mēģināja slēpt skaidras naudas izcelsmi; </w:t>
      </w:r>
      <w:r w:rsidR="005551A8" w:rsidRPr="00D45BCF">
        <w:t xml:space="preserve">tā kā </w:t>
      </w:r>
      <w:r w:rsidR="006E6E94" w:rsidRPr="00D45BCF">
        <w:t xml:space="preserve">Minhenes </w:t>
      </w:r>
      <w:r w:rsidRPr="00D45BCF">
        <w:t>ģenerālprokur</w:t>
      </w:r>
      <w:r w:rsidR="005551A8" w:rsidRPr="00D45BCF">
        <w:t>ora</w:t>
      </w:r>
      <w:r w:rsidRPr="00D45BCF">
        <w:t xml:space="preserve"> rīcībā ir nonākuši visu </w:t>
      </w:r>
      <w:r w:rsidRPr="00D45BCF">
        <w:rPr>
          <w:i/>
          <w:iCs/>
        </w:rPr>
        <w:t xml:space="preserve">Petr </w:t>
      </w:r>
      <w:proofErr w:type="spellStart"/>
      <w:r w:rsidRPr="00D45BCF">
        <w:rPr>
          <w:i/>
          <w:iCs/>
        </w:rPr>
        <w:t>Bystron</w:t>
      </w:r>
      <w:proofErr w:type="spellEnd"/>
      <w:r w:rsidRPr="00D45BCF">
        <w:t xml:space="preserve"> un minētā tā uzņēmuma kontu pārskaitījumu izraksti, sākot ar 2020. gadu, kura vienīgais akcionārs un izpilddirektors ir viņš pats; tā kā, pateicoties šādai informācijai, </w:t>
      </w:r>
      <w:r w:rsidR="005551A8" w:rsidRPr="00D45BCF">
        <w:t xml:space="preserve">iespējams, </w:t>
      </w:r>
      <w:r w:rsidRPr="00D45BCF">
        <w:t>ir varēts atklāt citus skaidras naudas maksājumus un secināt, ka, iespējams, ir bijuši iepriekš saņemti kukuļi;</w:t>
      </w:r>
    </w:p>
    <w:p w:rsidR="00735232" w:rsidRPr="00D45BCF" w:rsidRDefault="00735232" w:rsidP="00DA1F9D">
      <w:pPr>
        <w:pStyle w:val="NormalHanging12a"/>
      </w:pPr>
      <w:r w:rsidRPr="00D45BCF">
        <w:t>C.</w:t>
      </w:r>
      <w:r w:rsidRPr="00D45BCF">
        <w:tab/>
        <w:t xml:space="preserve">tā kā vairākās tā valsts parlamenta sesijās, kura deputāts inkriminēto faktu laikā bija </w:t>
      </w:r>
      <w:r w:rsidRPr="00D45BCF">
        <w:rPr>
          <w:i/>
          <w:iCs/>
        </w:rPr>
        <w:t xml:space="preserve">Petr </w:t>
      </w:r>
      <w:proofErr w:type="spellStart"/>
      <w:r w:rsidRPr="00D45BCF">
        <w:rPr>
          <w:i/>
          <w:iCs/>
        </w:rPr>
        <w:t>Bystron</w:t>
      </w:r>
      <w:proofErr w:type="spellEnd"/>
      <w:r w:rsidRPr="00D45BCF">
        <w:t xml:space="preserve">, par jautājumiem, kas ir saistīti ar Krieviju, viņš kopš 2022. gada esot balsojis acīmredzami vislabvēlīgākajā veidā, atbalstot Krievijas valdības intereses, un esot Vācijas Bundestāgā uzstājies vismaz ar divām runām, paužot </w:t>
      </w:r>
      <w:proofErr w:type="spellStart"/>
      <w:r w:rsidRPr="00D45BCF">
        <w:t>prokrievisku</w:t>
      </w:r>
      <w:proofErr w:type="spellEnd"/>
      <w:r w:rsidRPr="00D45BCF">
        <w:t xml:space="preserve"> nostāju;</w:t>
      </w:r>
    </w:p>
    <w:p w:rsidR="00735232" w:rsidRPr="00D45BCF" w:rsidRDefault="00735232" w:rsidP="00DA1F9D">
      <w:pPr>
        <w:pStyle w:val="NormalHanging12a"/>
      </w:pPr>
      <w:r w:rsidRPr="00D45BCF">
        <w:t>D.</w:t>
      </w:r>
      <w:r w:rsidRPr="00D45BCF">
        <w:tab/>
        <w:t xml:space="preserve">tā kā </w:t>
      </w:r>
      <w:r w:rsidRPr="00D45BCF">
        <w:rPr>
          <w:i/>
          <w:iCs/>
        </w:rPr>
        <w:t xml:space="preserve">Petr </w:t>
      </w:r>
      <w:proofErr w:type="spellStart"/>
      <w:r w:rsidRPr="00D45BCF">
        <w:rPr>
          <w:i/>
          <w:iCs/>
        </w:rPr>
        <w:t>Bystron</w:t>
      </w:r>
      <w:proofErr w:type="spellEnd"/>
      <w:r w:rsidRPr="00D45BCF">
        <w:t>, kuram saskaņā ar Vācijas Likumu par deputātiem bija tiesības uz fiksētu maksājumu, kuru piešķir, lai cita starpā pieņemtu darbā darbiniekus, 2021. gada oktobrī esot noslēdzis darba līgumu ar savu advokātu un viņi esot noslēguši piecus līguma papildinājumus, katrs no kuriem grozīja nedēļas darba laiku un mēnešalgu; tā kā fiksēto maksājumu var izmantot tikai tad, ja paredzētais mērķis vai attiecīgās darbības ir pietiekami saistītas ar pilnvaru īstenošanu; tā kā darbs, kas esot veikts saskaņā ar minēto līgumu, neesot bijis saistīts ar deputāta pilnvaru īstenošanu vai tā kā plānotais darbs neesot veikts, bet ka atalgojums, maldinot kompetento darbinieku, esot izmaksāts; tā kā šis maksājums Vācijas Federatīvajai Republikai esot radījis zaudējumus 97 400,00 EUR apmērā;</w:t>
      </w:r>
    </w:p>
    <w:p w:rsidR="00735232" w:rsidRPr="00D45BCF" w:rsidRDefault="00735232" w:rsidP="00DA1F9D">
      <w:pPr>
        <w:pStyle w:val="NormalHanging12a"/>
      </w:pPr>
      <w:r w:rsidRPr="00D45BCF">
        <w:t>E.</w:t>
      </w:r>
      <w:r w:rsidRPr="00D45BCF">
        <w:tab/>
        <w:t xml:space="preserve">tā kā 2017.–2021. finanšu gadā </w:t>
      </w:r>
      <w:r w:rsidRPr="00D45BCF">
        <w:rPr>
          <w:i/>
          <w:iCs/>
        </w:rPr>
        <w:t xml:space="preserve">Petr </w:t>
      </w:r>
      <w:proofErr w:type="spellStart"/>
      <w:r w:rsidRPr="00D45BCF">
        <w:rPr>
          <w:i/>
          <w:iCs/>
        </w:rPr>
        <w:t>Bystron</w:t>
      </w:r>
      <w:proofErr w:type="spellEnd"/>
      <w:r w:rsidRPr="00D45BCF">
        <w:t xml:space="preserve"> ar tā uzņēmuma nodokļu konsultantes starpniecību, kura vienīgais akcionārs un izpilddirektors ir viņš, Minhenes nodokļu iestādēm esot iesniedzis nepareizas PVN deklarācijas, kurās bija ietverti privāti </w:t>
      </w:r>
      <w:r w:rsidRPr="00D45BCF">
        <w:lastRenderedPageBreak/>
        <w:t>izdevumi, kas nekādi ar minētā uzņēmuma komercdarbību saistīti nebija; tā kā šīs nepareizās informācijas dēļ PVN deklarācijās esot veikta nepamatota PVN atmaksa par kopējo summu 9949,17 EUR;</w:t>
      </w:r>
    </w:p>
    <w:p w:rsidR="00735232" w:rsidRPr="00D45BCF" w:rsidRDefault="00735232" w:rsidP="00DA1F9D">
      <w:pPr>
        <w:pStyle w:val="NormalHanging12a"/>
      </w:pPr>
      <w:r w:rsidRPr="00D45BCF">
        <w:rPr>
          <w:shd w:val="clear" w:color="auto" w:fill="FFFFFF"/>
        </w:rPr>
        <w:t>F.</w:t>
      </w:r>
      <w:r w:rsidRPr="00D45BCF">
        <w:rPr>
          <w:shd w:val="clear" w:color="auto" w:fill="FFFFFF"/>
        </w:rPr>
        <w:tab/>
      </w:r>
      <w:r w:rsidRPr="00D45BCF">
        <w:t xml:space="preserve">tā kā </w:t>
      </w:r>
      <w:r w:rsidRPr="00D45BCF">
        <w:rPr>
          <w:i/>
          <w:iCs/>
        </w:rPr>
        <w:t xml:space="preserve">Petr </w:t>
      </w:r>
      <w:proofErr w:type="spellStart"/>
      <w:r w:rsidRPr="00D45BCF">
        <w:rPr>
          <w:i/>
          <w:iCs/>
        </w:rPr>
        <w:t>Bystron</w:t>
      </w:r>
      <w:proofErr w:type="spellEnd"/>
      <w:r w:rsidRPr="00D45BCF">
        <w:t xml:space="preserve"> Eiropas Parlamentā tika ievēlēts 2024. gada Eiropas vēlēšanās un iespējamā noziedzīgā nodarījuma izdarīšanas laikā Eiropas Parlamenta deputāts viņš nebija;</w:t>
      </w:r>
    </w:p>
    <w:p w:rsidR="00735232" w:rsidRPr="00D45BCF" w:rsidRDefault="00735232" w:rsidP="00DA1F9D">
      <w:pPr>
        <w:pStyle w:val="NormalHanging12a"/>
      </w:pPr>
      <w:r w:rsidRPr="00D45BCF">
        <w:t>G.</w:t>
      </w:r>
      <w:r w:rsidRPr="00D45BCF">
        <w:tab/>
        <w:t xml:space="preserve">tā kā inkriminētais nodarījums un no tā izrietošais pieprasījums atcelt </w:t>
      </w:r>
      <w:r w:rsidRPr="00D45BCF">
        <w:rPr>
          <w:i/>
          <w:iCs/>
        </w:rPr>
        <w:t xml:space="preserve">Petr </w:t>
      </w:r>
      <w:proofErr w:type="spellStart"/>
      <w:r w:rsidRPr="00D45BCF">
        <w:rPr>
          <w:i/>
          <w:iCs/>
        </w:rPr>
        <w:t>Bystron</w:t>
      </w:r>
      <w:proofErr w:type="spellEnd"/>
      <w:r w:rsidRPr="00D45BCF">
        <w:t xml:space="preserve"> imunitāti nav saistīti nedz ar viedokli, ko viņš kā Eiropas Parlamenta deputāts ir paudis, nedz balsojumu, ko viņš veicis, pildot savus pienākumus saskaņā ar Protokola (Nr. 7) par privilēģijām un imunitāti Eiropas Savienībā 8. pantu;</w:t>
      </w:r>
    </w:p>
    <w:p w:rsidR="00735232" w:rsidRPr="00D45BCF" w:rsidRDefault="00735232" w:rsidP="00DA1F9D">
      <w:pPr>
        <w:pStyle w:val="NormalHanging12a"/>
      </w:pPr>
      <w:r w:rsidRPr="00D45BCF">
        <w:t>H.</w:t>
      </w:r>
      <w:r w:rsidRPr="00D45BCF">
        <w:tab/>
        <w:t>tā kā saskaņā ar Protokola (Nr. 7) par privilēģijām un imunitāti Eiropas Savienībā 9. panta pirmās daļas a) apakšpunktu Eiropas Parlamenta locekļiem savā valstī ir imunitāte, ko piešķir attiecīgās valsts parlamenta locekļiem;</w:t>
      </w:r>
    </w:p>
    <w:p w:rsidR="00735232" w:rsidRPr="00D45BCF" w:rsidRDefault="00735232" w:rsidP="00DA1F9D">
      <w:pPr>
        <w:pStyle w:val="NormalHanging12a"/>
      </w:pPr>
      <w:r w:rsidRPr="00D45BCF">
        <w:t>I.</w:t>
      </w:r>
      <w:r w:rsidRPr="00D45BCF">
        <w:tab/>
        <w:t>tā kā Vācijas Federālās Republikas Pamatlikuma 46. panta 2., 3. un 4. punkta normas ir šādas:</w:t>
      </w:r>
    </w:p>
    <w:p w:rsidR="00735232" w:rsidRPr="00D45BCF" w:rsidRDefault="00735232" w:rsidP="00DA1F9D">
      <w:pPr>
        <w:pStyle w:val="NormalHanging12a"/>
        <w:spacing w:after="0"/>
        <w:ind w:left="1437" w:hanging="870"/>
      </w:pPr>
      <w:r w:rsidRPr="00D45BCF">
        <w:t xml:space="preserve">“2) </w:t>
      </w:r>
      <w:r w:rsidRPr="00D45BCF">
        <w:tab/>
        <w:t>Deputātu saukt pie atbildības vai aizturēt par sodāmu nodarījumu drīkst tikai, saņemot Bundestāga atļauju, ja vien deputāts nav aizturēts pārkāpuma izdarīšanas brīdī vai nākamās dienas laikā.</w:t>
      </w:r>
    </w:p>
    <w:p w:rsidR="00735232" w:rsidRPr="00D45BCF" w:rsidRDefault="00735232" w:rsidP="00DA1F9D">
      <w:pPr>
        <w:pStyle w:val="NormalHanging12a"/>
        <w:spacing w:after="0"/>
        <w:ind w:left="1437" w:hanging="870"/>
      </w:pPr>
      <w:r w:rsidRPr="00D45BCF">
        <w:t xml:space="preserve">3) </w:t>
      </w:r>
      <w:r w:rsidRPr="00D45BCF">
        <w:tab/>
        <w:t>Bundestāga piekrišana papildus tam ir nepieciešama arī par jebkuru citu deputāta personīgās brīvības ierobežojumu vai, ja pret viņu ir ierosināts 18. pantā paredzētais process.</w:t>
      </w:r>
    </w:p>
    <w:p w:rsidR="00735232" w:rsidRPr="00D45BCF" w:rsidRDefault="00735232" w:rsidP="00DA1F9D">
      <w:pPr>
        <w:pStyle w:val="NormalHanging12a"/>
        <w:ind w:left="1437" w:hanging="870"/>
      </w:pPr>
      <w:r w:rsidRPr="00D45BCF">
        <w:t xml:space="preserve">4) </w:t>
      </w:r>
      <w:r w:rsidRPr="00D45BCF">
        <w:tab/>
        <w:t>Jebkurš pret deputātu ierosinātais kriminālprocess vai ikviens 18. pantā paredzētais process, jebkāda aizturēšana vai jebkura cita personīgās brīvības ierobežošana ir jāaptur, ja to prasa Bundestāgs.”;</w:t>
      </w:r>
    </w:p>
    <w:p w:rsidR="00735232" w:rsidRPr="00D45BCF" w:rsidRDefault="00735232" w:rsidP="00DA1F9D">
      <w:pPr>
        <w:pStyle w:val="NormalHanging12a"/>
      </w:pPr>
      <w:r w:rsidRPr="00D45BCF">
        <w:t>J.</w:t>
      </w:r>
      <w:r w:rsidRPr="00D45BCF">
        <w:tab/>
        <w:t>tā kā parlamentārās imunitātes mērķis ir aizsargāt Parlamentu un tā deputātus pret tiesvedību, kas tiek ierosināta par darbībām, kuras ir veiktas, pildot parlamentāros pienākumus, un kuras atrauti no šiem pienākumiem skatīt nevar;</w:t>
      </w:r>
    </w:p>
    <w:p w:rsidR="00735232" w:rsidRPr="00D45BCF" w:rsidRDefault="00735232" w:rsidP="00DA1F9D">
      <w:pPr>
        <w:pStyle w:val="NormalHanging12a"/>
      </w:pPr>
      <w:r w:rsidRPr="00D45BCF">
        <w:t>K.</w:t>
      </w:r>
      <w:r w:rsidRPr="00D45BCF">
        <w:tab/>
        <w:t>tā kā saskaņā ar Parlamenta Reglamenta 5. panta 2. punktu deputāta imunitāte nav deputāta personiska privilēģija, bet gan visa Parlamenta un tā deputātu neatkarības garantija;</w:t>
      </w:r>
    </w:p>
    <w:p w:rsidR="00735232" w:rsidRPr="00D45BCF" w:rsidRDefault="00735232" w:rsidP="00DA1F9D">
      <w:pPr>
        <w:pStyle w:val="NormalHanging12a"/>
      </w:pPr>
      <w:r w:rsidRPr="00D45BCF">
        <w:t>L.</w:t>
      </w:r>
      <w:r w:rsidRPr="00D45BCF">
        <w:tab/>
        <w:t xml:space="preserve">tā kā šajā lietā Parlamentam nav pierādījumu par </w:t>
      </w:r>
      <w:proofErr w:type="spellStart"/>
      <w:r w:rsidRPr="00D45BCF">
        <w:rPr>
          <w:i/>
          <w:iCs/>
        </w:rPr>
        <w:t>fumus</w:t>
      </w:r>
      <w:proofErr w:type="spellEnd"/>
      <w:r w:rsidRPr="00D45BCF">
        <w:rPr>
          <w:i/>
          <w:iCs/>
        </w:rPr>
        <w:t xml:space="preserve"> </w:t>
      </w:r>
      <w:proofErr w:type="spellStart"/>
      <w:r w:rsidRPr="00D45BCF">
        <w:rPr>
          <w:i/>
          <w:iCs/>
        </w:rPr>
        <w:t>persecutionis</w:t>
      </w:r>
      <w:proofErr w:type="spellEnd"/>
      <w:r w:rsidRPr="00D45BCF">
        <w:t>, proti, par faktiskiem apstākļiem, kas norādītu uz to, ka attiecīgā krimināllieta ir ierosināta, lai kaitētu konkrētā Eiropas Parlamenta deputāta politiskajai darbībai;</w:t>
      </w:r>
    </w:p>
    <w:p w:rsidR="00735232" w:rsidRPr="00D45BCF" w:rsidRDefault="00735232" w:rsidP="00DA1F9D">
      <w:pPr>
        <w:pStyle w:val="NormalHanging12a"/>
      </w:pPr>
      <w:r w:rsidRPr="00D45BCF">
        <w:t>M.</w:t>
      </w:r>
      <w:r w:rsidRPr="00D45BCF">
        <w:tab/>
        <w:t>tā kā, no vienas puses, Parlaments nevar tikt pielīdzināts tiesai un, no otras puses, deputāts imunitātes atcelšanas procedūras kontekstā nevar tikt uzskatīts par apsūdzēto</w:t>
      </w:r>
      <w:r w:rsidRPr="00D45BCF">
        <w:rPr>
          <w:rStyle w:val="FootnoteReference"/>
        </w:rPr>
        <w:footnoteReference w:id="2"/>
      </w:r>
      <w:r w:rsidRPr="00D45BCF">
        <w:t>;</w:t>
      </w:r>
    </w:p>
    <w:p w:rsidR="00735232" w:rsidRPr="00D45BCF" w:rsidRDefault="00735232" w:rsidP="00DA1F9D">
      <w:pPr>
        <w:pStyle w:val="NormalHanging12a"/>
      </w:pPr>
      <w:r w:rsidRPr="00D45BCF">
        <w:t>1.</w:t>
      </w:r>
      <w:r w:rsidRPr="00D45BCF">
        <w:tab/>
        <w:t xml:space="preserve">nolemj atcelt </w:t>
      </w:r>
      <w:r w:rsidRPr="00D45BCF">
        <w:rPr>
          <w:i/>
          <w:iCs/>
        </w:rPr>
        <w:t xml:space="preserve">Petr </w:t>
      </w:r>
      <w:proofErr w:type="spellStart"/>
      <w:r w:rsidRPr="00D45BCF">
        <w:rPr>
          <w:i/>
          <w:iCs/>
        </w:rPr>
        <w:t>Bystron</w:t>
      </w:r>
      <w:proofErr w:type="spellEnd"/>
      <w:r w:rsidRPr="00D45BCF">
        <w:t xml:space="preserve"> imunitāti;</w:t>
      </w:r>
    </w:p>
    <w:p w:rsidR="00E365E1" w:rsidRPr="00D45BCF" w:rsidRDefault="00735232" w:rsidP="00DA1F9D">
      <w:pPr>
        <w:pStyle w:val="NormalHanging12a"/>
      </w:pPr>
      <w:r w:rsidRPr="00D45BCF">
        <w:t>2.</w:t>
      </w:r>
      <w:r w:rsidRPr="00D45BCF">
        <w:tab/>
        <w:t xml:space="preserve">uzdod priekšsēdētājai šo lēmumu un atbildīgās komitejas ziņojumu nekavējoties nosūtīt </w:t>
      </w:r>
      <w:r w:rsidRPr="00D45BCF">
        <w:lastRenderedPageBreak/>
        <w:t xml:space="preserve">Vācijas Federatīvās Republikas kompetentajai iestādei un </w:t>
      </w:r>
      <w:r w:rsidRPr="00D45BCF">
        <w:rPr>
          <w:i/>
          <w:iCs/>
        </w:rPr>
        <w:t xml:space="preserve">Petr </w:t>
      </w:r>
      <w:proofErr w:type="spellStart"/>
      <w:r w:rsidRPr="00D45BCF">
        <w:rPr>
          <w:i/>
          <w:iCs/>
        </w:rPr>
        <w:t>Bystron</w:t>
      </w:r>
      <w:proofErr w:type="spellEnd"/>
      <w:r w:rsidRPr="00D45BCF">
        <w:t>.</w:t>
      </w:r>
    </w:p>
    <w:sectPr w:rsidR="00E365E1" w:rsidRPr="00D45BCF" w:rsidSect="006351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008" w:rsidRPr="00635120" w:rsidRDefault="00672008">
      <w:r w:rsidRPr="00635120">
        <w:separator/>
      </w:r>
    </w:p>
  </w:endnote>
  <w:endnote w:type="continuationSeparator" w:id="0">
    <w:p w:rsidR="00672008" w:rsidRPr="00635120" w:rsidRDefault="00672008">
      <w:r w:rsidRPr="00635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1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1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1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008" w:rsidRPr="00635120" w:rsidRDefault="00672008">
      <w:r w:rsidRPr="00635120">
        <w:separator/>
      </w:r>
    </w:p>
  </w:footnote>
  <w:footnote w:type="continuationSeparator" w:id="0">
    <w:p w:rsidR="00672008" w:rsidRPr="00635120" w:rsidRDefault="00672008">
      <w:r w:rsidRPr="00635120">
        <w:continuationSeparator/>
      </w:r>
    </w:p>
  </w:footnote>
  <w:footnote w:id="1">
    <w:p w:rsidR="00735232" w:rsidRPr="00635120" w:rsidRDefault="00735232" w:rsidP="00635120">
      <w:pPr>
        <w:pStyle w:val="FootnoteText"/>
        <w:ind w:left="567" w:hanging="567"/>
        <w:rPr>
          <w:sz w:val="24"/>
          <w:lang w:val="lv-LV"/>
        </w:rPr>
      </w:pPr>
      <w:r w:rsidRPr="00635120">
        <w:rPr>
          <w:rStyle w:val="FootnoteReference"/>
          <w:sz w:val="24"/>
          <w:lang w:val="lv-LV"/>
        </w:rPr>
        <w:footnoteRef/>
      </w:r>
      <w:r w:rsidR="00635120" w:rsidRPr="00635120">
        <w:rPr>
          <w:sz w:val="24"/>
          <w:lang w:val="lv-LV"/>
        </w:rPr>
        <w:t xml:space="preserve"> </w:t>
      </w:r>
      <w:r w:rsidR="00635120" w:rsidRPr="00635120">
        <w:rPr>
          <w:sz w:val="24"/>
          <w:lang w:val="lv-LV"/>
        </w:rPr>
        <w:tab/>
      </w:r>
      <w:r w:rsidRPr="00635120">
        <w:rPr>
          <w:sz w:val="24"/>
          <w:lang w:val="lv-LV"/>
        </w:rPr>
        <w:t xml:space="preserve">Tiesas 2008. gada 21. oktobra spriedums, </w:t>
      </w:r>
      <w:proofErr w:type="spellStart"/>
      <w:r w:rsidRPr="00635120">
        <w:rPr>
          <w:i/>
          <w:iCs/>
          <w:sz w:val="24"/>
          <w:lang w:val="lv-LV"/>
        </w:rPr>
        <w:t>Marra</w:t>
      </w:r>
      <w:proofErr w:type="spellEnd"/>
      <w:r w:rsidRPr="00635120">
        <w:rPr>
          <w:i/>
          <w:iCs/>
          <w:sz w:val="24"/>
          <w:lang w:val="lv-LV"/>
        </w:rPr>
        <w:t>/</w:t>
      </w:r>
      <w:proofErr w:type="spellStart"/>
      <w:r w:rsidRPr="00635120">
        <w:rPr>
          <w:i/>
          <w:iCs/>
          <w:sz w:val="24"/>
          <w:lang w:val="lv-LV"/>
        </w:rPr>
        <w:t>De</w:t>
      </w:r>
      <w:proofErr w:type="spellEnd"/>
      <w:r w:rsidRPr="00635120">
        <w:rPr>
          <w:i/>
          <w:iCs/>
          <w:sz w:val="24"/>
          <w:lang w:val="lv-LV"/>
        </w:rPr>
        <w:t xml:space="preserve"> Gregorio</w:t>
      </w:r>
      <w:r w:rsidRPr="00635120">
        <w:rPr>
          <w:sz w:val="24"/>
          <w:lang w:val="lv-LV"/>
        </w:rPr>
        <w:t xml:space="preserve"> un </w:t>
      </w:r>
      <w:proofErr w:type="spellStart"/>
      <w:r w:rsidRPr="00635120">
        <w:rPr>
          <w:i/>
          <w:iCs/>
          <w:sz w:val="24"/>
          <w:lang w:val="lv-LV"/>
        </w:rPr>
        <w:t>Clemente</w:t>
      </w:r>
      <w:proofErr w:type="spellEnd"/>
      <w:r w:rsidRPr="00635120">
        <w:rPr>
          <w:sz w:val="24"/>
          <w:lang w:val="lv-LV"/>
        </w:rPr>
        <w:t xml:space="preserve">, C-200/07 un C-201/07, ECLI:EU:C:2008:579; Vispārējās tiesas 2010. gada 19. marta spriedums, </w:t>
      </w:r>
      <w:proofErr w:type="spellStart"/>
      <w:r w:rsidRPr="00635120">
        <w:rPr>
          <w:i/>
          <w:iCs/>
          <w:sz w:val="24"/>
          <w:lang w:val="lv-LV"/>
        </w:rPr>
        <w:t>Gollnisch</w:t>
      </w:r>
      <w:proofErr w:type="spellEnd"/>
      <w:r w:rsidRPr="00635120">
        <w:rPr>
          <w:sz w:val="24"/>
          <w:lang w:val="lv-LV"/>
        </w:rPr>
        <w:t xml:space="preserve">/Parlaments, T-42/06, ECLI:EU:T:2010:102; Tiesas 2011. gada 6. septembra spriedums, </w:t>
      </w:r>
      <w:proofErr w:type="spellStart"/>
      <w:r w:rsidRPr="00635120">
        <w:rPr>
          <w:i/>
          <w:iCs/>
          <w:sz w:val="24"/>
          <w:lang w:val="lv-LV"/>
        </w:rPr>
        <w:t>Patriciello</w:t>
      </w:r>
      <w:proofErr w:type="spellEnd"/>
      <w:r w:rsidRPr="00635120">
        <w:rPr>
          <w:sz w:val="24"/>
          <w:lang w:val="lv-LV"/>
        </w:rPr>
        <w:t xml:space="preserve">, C-163/10, ECLI: EU:C:2011:543; Vispārējās tiesas 2013. gada 17. janvāra spriedums, </w:t>
      </w:r>
      <w:proofErr w:type="spellStart"/>
      <w:r w:rsidRPr="00635120">
        <w:rPr>
          <w:i/>
          <w:iCs/>
          <w:sz w:val="24"/>
          <w:lang w:val="lv-LV"/>
        </w:rPr>
        <w:t>Gollnisch</w:t>
      </w:r>
      <w:proofErr w:type="spellEnd"/>
      <w:r w:rsidRPr="00635120">
        <w:rPr>
          <w:sz w:val="24"/>
          <w:lang w:val="lv-LV"/>
        </w:rPr>
        <w:t xml:space="preserve">/Parlaments, T-346/11 un T-347/11, ECLI:EU:T:2013:23. Tiesas 2019. gada 19. decembra spriedums lietā C-502/19 </w:t>
      </w:r>
      <w:proofErr w:type="spellStart"/>
      <w:r w:rsidRPr="00635120">
        <w:rPr>
          <w:i/>
          <w:iCs/>
          <w:sz w:val="24"/>
          <w:lang w:val="lv-LV"/>
        </w:rPr>
        <w:t>Junqueras</w:t>
      </w:r>
      <w:proofErr w:type="spellEnd"/>
      <w:r w:rsidRPr="00635120">
        <w:rPr>
          <w:i/>
          <w:iCs/>
          <w:sz w:val="24"/>
          <w:lang w:val="lv-LV"/>
        </w:rPr>
        <w:t xml:space="preserve"> Vies</w:t>
      </w:r>
      <w:r w:rsidRPr="00635120">
        <w:rPr>
          <w:sz w:val="24"/>
          <w:lang w:val="lv-LV"/>
        </w:rPr>
        <w:t>, ECLI:EU:C:2019:1115</w:t>
      </w:r>
      <w:r w:rsidR="006E6E94" w:rsidRPr="006E6E94">
        <w:rPr>
          <w:sz w:val="24"/>
          <w:lang w:val="lv-LV"/>
        </w:rPr>
        <w:t>;</w:t>
      </w:r>
      <w:r w:rsidRPr="00635120">
        <w:rPr>
          <w:sz w:val="24"/>
          <w:lang w:val="lv-LV"/>
        </w:rPr>
        <w:t xml:space="preserve"> Vispārējās tiesas 2023. gada 5. jūlija spriedums lietā T-272/21 </w:t>
      </w:r>
      <w:proofErr w:type="spellStart"/>
      <w:r w:rsidRPr="00635120">
        <w:rPr>
          <w:i/>
          <w:iCs/>
          <w:sz w:val="24"/>
          <w:lang w:val="lv-LV"/>
        </w:rPr>
        <w:t>Puigdemont</w:t>
      </w:r>
      <w:proofErr w:type="spellEnd"/>
      <w:r w:rsidRPr="00635120">
        <w:rPr>
          <w:i/>
          <w:iCs/>
          <w:sz w:val="24"/>
          <w:lang w:val="lv-LV"/>
        </w:rPr>
        <w:t xml:space="preserve"> i </w:t>
      </w:r>
      <w:proofErr w:type="spellStart"/>
      <w:r w:rsidRPr="00635120">
        <w:rPr>
          <w:i/>
          <w:iCs/>
          <w:sz w:val="24"/>
          <w:lang w:val="lv-LV"/>
        </w:rPr>
        <w:t>Casamajó</w:t>
      </w:r>
      <w:proofErr w:type="spellEnd"/>
      <w:r w:rsidRPr="00635120">
        <w:rPr>
          <w:sz w:val="24"/>
          <w:lang w:val="lv-LV"/>
        </w:rPr>
        <w:t xml:space="preserve"> u. c./Parlaments, ECLI:EU:T:2023:373.</w:t>
      </w:r>
    </w:p>
  </w:footnote>
  <w:footnote w:id="2">
    <w:p w:rsidR="00735232" w:rsidRPr="00635120" w:rsidRDefault="00735232" w:rsidP="00635120">
      <w:pPr>
        <w:pStyle w:val="FootnoteText"/>
        <w:ind w:left="567" w:hanging="567"/>
        <w:rPr>
          <w:sz w:val="24"/>
          <w:lang w:val="lv-LV"/>
        </w:rPr>
      </w:pPr>
      <w:r w:rsidRPr="00635120">
        <w:rPr>
          <w:rStyle w:val="FootnoteReference"/>
          <w:sz w:val="24"/>
          <w:lang w:val="lv-LV"/>
        </w:rPr>
        <w:footnoteRef/>
      </w:r>
      <w:r w:rsidR="00635120" w:rsidRPr="00635120">
        <w:rPr>
          <w:sz w:val="24"/>
          <w:lang w:val="lv-LV"/>
        </w:rPr>
        <w:t xml:space="preserve"> </w:t>
      </w:r>
      <w:r w:rsidR="00635120" w:rsidRPr="00635120">
        <w:rPr>
          <w:sz w:val="24"/>
          <w:lang w:val="lv-LV"/>
        </w:rPr>
        <w:tab/>
      </w:r>
      <w:r w:rsidRPr="00635120">
        <w:rPr>
          <w:sz w:val="24"/>
          <w:lang w:val="lv-LV"/>
        </w:rPr>
        <w:t xml:space="preserve">Vispārējās tiesas 2019. gada 30. aprīļa spriedums, </w:t>
      </w:r>
      <w:proofErr w:type="spellStart"/>
      <w:r w:rsidRPr="00635120">
        <w:rPr>
          <w:i/>
          <w:iCs/>
          <w:sz w:val="24"/>
          <w:lang w:val="lv-LV"/>
        </w:rPr>
        <w:t>Briois</w:t>
      </w:r>
      <w:proofErr w:type="spellEnd"/>
      <w:r w:rsidRPr="00635120">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1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1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51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LV"/>
    <w:docVar w:name="dvnumam" w:val="0"/>
    <w:docVar w:name="dvpe" w:val="766.946"/>
    <w:docVar w:name="dvrapporteur" w:val="Referente: "/>
    <w:docVar w:name="dvtitre" w:val="Eiropas Parlamenta 2025. gada XX. XXX lēmums par pieprasījumu atcelt Petr Bystron imunitāti(2024/2047(IMM))"/>
  </w:docVars>
  <w:rsids>
    <w:rsidRoot w:val="00672008"/>
    <w:rsid w:val="00002272"/>
    <w:rsid w:val="00064002"/>
    <w:rsid w:val="000677B9"/>
    <w:rsid w:val="000831BA"/>
    <w:rsid w:val="000A42CC"/>
    <w:rsid w:val="000E7DD9"/>
    <w:rsid w:val="0010095E"/>
    <w:rsid w:val="00125B37"/>
    <w:rsid w:val="00187494"/>
    <w:rsid w:val="001A1BC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1A8"/>
    <w:rsid w:val="00560270"/>
    <w:rsid w:val="005C2568"/>
    <w:rsid w:val="005F1B17"/>
    <w:rsid w:val="006037C0"/>
    <w:rsid w:val="00635120"/>
    <w:rsid w:val="006631B6"/>
    <w:rsid w:val="00672008"/>
    <w:rsid w:val="00680577"/>
    <w:rsid w:val="006C6F6A"/>
    <w:rsid w:val="006E6E94"/>
    <w:rsid w:val="006F74FA"/>
    <w:rsid w:val="00731ADD"/>
    <w:rsid w:val="00734777"/>
    <w:rsid w:val="0073523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8B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BCF"/>
    <w:rsid w:val="00D56C11"/>
    <w:rsid w:val="00D834A0"/>
    <w:rsid w:val="00D872DF"/>
    <w:rsid w:val="00D91E21"/>
    <w:rsid w:val="00DA1F9D"/>
    <w:rsid w:val="00DA7FCD"/>
    <w:rsid w:val="00E365E1"/>
    <w:rsid w:val="00E820A4"/>
    <w:rsid w:val="00EB006A"/>
    <w:rsid w:val="00EB4772"/>
    <w:rsid w:val="00ED169E"/>
    <w:rsid w:val="00ED4235"/>
    <w:rsid w:val="00F04346"/>
    <w:rsid w:val="00F075DC"/>
    <w:rsid w:val="00F149E9"/>
    <w:rsid w:val="00F5134D"/>
    <w:rsid w:val="00F74202"/>
    <w:rsid w:val="00F742E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EA417"/>
  <w15:chartTrackingRefBased/>
  <w15:docId w15:val="{2A622313-0D58-4494-8F15-5D7A54F4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35232"/>
    <w:rPr>
      <w:b/>
    </w:rPr>
  </w:style>
  <w:style w:type="paragraph" w:customStyle="1" w:styleId="NormalHanging12a">
    <w:name w:val="NormalHanging12a"/>
    <w:basedOn w:val="Normal"/>
    <w:rsid w:val="00735232"/>
    <w:pPr>
      <w:spacing w:after="240"/>
      <w:ind w:left="567" w:hanging="567"/>
    </w:pPr>
  </w:style>
  <w:style w:type="paragraph" w:customStyle="1" w:styleId="EPComma">
    <w:name w:val="EPComma"/>
    <w:basedOn w:val="Normal"/>
    <w:rsid w:val="00735232"/>
    <w:pPr>
      <w:spacing w:before="480" w:after="240"/>
    </w:pPr>
  </w:style>
  <w:style w:type="paragraph" w:styleId="BalloonText">
    <w:name w:val="Balloon Text"/>
    <w:basedOn w:val="Normal"/>
    <w:link w:val="BalloonTextChar"/>
    <w:rsid w:val="006E6E94"/>
    <w:rPr>
      <w:rFonts w:ascii="Segoe UI" w:hAnsi="Segoe UI" w:cs="Segoe UI"/>
      <w:sz w:val="18"/>
      <w:szCs w:val="18"/>
    </w:rPr>
  </w:style>
  <w:style w:type="character" w:customStyle="1" w:styleId="BalloonTextChar">
    <w:name w:val="Balloon Text Char"/>
    <w:basedOn w:val="DefaultParagraphFont"/>
    <w:link w:val="BalloonText"/>
    <w:rsid w:val="006E6E9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84147-5FBF-49CA-88A4-EFAECDF6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6536</Characters>
  <Application>Microsoft Office Word</Application>
  <DocSecurity>0</DocSecurity>
  <Lines>142</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2025-05-06T10:49:00Z</dcterms:created>
  <dcterms:modified xsi:type="dcterms:W3CDTF">2025-05-06T10:49:00Z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A10-0077/2025</vt:lpwstr>
  </property>
  <property fmtid="{D5CDD505-2E9C-101B-9397-08002B2CF9AE}" pid="4" name="&lt;Type&gt;">
    <vt:lpwstr>RR</vt:lpwstr>
  </property>
</Properties>
</file>