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979F7" w14:paraId="27AF2B0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1015B4" w14:textId="77777777" w:rsidR="00751A4A" w:rsidRPr="009979F7" w:rsidRDefault="00FC3E70" w:rsidP="0010095E">
            <w:pPr>
              <w:pStyle w:val="EPName"/>
            </w:pPr>
            <w:bookmarkStart w:id="0" w:name="_GoBack"/>
            <w:bookmarkEnd w:id="0"/>
            <w:r w:rsidRPr="009979F7">
              <w:t>Parlamento Europeu</w:t>
            </w:r>
          </w:p>
          <w:p w14:paraId="091D70F0" w14:textId="77777777" w:rsidR="00751A4A" w:rsidRPr="009979F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979F7">
              <w:t>2024</w:t>
            </w:r>
            <w:r w:rsidR="00817416" w:rsidRPr="009979F7">
              <w:t>-202</w:t>
            </w:r>
            <w:r w:rsidRPr="009979F7">
              <w:t>9</w:t>
            </w:r>
          </w:p>
        </w:tc>
        <w:tc>
          <w:tcPr>
            <w:tcW w:w="2268" w:type="dxa"/>
            <w:shd w:val="clear" w:color="auto" w:fill="auto"/>
          </w:tcPr>
          <w:p w14:paraId="498252CC" w14:textId="77777777" w:rsidR="00751A4A" w:rsidRPr="009979F7" w:rsidRDefault="00187494" w:rsidP="0010095E">
            <w:pPr>
              <w:pStyle w:val="EPLogo"/>
            </w:pPr>
            <w:r w:rsidRPr="009979F7">
              <w:rPr>
                <w:noProof/>
                <w:lang w:val="en-GB"/>
              </w:rPr>
              <w:drawing>
                <wp:inline distT="0" distB="0" distL="0" distR="0" wp14:anchorId="052B0237" wp14:editId="5E00B37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11CFD6" w14:textId="77777777" w:rsidR="00D058B8" w:rsidRPr="009979F7" w:rsidRDefault="00D058B8" w:rsidP="004C5D52">
      <w:pPr>
        <w:pStyle w:val="LineTop"/>
      </w:pPr>
    </w:p>
    <w:p w14:paraId="745EEBA1" w14:textId="77777777" w:rsidR="00680577" w:rsidRPr="009979F7" w:rsidRDefault="00FC3E70" w:rsidP="00680577">
      <w:pPr>
        <w:pStyle w:val="EPBodyTA1"/>
      </w:pPr>
      <w:r w:rsidRPr="009979F7">
        <w:t>TEXTOS APROVADOS</w:t>
      </w:r>
    </w:p>
    <w:p w14:paraId="788263BD" w14:textId="77777777" w:rsidR="00D058B8" w:rsidRPr="009979F7" w:rsidRDefault="00D058B8" w:rsidP="00D058B8">
      <w:pPr>
        <w:pStyle w:val="LineBottom"/>
      </w:pPr>
    </w:p>
    <w:p w14:paraId="3D394B5D" w14:textId="658C3805" w:rsidR="00FC3E70" w:rsidRPr="009979F7" w:rsidRDefault="00FC3E70" w:rsidP="00FC3E70">
      <w:pPr>
        <w:pStyle w:val="ATHeading1"/>
      </w:pPr>
      <w:bookmarkStart w:id="1" w:name="TANumber"/>
      <w:r w:rsidRPr="009979F7">
        <w:t>P10_</w:t>
      </w:r>
      <w:proofErr w:type="gramStart"/>
      <w:r w:rsidRPr="009979F7">
        <w:t>TA(</w:t>
      </w:r>
      <w:proofErr w:type="gramEnd"/>
      <w:r w:rsidRPr="009979F7">
        <w:t>2025)</w:t>
      </w:r>
      <w:bookmarkEnd w:id="1"/>
      <w:r w:rsidR="00F916D1" w:rsidRPr="009979F7">
        <w:t>00</w:t>
      </w:r>
      <w:r w:rsidR="00F916D1" w:rsidRPr="009979F7">
        <w:t>67</w:t>
      </w:r>
    </w:p>
    <w:p w14:paraId="5A0CF272" w14:textId="77777777" w:rsidR="00FC3E70" w:rsidRPr="009979F7" w:rsidRDefault="00FC3E70" w:rsidP="00FC3E70">
      <w:pPr>
        <w:pStyle w:val="ATHeading2"/>
      </w:pPr>
      <w:bookmarkStart w:id="2" w:name="title"/>
      <w:r w:rsidRPr="009979F7">
        <w:t xml:space="preserve">Pedido de levantamento da imunidade de Petr </w:t>
      </w:r>
      <w:proofErr w:type="spellStart"/>
      <w:r w:rsidRPr="009979F7">
        <w:t>Bystron</w:t>
      </w:r>
      <w:bookmarkEnd w:id="2"/>
      <w:proofErr w:type="spellEnd"/>
    </w:p>
    <w:p w14:paraId="3DBDDA14" w14:textId="77777777" w:rsidR="00FC3E70" w:rsidRPr="009979F7" w:rsidRDefault="00FC3E70" w:rsidP="00FC3E70">
      <w:pPr>
        <w:rPr>
          <w:i/>
          <w:vanish/>
        </w:rPr>
      </w:pPr>
      <w:r w:rsidRPr="009979F7">
        <w:rPr>
          <w:i/>
        </w:rPr>
        <w:fldChar w:fldCharType="begin"/>
      </w:r>
      <w:r w:rsidRPr="009979F7">
        <w:rPr>
          <w:i/>
        </w:rPr>
        <w:instrText xml:space="preserve"> TC"(</w:instrText>
      </w:r>
      <w:bookmarkStart w:id="3" w:name="DocNumber"/>
      <w:r w:rsidRPr="009979F7">
        <w:rPr>
          <w:i/>
        </w:rPr>
        <w:instrText>A10-0077/2025</w:instrText>
      </w:r>
      <w:bookmarkEnd w:id="3"/>
      <w:r w:rsidRPr="009979F7">
        <w:rPr>
          <w:i/>
        </w:rPr>
        <w:instrText xml:space="preserve"> - Relatora: Pascale Piera)"\l3 \n&gt; \* MERGEFORMAT </w:instrText>
      </w:r>
      <w:r w:rsidRPr="009979F7">
        <w:rPr>
          <w:i/>
        </w:rPr>
        <w:fldChar w:fldCharType="end"/>
      </w:r>
    </w:p>
    <w:p w14:paraId="376402DD" w14:textId="77777777" w:rsidR="00FC3E70" w:rsidRPr="009979F7" w:rsidRDefault="00FC3E70" w:rsidP="00FC3E70">
      <w:pPr>
        <w:rPr>
          <w:vanish/>
        </w:rPr>
      </w:pPr>
      <w:bookmarkStart w:id="4" w:name="Commission"/>
      <w:r w:rsidRPr="009979F7">
        <w:rPr>
          <w:vanish/>
        </w:rPr>
        <w:t>Comissão dos Assuntos Jurídicos</w:t>
      </w:r>
      <w:bookmarkEnd w:id="4"/>
    </w:p>
    <w:p w14:paraId="12CEAAB6" w14:textId="77777777" w:rsidR="00FC3E70" w:rsidRPr="009979F7" w:rsidRDefault="00FC3E70" w:rsidP="00FC3E70">
      <w:pPr>
        <w:rPr>
          <w:vanish/>
        </w:rPr>
      </w:pPr>
      <w:bookmarkStart w:id="5" w:name="PE"/>
      <w:r w:rsidRPr="009979F7">
        <w:rPr>
          <w:vanish/>
        </w:rPr>
        <w:t>PE766.946</w:t>
      </w:r>
      <w:bookmarkEnd w:id="5"/>
    </w:p>
    <w:p w14:paraId="1D77B41A" w14:textId="663580C3" w:rsidR="00FC3E70" w:rsidRPr="009979F7" w:rsidRDefault="00FC3E70" w:rsidP="00FC3E70">
      <w:pPr>
        <w:pStyle w:val="ATHeading3"/>
      </w:pPr>
      <w:bookmarkStart w:id="6" w:name="Sujet"/>
      <w:r w:rsidRPr="009979F7">
        <w:t xml:space="preserve">Decisão do Parlamento Europeu, de </w:t>
      </w:r>
      <w:r w:rsidR="00E44F9F" w:rsidRPr="009979F7">
        <w:t xml:space="preserve">6 </w:t>
      </w:r>
      <w:r w:rsidRPr="009979F7">
        <w:t xml:space="preserve">de </w:t>
      </w:r>
      <w:r w:rsidR="00E44F9F" w:rsidRPr="009979F7">
        <w:t xml:space="preserve">maio </w:t>
      </w:r>
      <w:r w:rsidRPr="009979F7">
        <w:t xml:space="preserve">de 2025, sobre o pedido de levantamento da imunidade de Petr </w:t>
      </w:r>
      <w:proofErr w:type="spellStart"/>
      <w:r w:rsidRPr="009979F7">
        <w:t>Bystron</w:t>
      </w:r>
      <w:bookmarkEnd w:id="6"/>
      <w:proofErr w:type="spellEnd"/>
      <w:r w:rsidRPr="009979F7">
        <w:t xml:space="preserve"> </w:t>
      </w:r>
      <w:bookmarkStart w:id="7" w:name="References"/>
      <w:r w:rsidRPr="009979F7">
        <w:t>(2024/2047(IMM))</w:t>
      </w:r>
      <w:bookmarkEnd w:id="7"/>
    </w:p>
    <w:p w14:paraId="144514D3" w14:textId="77777777" w:rsidR="009B1BCD" w:rsidRPr="009979F7" w:rsidRDefault="009B1BCD" w:rsidP="009B1BCD">
      <w:pPr>
        <w:pStyle w:val="EPComma"/>
      </w:pPr>
      <w:bookmarkStart w:id="8" w:name="TextBodyBegin"/>
      <w:bookmarkEnd w:id="8"/>
      <w:r w:rsidRPr="009979F7">
        <w:rPr>
          <w:i/>
          <w:iCs/>
        </w:rPr>
        <w:t>O Parlamento Europeu</w:t>
      </w:r>
      <w:r w:rsidRPr="009979F7">
        <w:t>,</w:t>
      </w:r>
    </w:p>
    <w:p w14:paraId="393CB227" w14:textId="3DBD6B9E" w:rsidR="009B1BCD" w:rsidRPr="009979F7" w:rsidRDefault="009B1BCD" w:rsidP="009979F7">
      <w:pPr>
        <w:pStyle w:val="NormalHanging12a"/>
      </w:pPr>
      <w:r w:rsidRPr="009979F7">
        <w:t>–</w:t>
      </w:r>
      <w:r w:rsidRPr="009979F7">
        <w:tab/>
        <w:t>Tendo recebido um pedido de levantamento da imunidade de Petr </w:t>
      </w:r>
      <w:proofErr w:type="spellStart"/>
      <w:r w:rsidRPr="009979F7">
        <w:t>Bystron</w:t>
      </w:r>
      <w:proofErr w:type="spellEnd"/>
      <w:r w:rsidRPr="009979F7">
        <w:t>, transmitido por carta de 27 de agosto de 2024 do Ministério Federal da Justiça alemão, remetendo um pedido de 23 de julho de 2024 do procurador</w:t>
      </w:r>
      <w:r w:rsidRPr="009979F7">
        <w:noBreakHyphen/>
        <w:t>geral de Munique, no âmbito do processo de inquérito pendente na procuradoria</w:t>
      </w:r>
      <w:r w:rsidRPr="009979F7">
        <w:noBreakHyphen/>
        <w:t xml:space="preserve">geral de Munique, o qual foi </w:t>
      </w:r>
      <w:r w:rsidR="00865377" w:rsidRPr="009979F7">
        <w:t xml:space="preserve">anunciado </w:t>
      </w:r>
      <w:r w:rsidRPr="009979F7">
        <w:t>em sessão plenária em 16 de setembro de 2024,</w:t>
      </w:r>
    </w:p>
    <w:p w14:paraId="688B514A" w14:textId="4492F7C4" w:rsidR="009B1BCD" w:rsidRPr="009979F7" w:rsidRDefault="009B1BCD" w:rsidP="009979F7">
      <w:pPr>
        <w:pStyle w:val="NormalHanging12a"/>
      </w:pPr>
      <w:r w:rsidRPr="009979F7">
        <w:t>–</w:t>
      </w:r>
      <w:r w:rsidRPr="009979F7">
        <w:tab/>
        <w:t>Tendo ouvido Petr </w:t>
      </w:r>
      <w:proofErr w:type="spellStart"/>
      <w:r w:rsidRPr="009979F7">
        <w:t>Bystron</w:t>
      </w:r>
      <w:proofErr w:type="spellEnd"/>
      <w:r w:rsidRPr="009979F7">
        <w:t>, em 13 de fevereiro de 2025, nos termos do artigo 9.º, n.º 6, do</w:t>
      </w:r>
      <w:r w:rsidR="007B3060" w:rsidRPr="009979F7">
        <w:t xml:space="preserve"> seu</w:t>
      </w:r>
      <w:r w:rsidRPr="009979F7">
        <w:t xml:space="preserve"> Regimento, e tendo em conta os documentos que apresentou,</w:t>
      </w:r>
    </w:p>
    <w:p w14:paraId="43BA7CE4" w14:textId="26D66CAF" w:rsidR="009B1BCD" w:rsidRPr="009979F7" w:rsidRDefault="009B1BCD" w:rsidP="009979F7">
      <w:pPr>
        <w:pStyle w:val="NormalHanging12a"/>
      </w:pPr>
      <w:r w:rsidRPr="009979F7">
        <w:t>–</w:t>
      </w:r>
      <w:r w:rsidRPr="009979F7">
        <w:tab/>
        <w:t xml:space="preserve">Tendo em conta os artigos 8.º e 9.º do Protocolo n.º 7 relativo aos Privilégios e Imunidades da União Europeia, bem como o artigo 6.º, n.º 2, do Ato relativo à Eleição dos </w:t>
      </w:r>
      <w:r w:rsidR="00E44F9F" w:rsidRPr="009979F7">
        <w:t xml:space="preserve">representantes </w:t>
      </w:r>
      <w:r w:rsidRPr="009979F7">
        <w:t>ao Parlamento Europeu por Sufrágio Universal Direto, de 20 de setembro de 1976,</w:t>
      </w:r>
    </w:p>
    <w:p w14:paraId="64561E14" w14:textId="77777777" w:rsidR="009B1BCD" w:rsidRPr="009979F7" w:rsidRDefault="009B1BCD" w:rsidP="009979F7">
      <w:pPr>
        <w:pStyle w:val="NormalHanging12a"/>
      </w:pPr>
      <w:r w:rsidRPr="009979F7">
        <w:t>–</w:t>
      </w:r>
      <w:r w:rsidRPr="009979F7">
        <w:tab/>
        <w:t>Tendo em conta os acórdãos proferidos pelo Tribunal de Justiça da União Europeia em 21 de outubro de 2008, 19 de março de 2010, 6 de set</w:t>
      </w:r>
      <w:r w:rsidR="00E44F9F" w:rsidRPr="009979F7">
        <w:t>embro de 2011, 17 de janeiro de </w:t>
      </w:r>
      <w:r w:rsidRPr="009979F7">
        <w:t>2013, 19 de dezembro de 2019 e 5 de julho de 2023</w:t>
      </w:r>
      <w:r w:rsidRPr="009979F7">
        <w:rPr>
          <w:rStyle w:val="FootnoteReference"/>
        </w:rPr>
        <w:footnoteReference w:id="1"/>
      </w:r>
      <w:r w:rsidRPr="009979F7">
        <w:t>,</w:t>
      </w:r>
    </w:p>
    <w:p w14:paraId="56CCCAA4" w14:textId="77777777" w:rsidR="009B1BCD" w:rsidRPr="009979F7" w:rsidRDefault="009B1BCD" w:rsidP="009979F7">
      <w:pPr>
        <w:pStyle w:val="NormalHanging12a"/>
      </w:pPr>
      <w:r w:rsidRPr="009979F7">
        <w:t>–</w:t>
      </w:r>
      <w:r w:rsidRPr="009979F7">
        <w:tab/>
        <w:t>Tendo em conta o artigo 46.º da Lei Fundamental da República Federal da Alemanha,</w:t>
      </w:r>
    </w:p>
    <w:p w14:paraId="0986EC91" w14:textId="77777777" w:rsidR="009B1BCD" w:rsidRPr="009979F7" w:rsidRDefault="009B1BCD" w:rsidP="009979F7">
      <w:pPr>
        <w:pStyle w:val="NormalHanging12a"/>
      </w:pPr>
      <w:r w:rsidRPr="009979F7">
        <w:lastRenderedPageBreak/>
        <w:t>–</w:t>
      </w:r>
      <w:r w:rsidRPr="009979F7">
        <w:tab/>
        <w:t>Tendo em conta o artigo 5.º, n.º 2, o artigo 6.º, n.º 1, e o artigo 9.º do seu Regimento,</w:t>
      </w:r>
    </w:p>
    <w:p w14:paraId="182E3B3D" w14:textId="77777777" w:rsidR="009B1BCD" w:rsidRPr="009979F7" w:rsidRDefault="009B1BCD" w:rsidP="009979F7">
      <w:pPr>
        <w:pStyle w:val="NormalHanging12a"/>
      </w:pPr>
      <w:r w:rsidRPr="009979F7">
        <w:t>–</w:t>
      </w:r>
      <w:r w:rsidRPr="009979F7">
        <w:tab/>
        <w:t>Tendo em conta o relatório da Comissão dos Assuntos Jurídicos (A10</w:t>
      </w:r>
      <w:r w:rsidRPr="009979F7">
        <w:noBreakHyphen/>
        <w:t>0077/2025),</w:t>
      </w:r>
    </w:p>
    <w:p w14:paraId="40A34E5B" w14:textId="0B1438B7" w:rsidR="009B1BCD" w:rsidRPr="009979F7" w:rsidRDefault="009B1BCD" w:rsidP="009979F7">
      <w:pPr>
        <w:pStyle w:val="NormalHanging12a"/>
      </w:pPr>
      <w:r w:rsidRPr="009979F7">
        <w:t>A.</w:t>
      </w:r>
      <w:r w:rsidRPr="009979F7">
        <w:tab/>
      </w:r>
      <w:r w:rsidR="002E0766" w:rsidRPr="009979F7">
        <w:t>Considerando que o procurador</w:t>
      </w:r>
      <w:r w:rsidR="002E0766" w:rsidRPr="009979F7">
        <w:noBreakHyphen/>
        <w:t xml:space="preserve">geral de Munique requereu o levantamento da imunidade de Petr </w:t>
      </w:r>
      <w:proofErr w:type="spellStart"/>
      <w:r w:rsidR="002E0766" w:rsidRPr="009979F7">
        <w:t>Bystron</w:t>
      </w:r>
      <w:proofErr w:type="spellEnd"/>
      <w:r w:rsidR="002E0766" w:rsidRPr="009979F7">
        <w:t>, deputado ao Parlamento Europeu, no contexto das acusações contra ele deduzidas ao abrigo do § 108</w:t>
      </w:r>
      <w:r w:rsidR="002E0766" w:rsidRPr="009979F7">
        <w:noBreakHyphen/>
        <w:t>E, n.º 1, do § 261, n.º 1, ponto 2, do § 261, n.º 7, do § 263, n.º 1, e do § 263, n.º 3, ponto 1, do Código Penal alemão, do § 370, n.º 1, do Código Geral dos Impostos alemão e do § 53 do referido Código Penal, respeitantes a alegados atos de corrupção passiva, branqueamento de capitais e fraude, a que correspondem, pelo menos, seis crimes, e de fraude fiscal, a que correspondem, pelo menos, cinco crimes;</w:t>
      </w:r>
    </w:p>
    <w:p w14:paraId="5401BF91" w14:textId="6B956026" w:rsidR="009B1BCD" w:rsidRPr="009979F7" w:rsidRDefault="009B1BCD" w:rsidP="009979F7">
      <w:pPr>
        <w:pStyle w:val="NormalHanging12a"/>
      </w:pPr>
      <w:r w:rsidRPr="009979F7">
        <w:t>B.</w:t>
      </w:r>
      <w:r w:rsidRPr="009979F7">
        <w:tab/>
        <w:t xml:space="preserve">Considerando que o pedido de levantamento de imunidade indica que, a partir de data indeterminada no ano de 2020, </w:t>
      </w:r>
      <w:r w:rsidR="002E0766" w:rsidRPr="009979F7">
        <w:t>Petr</w:t>
      </w:r>
      <w:r w:rsidRPr="009979F7">
        <w:t xml:space="preserve"> </w:t>
      </w:r>
      <w:proofErr w:type="spellStart"/>
      <w:r w:rsidRPr="009979F7">
        <w:t>Bystron</w:t>
      </w:r>
      <w:proofErr w:type="spellEnd"/>
      <w:r w:rsidRPr="009979F7">
        <w:t xml:space="preserve"> terá, nomeadamente, recebido pagamentos em numerário ou beneficiado de transferências de criptomoedas do operador do sítio pró</w:t>
      </w:r>
      <w:r w:rsidRPr="009979F7">
        <w:noBreakHyphen/>
        <w:t>russo «Voz da Europa» em troca do compromisso de se pronunciar e votar, enquanto deputado ao parlamento nacional, a favor dos interesses do Governo russo</w:t>
      </w:r>
      <w:r w:rsidR="00542338" w:rsidRPr="009979F7">
        <w:t>; considerando que</w:t>
      </w:r>
      <w:r w:rsidRPr="009979F7">
        <w:t xml:space="preserve"> </w:t>
      </w:r>
      <w:r w:rsidR="002E0766" w:rsidRPr="009979F7">
        <w:t>Petr</w:t>
      </w:r>
      <w:r w:rsidRPr="009979F7">
        <w:t xml:space="preserve"> </w:t>
      </w:r>
      <w:proofErr w:type="spellStart"/>
      <w:r w:rsidRPr="009979F7">
        <w:t>Bystron</w:t>
      </w:r>
      <w:proofErr w:type="spellEnd"/>
      <w:r w:rsidRPr="009979F7">
        <w:t xml:space="preserve"> </w:t>
      </w:r>
      <w:r w:rsidR="007B3060" w:rsidRPr="009979F7">
        <w:t xml:space="preserve">alegadamente </w:t>
      </w:r>
      <w:r w:rsidRPr="009979F7">
        <w:t>depositou montantes consideráveis de dinheiro através de uma caixa multibanco, em 17 e 20 de março de 2023, numa conta pertencente à sociedade de que é o único acionista e gerente</w:t>
      </w:r>
      <w:r w:rsidR="00542338" w:rsidRPr="009979F7">
        <w:t>; considerando que, em 20 de março de </w:t>
      </w:r>
      <w:r w:rsidRPr="009979F7">
        <w:t xml:space="preserve">2023, </w:t>
      </w:r>
      <w:r w:rsidR="007B3060" w:rsidRPr="009979F7">
        <w:t xml:space="preserve">alegadamente </w:t>
      </w:r>
      <w:r w:rsidRPr="009979F7">
        <w:t xml:space="preserve">levantou </w:t>
      </w:r>
      <w:r w:rsidR="007B3060" w:rsidRPr="009979F7">
        <w:t xml:space="preserve">novamente </w:t>
      </w:r>
      <w:r w:rsidRPr="009979F7">
        <w:t>o mesmo montante em notas de 200 EUR numa caixa multibanco pertencente ao mesmo banco</w:t>
      </w:r>
      <w:r w:rsidR="00542338" w:rsidRPr="009979F7">
        <w:t>; considerando que</w:t>
      </w:r>
      <w:r w:rsidRPr="009979F7">
        <w:t xml:space="preserve">, em resposta a um pedido do banco, Petr </w:t>
      </w:r>
      <w:proofErr w:type="spellStart"/>
      <w:r w:rsidRPr="009979F7">
        <w:t>Bystron</w:t>
      </w:r>
      <w:proofErr w:type="spellEnd"/>
      <w:r w:rsidRPr="009979F7">
        <w:t xml:space="preserve"> </w:t>
      </w:r>
      <w:r w:rsidR="007B3060" w:rsidRPr="009979F7">
        <w:t xml:space="preserve">alegadamente </w:t>
      </w:r>
      <w:r w:rsidRPr="009979F7">
        <w:t>não deu nenhuma explicação sobre a razão subjacente a esses movimentos suspeitos</w:t>
      </w:r>
      <w:r w:rsidR="00542338" w:rsidRPr="009979F7">
        <w:t>; considerando que</w:t>
      </w:r>
      <w:r w:rsidRPr="009979F7">
        <w:t xml:space="preserve">, além dos alegados subornos recebidos em numerário, Petr </w:t>
      </w:r>
      <w:proofErr w:type="spellStart"/>
      <w:r w:rsidRPr="009979F7">
        <w:t>Bystron</w:t>
      </w:r>
      <w:proofErr w:type="spellEnd"/>
      <w:r w:rsidRPr="009979F7">
        <w:t xml:space="preserve"> terá também depositado várias quantias em julho de 2021, abril de 2022, setembro de 2022, bem como em junho e julho de 2023</w:t>
      </w:r>
      <w:r w:rsidR="00542338" w:rsidRPr="009979F7">
        <w:t>; considerando que</w:t>
      </w:r>
      <w:r w:rsidRPr="009979F7">
        <w:t xml:space="preserve"> Petr </w:t>
      </w:r>
      <w:proofErr w:type="spellStart"/>
      <w:r w:rsidRPr="009979F7">
        <w:t>Bystron</w:t>
      </w:r>
      <w:proofErr w:type="spellEnd"/>
      <w:r w:rsidRPr="009979F7">
        <w:t xml:space="preserve"> terá alegadamente tentado ocultar a origem do dinheiro líquido</w:t>
      </w:r>
      <w:r w:rsidR="00542338" w:rsidRPr="009979F7">
        <w:t>; considerando que</w:t>
      </w:r>
      <w:r w:rsidRPr="009979F7">
        <w:t xml:space="preserve"> </w:t>
      </w:r>
      <w:r w:rsidR="007B3060" w:rsidRPr="009979F7">
        <w:t>o</w:t>
      </w:r>
      <w:r w:rsidRPr="009979F7">
        <w:t xml:space="preserve"> procurador</w:t>
      </w:r>
      <w:r w:rsidRPr="009979F7">
        <w:noBreakHyphen/>
        <w:t xml:space="preserve">geral </w:t>
      </w:r>
      <w:r w:rsidR="007B3060" w:rsidRPr="009979F7">
        <w:t xml:space="preserve">de Munique </w:t>
      </w:r>
      <w:r w:rsidRPr="009979F7">
        <w:t xml:space="preserve">dispõe de registos de transações de todas as contas de Petr </w:t>
      </w:r>
      <w:proofErr w:type="spellStart"/>
      <w:r w:rsidRPr="009979F7">
        <w:t>Bystron</w:t>
      </w:r>
      <w:proofErr w:type="spellEnd"/>
      <w:r w:rsidRPr="009979F7">
        <w:t xml:space="preserve"> e da empresa acima referida, da qual é o único acionista e gerente, </w:t>
      </w:r>
      <w:r w:rsidR="007B3060" w:rsidRPr="009979F7">
        <w:t>desde </w:t>
      </w:r>
      <w:r w:rsidRPr="009979F7">
        <w:t>2020</w:t>
      </w:r>
      <w:r w:rsidR="00542338" w:rsidRPr="009979F7">
        <w:t>; considerando que</w:t>
      </w:r>
      <w:r w:rsidRPr="009979F7">
        <w:t xml:space="preserve"> isso </w:t>
      </w:r>
      <w:r w:rsidR="007B3060" w:rsidRPr="009979F7">
        <w:t xml:space="preserve">alegadamente </w:t>
      </w:r>
      <w:r w:rsidRPr="009979F7">
        <w:t>permitiu detetar outros pagamentos em numerário e concluir pela existência de alegados subornos recebidos anteriormente;</w:t>
      </w:r>
    </w:p>
    <w:p w14:paraId="621EF497" w14:textId="6E8483F6" w:rsidR="009B1BCD" w:rsidRPr="009979F7" w:rsidRDefault="009B1BCD" w:rsidP="009979F7">
      <w:pPr>
        <w:pStyle w:val="NormalHanging12a"/>
      </w:pPr>
      <w:proofErr w:type="gramStart"/>
      <w:r w:rsidRPr="009979F7">
        <w:t>C.</w:t>
      </w:r>
      <w:r w:rsidRPr="009979F7">
        <w:tab/>
        <w:t>Considerando</w:t>
      </w:r>
      <w:proofErr w:type="gramEnd"/>
      <w:r w:rsidRPr="009979F7">
        <w:t xml:space="preserve"> que em várias deliberações do parlamento nacional, do qual era membro à data dos alegados atos, sobre questões relacionadas com a Rússia, Petr </w:t>
      </w:r>
      <w:proofErr w:type="spellStart"/>
      <w:r w:rsidRPr="009979F7">
        <w:t>Bystron</w:t>
      </w:r>
      <w:proofErr w:type="spellEnd"/>
      <w:r w:rsidRPr="009979F7">
        <w:t xml:space="preserve"> votou</w:t>
      </w:r>
      <w:r w:rsidR="007B3060" w:rsidRPr="009979F7">
        <w:t xml:space="preserve"> alegadamente</w:t>
      </w:r>
      <w:r w:rsidRPr="009979F7">
        <w:t xml:space="preserve">, a partir de 2022, de forma manifestamente mais favorável aos interesses do Governo russo e </w:t>
      </w:r>
      <w:r w:rsidR="007B3060" w:rsidRPr="009979F7">
        <w:t xml:space="preserve">alegadamente </w:t>
      </w:r>
      <w:r w:rsidRPr="009979F7">
        <w:t>proferiu pelo menos dois discursos no Parlamento Federal alemão (</w:t>
      </w:r>
      <w:proofErr w:type="spellStart"/>
      <w:r w:rsidRPr="009979F7">
        <w:t>Bundestag</w:t>
      </w:r>
      <w:proofErr w:type="spellEnd"/>
      <w:r w:rsidRPr="009979F7">
        <w:t>) em que defendeu uma posição pró</w:t>
      </w:r>
      <w:r w:rsidRPr="009979F7">
        <w:noBreakHyphen/>
        <w:t>russa;</w:t>
      </w:r>
    </w:p>
    <w:p w14:paraId="589A39AB" w14:textId="005F9E0F" w:rsidR="009B1BCD" w:rsidRPr="009979F7" w:rsidRDefault="009B1BCD" w:rsidP="009979F7">
      <w:pPr>
        <w:pStyle w:val="NormalHanging12a"/>
      </w:pPr>
      <w:r w:rsidRPr="009979F7">
        <w:t>D.</w:t>
      </w:r>
      <w:r w:rsidRPr="009979F7">
        <w:tab/>
        <w:t xml:space="preserve">Considerando que Petr </w:t>
      </w:r>
      <w:proofErr w:type="spellStart"/>
      <w:r w:rsidRPr="009979F7">
        <w:t>Bystron</w:t>
      </w:r>
      <w:proofErr w:type="spellEnd"/>
      <w:r w:rsidRPr="009979F7">
        <w:t xml:space="preserve">, titular, ao abrigo da lei alemã relativa aos deputados, do direito a um subsídio fixo destinado, nomeadamente, a recrutar colaboradores, </w:t>
      </w:r>
      <w:r w:rsidR="007B3060" w:rsidRPr="009979F7">
        <w:t xml:space="preserve">alegadamente </w:t>
      </w:r>
      <w:r w:rsidRPr="009979F7">
        <w:t xml:space="preserve">celebrou, em outubro de 2021, um contrato de trabalho com o seu advogado e </w:t>
      </w:r>
      <w:r w:rsidR="008C70F9" w:rsidRPr="009979F7">
        <w:t xml:space="preserve">efetuou </w:t>
      </w:r>
      <w:r w:rsidRPr="009979F7">
        <w:t>cinco aditamentos a este contrato, alterando, cada um deles, o horário de trabalho semanal e a remuneração mensal</w:t>
      </w:r>
      <w:r w:rsidR="008C70F9" w:rsidRPr="009979F7">
        <w:t xml:space="preserve"> do seu advogado</w:t>
      </w:r>
      <w:r w:rsidR="00542338" w:rsidRPr="009979F7">
        <w:t>; considerando que</w:t>
      </w:r>
      <w:r w:rsidRPr="009979F7">
        <w:t xml:space="preserve"> o subsídio fixo só pode ser utilizado se os objetivos visados ou atividades em causa tiverem um nexo suficiente com o exercício do mandato</w:t>
      </w:r>
      <w:r w:rsidR="00542338" w:rsidRPr="009979F7">
        <w:t>; considerando que</w:t>
      </w:r>
      <w:r w:rsidRPr="009979F7">
        <w:t xml:space="preserve"> o trabalho prestado no âmbito do referido contrato </w:t>
      </w:r>
      <w:r w:rsidR="008C70F9" w:rsidRPr="009979F7">
        <w:t xml:space="preserve">alegadamente </w:t>
      </w:r>
      <w:r w:rsidRPr="009979F7">
        <w:t xml:space="preserve">não estava relacionado com o exercício do mandato parlamentar ou que o trabalho previsto não foi prestado, embora a remuneração tenha </w:t>
      </w:r>
      <w:r w:rsidR="008C70F9" w:rsidRPr="009979F7">
        <w:t xml:space="preserve">alegadamente </w:t>
      </w:r>
      <w:r w:rsidRPr="009979F7">
        <w:t xml:space="preserve">sido </w:t>
      </w:r>
      <w:r w:rsidRPr="009979F7">
        <w:lastRenderedPageBreak/>
        <w:t>paga, devido ao facto de o funcionário responsável pelo seu pagamento ter sido induzido em erro</w:t>
      </w:r>
      <w:r w:rsidR="00542338" w:rsidRPr="009979F7">
        <w:t>; considerando que</w:t>
      </w:r>
      <w:r w:rsidRPr="009979F7">
        <w:t xml:space="preserve"> este pagamento </w:t>
      </w:r>
      <w:r w:rsidR="008C70F9" w:rsidRPr="009979F7">
        <w:t xml:space="preserve">alegadamente </w:t>
      </w:r>
      <w:r w:rsidRPr="009979F7">
        <w:t>lesou a República Federal da Alemanha em 97 400,00 EUR;</w:t>
      </w:r>
    </w:p>
    <w:p w14:paraId="2FA335C8" w14:textId="78D2161E" w:rsidR="009B1BCD" w:rsidRPr="009979F7" w:rsidRDefault="009B1BCD" w:rsidP="009979F7">
      <w:pPr>
        <w:pStyle w:val="NormalHanging12a"/>
      </w:pPr>
      <w:r w:rsidRPr="009979F7">
        <w:t>E.</w:t>
      </w:r>
      <w:r w:rsidRPr="009979F7">
        <w:tab/>
        <w:t xml:space="preserve">Considerando que, durante os exercícios de 2017 a 2021, Petr </w:t>
      </w:r>
      <w:proofErr w:type="spellStart"/>
      <w:r w:rsidRPr="009979F7">
        <w:t>Bystron</w:t>
      </w:r>
      <w:proofErr w:type="spellEnd"/>
      <w:r w:rsidRPr="009979F7">
        <w:t xml:space="preserve">, por intermédio do consultor fiscal da sociedade de que é o único acionista e gerente, </w:t>
      </w:r>
      <w:r w:rsidR="008C70F9" w:rsidRPr="009979F7">
        <w:t xml:space="preserve">alegadamente apresentou </w:t>
      </w:r>
      <w:r w:rsidRPr="009979F7">
        <w:t>declarações de IVA incorretas à Autoridade Tributária de Munique, contendo despesas de natureza privada sem nenhuma relação com a atividade comercial da referida sociedade</w:t>
      </w:r>
      <w:r w:rsidR="00542338" w:rsidRPr="009979F7">
        <w:t>; considerando que</w:t>
      </w:r>
      <w:r w:rsidRPr="009979F7">
        <w:t xml:space="preserve">, devido a essa informação incorreta nas declarações de IVA, foi </w:t>
      </w:r>
      <w:r w:rsidR="008C70F9" w:rsidRPr="009979F7">
        <w:t xml:space="preserve">alegadamente </w:t>
      </w:r>
      <w:r w:rsidRPr="009979F7">
        <w:t>efetuado um reembolso indevido de IVA no montante de 9 949,17 EUR;</w:t>
      </w:r>
    </w:p>
    <w:p w14:paraId="2352F946" w14:textId="77777777" w:rsidR="009B1BCD" w:rsidRPr="009979F7" w:rsidRDefault="009B1BCD" w:rsidP="009979F7">
      <w:pPr>
        <w:pStyle w:val="NormalHanging12a"/>
      </w:pPr>
      <w:proofErr w:type="gramStart"/>
      <w:r w:rsidRPr="009979F7">
        <w:rPr>
          <w:shd w:val="clear" w:color="auto" w:fill="FFFFFF"/>
        </w:rPr>
        <w:t>F.</w:t>
      </w:r>
      <w:r w:rsidRPr="009979F7">
        <w:rPr>
          <w:shd w:val="clear" w:color="auto" w:fill="FFFFFF"/>
        </w:rPr>
        <w:tab/>
        <w:t>Considerando</w:t>
      </w:r>
      <w:proofErr w:type="gramEnd"/>
      <w:r w:rsidRPr="009979F7">
        <w:rPr>
          <w:shd w:val="clear" w:color="auto" w:fill="FFFFFF"/>
        </w:rPr>
        <w:t xml:space="preserve"> que Petr </w:t>
      </w:r>
      <w:proofErr w:type="spellStart"/>
      <w:r w:rsidRPr="009979F7">
        <w:rPr>
          <w:shd w:val="clear" w:color="auto" w:fill="FFFFFF"/>
        </w:rPr>
        <w:t>Bystron</w:t>
      </w:r>
      <w:proofErr w:type="spellEnd"/>
      <w:r w:rsidRPr="009979F7">
        <w:rPr>
          <w:shd w:val="clear" w:color="auto" w:fill="FFFFFF"/>
        </w:rPr>
        <w:t xml:space="preserve"> foi eleito para o Parlamento Europeu nas eleições europeias de 2024 na Alemanha e </w:t>
      </w:r>
      <w:r w:rsidRPr="009979F7">
        <w:t>que não era deputado ao Parlamento Europeu à data das alegadas infrações;</w:t>
      </w:r>
    </w:p>
    <w:p w14:paraId="4131AE13" w14:textId="77777777" w:rsidR="009B1BCD" w:rsidRPr="009979F7" w:rsidRDefault="009B1BCD" w:rsidP="009979F7">
      <w:pPr>
        <w:pStyle w:val="NormalHanging12a"/>
      </w:pPr>
      <w:proofErr w:type="gramStart"/>
      <w:r w:rsidRPr="009979F7">
        <w:t>G.</w:t>
      </w:r>
      <w:r w:rsidRPr="009979F7">
        <w:tab/>
        <w:t>Considerando</w:t>
      </w:r>
      <w:proofErr w:type="gramEnd"/>
      <w:r w:rsidRPr="009979F7">
        <w:t xml:space="preserve"> que as alegadas infrações e o subsequente pedido de levantamento de imunidade não estão relacionados com opiniões ou votos emitidos por Petr </w:t>
      </w:r>
      <w:proofErr w:type="spellStart"/>
      <w:r w:rsidRPr="009979F7">
        <w:t>Bystron</w:t>
      </w:r>
      <w:proofErr w:type="spellEnd"/>
      <w:r w:rsidRPr="009979F7">
        <w:t xml:space="preserve"> no exercício das suas funções, na aceção do artigo 8.º do Protocolo n.º 7 relativo aos Privilégios e Imunidades da União Europeia;</w:t>
      </w:r>
    </w:p>
    <w:p w14:paraId="29EFD8DC" w14:textId="6A3DA2C7" w:rsidR="009B1BCD" w:rsidRPr="009979F7" w:rsidRDefault="009B1BCD" w:rsidP="009979F7">
      <w:pPr>
        <w:pStyle w:val="NormalHanging12a"/>
      </w:pPr>
      <w:proofErr w:type="gramStart"/>
      <w:r w:rsidRPr="009979F7">
        <w:t>H.</w:t>
      </w:r>
      <w:r w:rsidRPr="009979F7">
        <w:tab/>
        <w:t>Considerando</w:t>
      </w:r>
      <w:proofErr w:type="gramEnd"/>
      <w:r w:rsidRPr="009979F7">
        <w:t xml:space="preserve"> que o artigo 9.º, primeiro parágrafo, alínea a), do Protocolo n.º 7 relativo aos Privilégios e Imunidades da União Europeia </w:t>
      </w:r>
      <w:r w:rsidR="007B3060" w:rsidRPr="009979F7">
        <w:t xml:space="preserve">prevê </w:t>
      </w:r>
      <w:r w:rsidRPr="009979F7">
        <w:t>que os deputados ao Parlamento Europeu beneficiam, no seu território nacional, das imunidades reconhecidas aos membros do Parlamento do seu país;</w:t>
      </w:r>
    </w:p>
    <w:p w14:paraId="715F2E1C" w14:textId="77777777" w:rsidR="009B1BCD" w:rsidRPr="009979F7" w:rsidRDefault="009B1BCD" w:rsidP="009979F7">
      <w:pPr>
        <w:pStyle w:val="NormalHanging12a"/>
      </w:pPr>
      <w:r w:rsidRPr="009979F7">
        <w:t>I.</w:t>
      </w:r>
      <w:r w:rsidRPr="009979F7">
        <w:tab/>
        <w:t xml:space="preserve">Considerando que o artigo 46.º, </w:t>
      </w:r>
      <w:proofErr w:type="spellStart"/>
      <w:proofErr w:type="gramStart"/>
      <w:r w:rsidRPr="009979F7">
        <w:t>n.</w:t>
      </w:r>
      <w:r w:rsidRPr="009979F7">
        <w:rPr>
          <w:vertAlign w:val="superscript"/>
        </w:rPr>
        <w:t>os</w:t>
      </w:r>
      <w:proofErr w:type="spellEnd"/>
      <w:proofErr w:type="gramEnd"/>
      <w:r w:rsidRPr="009979F7">
        <w:t> 2, 3 e 4, da Lei Fundamental da República Federal da Alemanha prevê o seguinte:</w:t>
      </w:r>
    </w:p>
    <w:p w14:paraId="6B78DF3B" w14:textId="77777777" w:rsidR="009B1BCD" w:rsidRPr="009979F7" w:rsidRDefault="00E44F9F" w:rsidP="009979F7">
      <w:pPr>
        <w:pStyle w:val="NormalHanging12a"/>
        <w:ind w:left="1134"/>
      </w:pPr>
      <w:r w:rsidRPr="009979F7">
        <w:t>«(2</w:t>
      </w:r>
      <w:proofErr w:type="gramStart"/>
      <w:r w:rsidRPr="009979F7">
        <w:t>)</w:t>
      </w:r>
      <w:r w:rsidR="009B1BCD" w:rsidRPr="009979F7">
        <w:tab/>
        <w:t>Tratando</w:t>
      </w:r>
      <w:proofErr w:type="gramEnd"/>
      <w:r w:rsidR="009B1BCD" w:rsidRPr="009979F7">
        <w:noBreakHyphen/>
        <w:t>se de atos sujeitos a sanção penal, um deputado só pode ser responsabilizado ou detido com a autorização do Parlamento Federal, a não ser que seja detido em flagrante delito ou no decurso do dia seguinte àquele em que o ato foi cometido.</w:t>
      </w:r>
    </w:p>
    <w:p w14:paraId="1718CC67" w14:textId="77777777" w:rsidR="009B1BCD" w:rsidRPr="009979F7" w:rsidRDefault="00E44F9F" w:rsidP="009979F7">
      <w:pPr>
        <w:pStyle w:val="NormalHanging12a"/>
        <w:ind w:left="1134"/>
      </w:pPr>
      <w:proofErr w:type="gramStart"/>
      <w:r w:rsidRPr="009979F7">
        <w:t>(3)</w:t>
      </w:r>
      <w:r w:rsidR="009B1BCD" w:rsidRPr="009979F7">
        <w:tab/>
        <w:t>É</w:t>
      </w:r>
      <w:proofErr w:type="gramEnd"/>
      <w:r w:rsidR="009B1BCD" w:rsidRPr="009979F7">
        <w:t xml:space="preserve"> igualmente necessária a autorização do Parlamento Federal para qualquer outra restrição da liberdade pessoal de um deputado ou para abrir um processo contra algum deputado, nos termos do artigo 18.º.</w:t>
      </w:r>
    </w:p>
    <w:p w14:paraId="2D664989" w14:textId="77777777" w:rsidR="009B1BCD" w:rsidRPr="009979F7" w:rsidRDefault="00E44F9F" w:rsidP="009979F7">
      <w:pPr>
        <w:pStyle w:val="NormalHanging12a"/>
        <w:ind w:left="1134"/>
      </w:pPr>
      <w:r w:rsidRPr="009979F7">
        <w:t>(4)</w:t>
      </w:r>
      <w:r w:rsidR="009B1BCD" w:rsidRPr="009979F7">
        <w:tab/>
        <w:t>A pedido do Parlamento Federal, devem ser suspensos todo o processo penal e todo o processo iniciado contra um de</w:t>
      </w:r>
      <w:r w:rsidRPr="009979F7">
        <w:t>putado nos termos do artigo 18.º</w:t>
      </w:r>
      <w:r w:rsidR="009B1BCD" w:rsidRPr="009979F7">
        <w:t>, bem como toda a detenção ou qualquer outra restrição da sua liberdade pessoal.»;</w:t>
      </w:r>
    </w:p>
    <w:p w14:paraId="481FD680" w14:textId="77777777" w:rsidR="009B1BCD" w:rsidRPr="009979F7" w:rsidRDefault="009B1BCD" w:rsidP="009979F7">
      <w:pPr>
        <w:pStyle w:val="NormalHanging12a"/>
      </w:pPr>
      <w:proofErr w:type="gramStart"/>
      <w:r w:rsidRPr="009979F7">
        <w:t>J.</w:t>
      </w:r>
      <w:r w:rsidRPr="009979F7">
        <w:tab/>
        <w:t>Considerando</w:t>
      </w:r>
      <w:proofErr w:type="gramEnd"/>
      <w:r w:rsidRPr="009979F7">
        <w:t xml:space="preserve"> que o objetivo da imunidade parlamentar é proteger o Parlamento e os seus deputados de processos judiciais relacionados com atividades realizadas no exercício das funções parlamentares e indissociáveis destas;</w:t>
      </w:r>
    </w:p>
    <w:p w14:paraId="0874BC27" w14:textId="77777777" w:rsidR="009B1BCD" w:rsidRPr="009979F7" w:rsidRDefault="009B1BCD" w:rsidP="009979F7">
      <w:pPr>
        <w:pStyle w:val="NormalHanging12a"/>
      </w:pPr>
      <w:proofErr w:type="gramStart"/>
      <w:r w:rsidRPr="009979F7">
        <w:t>K.</w:t>
      </w:r>
      <w:r w:rsidRPr="009979F7">
        <w:tab/>
        <w:t>Considerando</w:t>
      </w:r>
      <w:proofErr w:type="gramEnd"/>
      <w:r w:rsidRPr="009979F7">
        <w:t xml:space="preserve"> que, nos termos do artigo 5.º, n.º 2, do seu Regimento, a imunidade parlamentar não é um privilégio pessoal dos deputados, mas uma garantia da independência do Parlamento como um todo e dos seus membros;</w:t>
      </w:r>
    </w:p>
    <w:p w14:paraId="0162DADF" w14:textId="77777777" w:rsidR="009B1BCD" w:rsidRPr="009979F7" w:rsidRDefault="009B1BCD" w:rsidP="009979F7">
      <w:pPr>
        <w:pStyle w:val="NormalHanging12a"/>
      </w:pPr>
      <w:proofErr w:type="gramStart"/>
      <w:r w:rsidRPr="009979F7">
        <w:t>L.</w:t>
      </w:r>
      <w:r w:rsidRPr="009979F7">
        <w:tab/>
        <w:t>Considerando</w:t>
      </w:r>
      <w:proofErr w:type="gramEnd"/>
      <w:r w:rsidRPr="009979F7">
        <w:t xml:space="preserve"> que, no caso em apreço, o Parlamento não conseguiu demonstrar a existência de </w:t>
      </w:r>
      <w:proofErr w:type="spellStart"/>
      <w:r w:rsidRPr="009979F7">
        <w:rPr>
          <w:i/>
          <w:iCs/>
        </w:rPr>
        <w:t>fumus</w:t>
      </w:r>
      <w:proofErr w:type="spellEnd"/>
      <w:r w:rsidRPr="009979F7">
        <w:rPr>
          <w:i/>
          <w:iCs/>
        </w:rPr>
        <w:t xml:space="preserve"> </w:t>
      </w:r>
      <w:proofErr w:type="spellStart"/>
      <w:r w:rsidRPr="009979F7">
        <w:rPr>
          <w:i/>
          <w:iCs/>
        </w:rPr>
        <w:t>persecutionis</w:t>
      </w:r>
      <w:proofErr w:type="spellEnd"/>
      <w:r w:rsidRPr="009979F7">
        <w:t>, ou seja, factos que indiquem que o processo judicial em causa foi instaurado com a intenção de prejudicar a atividade política do deputado na sua qualidade de deputado ao Parlamento Europeu;</w:t>
      </w:r>
    </w:p>
    <w:p w14:paraId="4873410D" w14:textId="77777777" w:rsidR="009B1BCD" w:rsidRPr="009979F7" w:rsidRDefault="009B1BCD" w:rsidP="009979F7">
      <w:pPr>
        <w:pStyle w:val="NormalHanging12a"/>
      </w:pPr>
      <w:r w:rsidRPr="009979F7">
        <w:t>M.</w:t>
      </w:r>
      <w:r w:rsidRPr="009979F7">
        <w:tab/>
        <w:t>Considerando, por um lado, que o Parlamento não pode ser equiparado a um tribunal e que, por outro, o deputado, no contexto de um processo de levantamento da imunidade, não pode ser considerado «arguido»</w:t>
      </w:r>
      <w:r w:rsidRPr="009979F7">
        <w:rPr>
          <w:rStyle w:val="FootnoteReference"/>
        </w:rPr>
        <w:footnoteReference w:id="2"/>
      </w:r>
      <w:r w:rsidRPr="009979F7">
        <w:t>;</w:t>
      </w:r>
    </w:p>
    <w:p w14:paraId="089377BA" w14:textId="77777777" w:rsidR="009B1BCD" w:rsidRPr="009979F7" w:rsidRDefault="009B1BCD" w:rsidP="009979F7">
      <w:pPr>
        <w:pStyle w:val="NormalHanging12a"/>
      </w:pPr>
      <w:proofErr w:type="gramStart"/>
      <w:r w:rsidRPr="009979F7">
        <w:t>1.</w:t>
      </w:r>
      <w:r w:rsidRPr="009979F7">
        <w:tab/>
        <w:t>Decide</w:t>
      </w:r>
      <w:proofErr w:type="gramEnd"/>
      <w:r w:rsidRPr="009979F7">
        <w:t xml:space="preserve"> levantar a imunidade de Petr </w:t>
      </w:r>
      <w:proofErr w:type="spellStart"/>
      <w:r w:rsidRPr="009979F7">
        <w:t>Bystron</w:t>
      </w:r>
      <w:proofErr w:type="spellEnd"/>
      <w:r w:rsidRPr="009979F7">
        <w:t>;</w:t>
      </w:r>
    </w:p>
    <w:p w14:paraId="1C64DE02" w14:textId="599A9258" w:rsidR="0045454E" w:rsidRPr="009979F7" w:rsidRDefault="009B1BCD" w:rsidP="009979F7">
      <w:pPr>
        <w:pStyle w:val="NormalHanging12a"/>
      </w:pPr>
      <w:proofErr w:type="gramStart"/>
      <w:r w:rsidRPr="009979F7">
        <w:t>2.</w:t>
      </w:r>
      <w:r w:rsidRPr="009979F7">
        <w:tab/>
        <w:t>Encarrega</w:t>
      </w:r>
      <w:proofErr w:type="gramEnd"/>
      <w:r w:rsidRPr="009979F7">
        <w:t xml:space="preserve"> a sua Presidente de transmitir de imediato a presente decisão, bem como o relatório da sua comissão </w:t>
      </w:r>
      <w:r w:rsidR="00E44F9F" w:rsidRPr="009979F7">
        <w:t>competente</w:t>
      </w:r>
      <w:r w:rsidRPr="009979F7">
        <w:t>, à autoridade competente da República Federal da Alemanha e a Petr </w:t>
      </w:r>
      <w:proofErr w:type="spellStart"/>
      <w:r w:rsidRPr="009979F7">
        <w:t>Bystron</w:t>
      </w:r>
      <w:proofErr w:type="spellEnd"/>
      <w:r w:rsidRPr="009979F7">
        <w:t>.</w:t>
      </w:r>
    </w:p>
    <w:p w14:paraId="64A5B87C" w14:textId="77777777" w:rsidR="00E365E1" w:rsidRPr="009979F7" w:rsidRDefault="00E365E1" w:rsidP="00FC3E70"/>
    <w:sectPr w:rsidR="00E365E1" w:rsidRPr="009979F7" w:rsidSect="004545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40EFFB" w14:textId="77777777" w:rsidR="00FC3E70" w:rsidRPr="0045454E" w:rsidRDefault="00FC3E70">
      <w:r w:rsidRPr="0045454E">
        <w:separator/>
      </w:r>
    </w:p>
  </w:endnote>
  <w:endnote w:type="continuationSeparator" w:id="0">
    <w:p w14:paraId="424B3E95" w14:textId="77777777" w:rsidR="00FC3E70" w:rsidRPr="0045454E" w:rsidRDefault="00FC3E70">
      <w:r w:rsidRPr="004545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E943BC" w14:textId="77777777" w:rsidR="00064002" w:rsidRPr="0045454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D83E0E" w14:textId="77777777" w:rsidR="00064002" w:rsidRPr="0045454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D101CC" w14:textId="77777777" w:rsidR="00064002" w:rsidRPr="0045454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788294" w14:textId="77777777" w:rsidR="00FC3E70" w:rsidRPr="0045454E" w:rsidRDefault="00FC3E70">
      <w:r w:rsidRPr="0045454E">
        <w:separator/>
      </w:r>
    </w:p>
  </w:footnote>
  <w:footnote w:type="continuationSeparator" w:id="0">
    <w:p w14:paraId="632B732E" w14:textId="77777777" w:rsidR="00FC3E70" w:rsidRPr="0045454E" w:rsidRDefault="00FC3E70">
      <w:r w:rsidRPr="0045454E">
        <w:continuationSeparator/>
      </w:r>
    </w:p>
  </w:footnote>
  <w:footnote w:id="1">
    <w:p w14:paraId="405FEE0F" w14:textId="1EC61ABF" w:rsidR="009B1BCD" w:rsidRPr="0045454E" w:rsidRDefault="009B1BCD" w:rsidP="0045454E">
      <w:pPr>
        <w:pStyle w:val="FootnoteText"/>
        <w:ind w:left="567" w:hanging="567"/>
        <w:rPr>
          <w:sz w:val="24"/>
          <w:lang w:val="pt-PT"/>
        </w:rPr>
      </w:pPr>
      <w:r w:rsidRPr="0045454E">
        <w:rPr>
          <w:rStyle w:val="FootnoteReference"/>
          <w:sz w:val="24"/>
          <w:lang w:val="pt-PT"/>
        </w:rPr>
        <w:footnoteRef/>
      </w:r>
      <w:r w:rsidR="0045454E" w:rsidRPr="0045454E">
        <w:rPr>
          <w:sz w:val="24"/>
          <w:lang w:val="pt-PT"/>
        </w:rPr>
        <w:t xml:space="preserve"> </w:t>
      </w:r>
      <w:r w:rsidR="0045454E" w:rsidRPr="0045454E">
        <w:rPr>
          <w:sz w:val="24"/>
          <w:lang w:val="pt-PT"/>
        </w:rPr>
        <w:tab/>
      </w:r>
      <w:r w:rsidRPr="0045454E">
        <w:rPr>
          <w:sz w:val="24"/>
          <w:lang w:val="pt-PT"/>
        </w:rPr>
        <w:t xml:space="preserve">Acórdão do Tribunal de Justiça de 21 de outubro de 2008, Marra/De </w:t>
      </w:r>
      <w:proofErr w:type="spellStart"/>
      <w:r w:rsidRPr="0045454E">
        <w:rPr>
          <w:sz w:val="24"/>
          <w:lang w:val="pt-PT"/>
        </w:rPr>
        <w:t>Gregorio</w:t>
      </w:r>
      <w:proofErr w:type="spellEnd"/>
      <w:r w:rsidRPr="0045454E">
        <w:rPr>
          <w:sz w:val="24"/>
          <w:lang w:val="pt-PT"/>
        </w:rPr>
        <w:t xml:space="preserve"> e Clemente, C</w:t>
      </w:r>
      <w:r w:rsidRPr="0045454E">
        <w:rPr>
          <w:sz w:val="24"/>
          <w:lang w:val="pt-PT"/>
        </w:rPr>
        <w:noBreakHyphen/>
        <w:t>200/07 e C</w:t>
      </w:r>
      <w:r w:rsidRPr="0045454E">
        <w:rPr>
          <w:sz w:val="24"/>
          <w:lang w:val="pt-PT"/>
        </w:rPr>
        <w:noBreakHyphen/>
        <w:t xml:space="preserve">201/07, ECLI:EU:C:2008:579; </w:t>
      </w:r>
      <w:r w:rsidR="00E44F9F">
        <w:rPr>
          <w:sz w:val="24"/>
          <w:lang w:val="pt-PT"/>
        </w:rPr>
        <w:t>A</w:t>
      </w:r>
      <w:r w:rsidR="00E44F9F" w:rsidRPr="0045454E">
        <w:rPr>
          <w:sz w:val="24"/>
          <w:lang w:val="pt-PT"/>
        </w:rPr>
        <w:t xml:space="preserve">córdão </w:t>
      </w:r>
      <w:r w:rsidRPr="0045454E">
        <w:rPr>
          <w:sz w:val="24"/>
          <w:lang w:val="pt-PT"/>
        </w:rPr>
        <w:t xml:space="preserve">do Tribunal Geral de 19 de março de 2010, </w:t>
      </w:r>
      <w:proofErr w:type="spellStart"/>
      <w:r w:rsidRPr="0045454E">
        <w:rPr>
          <w:sz w:val="24"/>
          <w:lang w:val="pt-PT"/>
        </w:rPr>
        <w:t>Gollnisch</w:t>
      </w:r>
      <w:proofErr w:type="spellEnd"/>
      <w:r w:rsidRPr="0045454E">
        <w:rPr>
          <w:sz w:val="24"/>
          <w:lang w:val="pt-PT"/>
        </w:rPr>
        <w:t>/Parlamento, T</w:t>
      </w:r>
      <w:r w:rsidRPr="0045454E">
        <w:rPr>
          <w:sz w:val="24"/>
          <w:lang w:val="pt-PT"/>
        </w:rPr>
        <w:noBreakHyphen/>
        <w:t xml:space="preserve">42/06, ECLI:EU:T:2010:102; </w:t>
      </w:r>
      <w:r w:rsidR="00E44F9F">
        <w:rPr>
          <w:sz w:val="24"/>
          <w:lang w:val="pt-PT"/>
        </w:rPr>
        <w:t>A</w:t>
      </w:r>
      <w:r w:rsidR="00E44F9F" w:rsidRPr="0045454E">
        <w:rPr>
          <w:sz w:val="24"/>
          <w:lang w:val="pt-PT"/>
        </w:rPr>
        <w:t xml:space="preserve">córdão </w:t>
      </w:r>
      <w:r w:rsidRPr="0045454E">
        <w:rPr>
          <w:sz w:val="24"/>
          <w:lang w:val="pt-PT"/>
        </w:rPr>
        <w:t xml:space="preserve">do Tribunal de Justiça de 6 de setembro de 2011, </w:t>
      </w:r>
      <w:proofErr w:type="spellStart"/>
      <w:r w:rsidRPr="0045454E">
        <w:rPr>
          <w:sz w:val="24"/>
          <w:lang w:val="pt-PT"/>
        </w:rPr>
        <w:t>Patriciello</w:t>
      </w:r>
      <w:proofErr w:type="spellEnd"/>
      <w:r w:rsidRPr="0045454E">
        <w:rPr>
          <w:sz w:val="24"/>
          <w:lang w:val="pt-PT"/>
        </w:rPr>
        <w:t>, C</w:t>
      </w:r>
      <w:r w:rsidRPr="0045454E">
        <w:rPr>
          <w:sz w:val="24"/>
          <w:lang w:val="pt-PT"/>
        </w:rPr>
        <w:noBreakHyphen/>
        <w:t xml:space="preserve">163/10, ECLI:EU:C:2011:543; </w:t>
      </w:r>
      <w:r w:rsidR="00E44F9F">
        <w:rPr>
          <w:sz w:val="24"/>
          <w:lang w:val="pt-PT"/>
        </w:rPr>
        <w:t>A</w:t>
      </w:r>
      <w:r w:rsidR="00E44F9F" w:rsidRPr="0045454E">
        <w:rPr>
          <w:sz w:val="24"/>
          <w:lang w:val="pt-PT"/>
        </w:rPr>
        <w:t xml:space="preserve">córdão </w:t>
      </w:r>
      <w:r w:rsidRPr="0045454E">
        <w:rPr>
          <w:sz w:val="24"/>
          <w:lang w:val="pt-PT"/>
        </w:rPr>
        <w:t xml:space="preserve">do Tribunal Geral de 17 de janeiro de 2013, </w:t>
      </w:r>
      <w:proofErr w:type="spellStart"/>
      <w:r w:rsidRPr="0045454E">
        <w:rPr>
          <w:sz w:val="24"/>
          <w:lang w:val="pt-PT"/>
        </w:rPr>
        <w:t>Gollnisch</w:t>
      </w:r>
      <w:proofErr w:type="spellEnd"/>
      <w:r w:rsidRPr="0045454E">
        <w:rPr>
          <w:sz w:val="24"/>
          <w:lang w:val="pt-PT"/>
        </w:rPr>
        <w:t>/Parlamento, T</w:t>
      </w:r>
      <w:r w:rsidRPr="0045454E">
        <w:rPr>
          <w:sz w:val="24"/>
          <w:lang w:val="pt-PT"/>
        </w:rPr>
        <w:noBreakHyphen/>
        <w:t>346/11 e T</w:t>
      </w:r>
      <w:r w:rsidRPr="0045454E">
        <w:rPr>
          <w:sz w:val="24"/>
          <w:lang w:val="pt-PT"/>
        </w:rPr>
        <w:noBreakHyphen/>
        <w:t xml:space="preserve">347/11, ECLI:EU:T:2013:23; </w:t>
      </w:r>
      <w:r w:rsidR="00E44F9F">
        <w:rPr>
          <w:sz w:val="24"/>
          <w:lang w:val="pt-PT"/>
        </w:rPr>
        <w:t>A</w:t>
      </w:r>
      <w:r w:rsidR="00E44F9F" w:rsidRPr="0045454E">
        <w:rPr>
          <w:sz w:val="24"/>
          <w:lang w:val="pt-PT"/>
        </w:rPr>
        <w:t xml:space="preserve">córdão </w:t>
      </w:r>
      <w:r w:rsidRPr="0045454E">
        <w:rPr>
          <w:sz w:val="24"/>
          <w:lang w:val="pt-PT"/>
        </w:rPr>
        <w:t xml:space="preserve">do Tribunal de Justiça de 19 de dezembro de 2019, </w:t>
      </w:r>
      <w:proofErr w:type="spellStart"/>
      <w:r w:rsidRPr="0045454E">
        <w:rPr>
          <w:sz w:val="24"/>
          <w:lang w:val="pt-PT"/>
        </w:rPr>
        <w:t>Junqueras</w:t>
      </w:r>
      <w:proofErr w:type="spellEnd"/>
      <w:r w:rsidRPr="0045454E">
        <w:rPr>
          <w:sz w:val="24"/>
          <w:lang w:val="pt-PT"/>
        </w:rPr>
        <w:t xml:space="preserve"> </w:t>
      </w:r>
      <w:proofErr w:type="spellStart"/>
      <w:r w:rsidRPr="0045454E">
        <w:rPr>
          <w:sz w:val="24"/>
          <w:lang w:val="pt-PT"/>
        </w:rPr>
        <w:t>Vies</w:t>
      </w:r>
      <w:proofErr w:type="spellEnd"/>
      <w:r w:rsidRPr="0045454E">
        <w:rPr>
          <w:sz w:val="24"/>
          <w:lang w:val="pt-PT"/>
        </w:rPr>
        <w:t>, C</w:t>
      </w:r>
      <w:r w:rsidRPr="0045454E">
        <w:rPr>
          <w:sz w:val="24"/>
          <w:lang w:val="pt-PT"/>
        </w:rPr>
        <w:noBreakHyphen/>
        <w:t>502/19, ECLI:EU:C:2019:1115</w:t>
      </w:r>
      <w:r w:rsidR="002E0766">
        <w:rPr>
          <w:sz w:val="24"/>
          <w:lang w:val="pt-PT"/>
        </w:rPr>
        <w:t>;</w:t>
      </w:r>
      <w:r w:rsidR="002E0766" w:rsidRPr="0045454E">
        <w:rPr>
          <w:sz w:val="24"/>
          <w:lang w:val="pt-PT"/>
        </w:rPr>
        <w:t xml:space="preserve"> </w:t>
      </w:r>
      <w:r w:rsidR="00E44F9F">
        <w:rPr>
          <w:sz w:val="24"/>
          <w:lang w:val="pt-PT"/>
        </w:rPr>
        <w:t>A</w:t>
      </w:r>
      <w:r w:rsidR="00E44F9F" w:rsidRPr="0045454E">
        <w:rPr>
          <w:sz w:val="24"/>
          <w:lang w:val="pt-PT"/>
        </w:rPr>
        <w:t xml:space="preserve">córdão </w:t>
      </w:r>
      <w:r w:rsidRPr="0045454E">
        <w:rPr>
          <w:sz w:val="24"/>
          <w:lang w:val="pt-PT"/>
        </w:rPr>
        <w:t xml:space="preserve">do Tribunal Geral de 5 de julho de 2023, </w:t>
      </w:r>
      <w:proofErr w:type="spellStart"/>
      <w:r w:rsidRPr="0045454E">
        <w:rPr>
          <w:sz w:val="24"/>
          <w:lang w:val="pt-PT"/>
        </w:rPr>
        <w:t>Puigdemont</w:t>
      </w:r>
      <w:proofErr w:type="spellEnd"/>
      <w:r w:rsidRPr="0045454E">
        <w:rPr>
          <w:sz w:val="24"/>
          <w:lang w:val="pt-PT"/>
        </w:rPr>
        <w:t xml:space="preserve"> i </w:t>
      </w:r>
      <w:proofErr w:type="spellStart"/>
      <w:r w:rsidRPr="0045454E">
        <w:rPr>
          <w:sz w:val="24"/>
          <w:lang w:val="pt-PT"/>
        </w:rPr>
        <w:t>Casamajó</w:t>
      </w:r>
      <w:proofErr w:type="spellEnd"/>
      <w:r w:rsidRPr="0045454E">
        <w:rPr>
          <w:sz w:val="24"/>
          <w:lang w:val="pt-PT"/>
        </w:rPr>
        <w:t xml:space="preserve"> e o./Parlamento, T</w:t>
      </w:r>
      <w:r w:rsidRPr="0045454E">
        <w:rPr>
          <w:sz w:val="24"/>
          <w:lang w:val="pt-PT"/>
        </w:rPr>
        <w:noBreakHyphen/>
        <w:t>272/21, ECLI:EU:T:2023:373.</w:t>
      </w:r>
    </w:p>
  </w:footnote>
  <w:footnote w:id="2">
    <w:p w14:paraId="3B3C9C67" w14:textId="77777777" w:rsidR="009B1BCD" w:rsidRPr="0045454E" w:rsidRDefault="009B1BCD" w:rsidP="0045454E">
      <w:pPr>
        <w:pStyle w:val="FootnoteText"/>
        <w:ind w:left="567" w:hanging="567"/>
        <w:rPr>
          <w:sz w:val="24"/>
          <w:lang w:val="pt-PT"/>
        </w:rPr>
      </w:pPr>
      <w:r w:rsidRPr="0045454E">
        <w:rPr>
          <w:rStyle w:val="FootnoteReference"/>
          <w:sz w:val="24"/>
          <w:lang w:val="pt-PT"/>
        </w:rPr>
        <w:footnoteRef/>
      </w:r>
      <w:r w:rsidR="0045454E" w:rsidRPr="0045454E">
        <w:rPr>
          <w:sz w:val="24"/>
          <w:lang w:val="pt-PT"/>
        </w:rPr>
        <w:t xml:space="preserve"> </w:t>
      </w:r>
      <w:r w:rsidR="0045454E" w:rsidRPr="0045454E">
        <w:rPr>
          <w:sz w:val="24"/>
          <w:lang w:val="pt-PT"/>
        </w:rPr>
        <w:tab/>
      </w:r>
      <w:r w:rsidRPr="0045454E">
        <w:rPr>
          <w:sz w:val="24"/>
          <w:lang w:val="pt-PT"/>
        </w:rPr>
        <w:t xml:space="preserve">Acórdão do Tribunal Geral de 30 de abril de 2019, </w:t>
      </w:r>
      <w:proofErr w:type="spellStart"/>
      <w:r w:rsidRPr="0045454E">
        <w:rPr>
          <w:sz w:val="24"/>
          <w:lang w:val="pt-PT"/>
        </w:rPr>
        <w:t>Briois</w:t>
      </w:r>
      <w:proofErr w:type="spellEnd"/>
      <w:r w:rsidRPr="0045454E">
        <w:rPr>
          <w:sz w:val="24"/>
          <w:lang w:val="pt-PT"/>
        </w:rPr>
        <w:t>/Parlamento, T</w:t>
      </w:r>
      <w:r w:rsidRPr="0045454E">
        <w:rPr>
          <w:sz w:val="24"/>
          <w:lang w:val="pt-PT"/>
        </w:rPr>
        <w:noBreakHyphen/>
        <w:t>214/18, ECLI:</w:t>
      </w:r>
      <w:proofErr w:type="gramStart"/>
      <w:r w:rsidRPr="0045454E">
        <w:rPr>
          <w:sz w:val="24"/>
          <w:lang w:val="pt-PT"/>
        </w:rPr>
        <w:t>EU:T</w:t>
      </w:r>
      <w:proofErr w:type="gramEnd"/>
      <w:r w:rsidRPr="0045454E">
        <w:rPr>
          <w:sz w:val="24"/>
          <w:lang w:val="pt-P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9B6423" w14:textId="77777777" w:rsidR="00064002" w:rsidRPr="0045454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5AB22" w14:textId="77777777" w:rsidR="00064002" w:rsidRPr="0045454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6AB63" w14:textId="77777777" w:rsidR="00064002" w:rsidRPr="0045454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7/2025"/>
    <w:docVar w:name="dvlangue" w:val="PT"/>
    <w:docVar w:name="dvnumam" w:val="0"/>
    <w:docVar w:name="dvpe" w:val="766.946"/>
    <w:docVar w:name="dvrapporteur" w:val="Relatora: "/>
    <w:docVar w:name="dvtitre" w:val="Decisão do Parlamento Europeu, de ... de ... de 2025,_x000d__x000a_ sobre o pedido de levantamento da imunidade de Petr Bystron(2024/2047(IMM))"/>
  </w:docVars>
  <w:rsids>
    <w:rsidRoot w:val="00FC3E7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0766"/>
    <w:rsid w:val="002F7D2A"/>
    <w:rsid w:val="00343214"/>
    <w:rsid w:val="00361C00"/>
    <w:rsid w:val="00395FA1"/>
    <w:rsid w:val="003E15D4"/>
    <w:rsid w:val="00411CCE"/>
    <w:rsid w:val="0041666E"/>
    <w:rsid w:val="00421060"/>
    <w:rsid w:val="0045454E"/>
    <w:rsid w:val="00471C19"/>
    <w:rsid w:val="004867E3"/>
    <w:rsid w:val="00494A28"/>
    <w:rsid w:val="004C0004"/>
    <w:rsid w:val="004C5D52"/>
    <w:rsid w:val="0050519A"/>
    <w:rsid w:val="005072A1"/>
    <w:rsid w:val="00514517"/>
    <w:rsid w:val="00542338"/>
    <w:rsid w:val="00545827"/>
    <w:rsid w:val="00560270"/>
    <w:rsid w:val="005C2568"/>
    <w:rsid w:val="005F1B17"/>
    <w:rsid w:val="006037C0"/>
    <w:rsid w:val="0064107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3060"/>
    <w:rsid w:val="007D1690"/>
    <w:rsid w:val="007E22AD"/>
    <w:rsid w:val="00817416"/>
    <w:rsid w:val="00842779"/>
    <w:rsid w:val="00865377"/>
    <w:rsid w:val="00865F67"/>
    <w:rsid w:val="00881A7B"/>
    <w:rsid w:val="008840E5"/>
    <w:rsid w:val="00887B3E"/>
    <w:rsid w:val="008C2AC6"/>
    <w:rsid w:val="008C70F9"/>
    <w:rsid w:val="00930C23"/>
    <w:rsid w:val="0093193B"/>
    <w:rsid w:val="009509D8"/>
    <w:rsid w:val="00950B64"/>
    <w:rsid w:val="00981893"/>
    <w:rsid w:val="009979F7"/>
    <w:rsid w:val="009B1BC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085F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4F9F"/>
    <w:rsid w:val="00E820A4"/>
    <w:rsid w:val="00EB006A"/>
    <w:rsid w:val="00EB2D80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6D1"/>
    <w:rsid w:val="00FB4360"/>
    <w:rsid w:val="00FC3E7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8A47DB"/>
  <w15:chartTrackingRefBased/>
  <w15:docId w15:val="{B27ABD81-51E3-4A82-B197-B4F9EA4B3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B1BCD"/>
    <w:pPr>
      <w:spacing w:after="240"/>
      <w:ind w:left="567" w:hanging="567"/>
    </w:pPr>
  </w:style>
  <w:style w:type="paragraph" w:customStyle="1" w:styleId="EPComma">
    <w:name w:val="EPComma"/>
    <w:basedOn w:val="Normal"/>
    <w:rsid w:val="009B1BCD"/>
    <w:pPr>
      <w:spacing w:before="480" w:after="240"/>
    </w:pPr>
  </w:style>
  <w:style w:type="paragraph" w:styleId="BalloonText">
    <w:name w:val="Balloon Text"/>
    <w:basedOn w:val="Normal"/>
    <w:link w:val="BalloonTextChar"/>
    <w:rsid w:val="00E44F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44F9F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E44F9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44F9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44F9F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44F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44F9F"/>
    <w:rPr>
      <w:b/>
      <w:bCs/>
      <w:lang w:val="pt-PT"/>
    </w:rPr>
  </w:style>
  <w:style w:type="character" w:styleId="Hyperlink">
    <w:name w:val="Hyperlink"/>
    <w:basedOn w:val="DefaultParagraphFont"/>
    <w:rsid w:val="00E44F9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7B306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25760-D78D-4883-80D0-94092E607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1368</Words>
  <Characters>7227</Characters>
  <Application>Microsoft Office Word</Application>
  <DocSecurity>0</DocSecurity>
  <Lines>144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 Isabel Alexandra</dc:creator>
  <cp:keywords/>
  <cp:lastModifiedBy>MARTINS Isabel Alexandra</cp:lastModifiedBy>
  <cp:revision>2</cp:revision>
  <cp:lastPrinted>2004-11-19T15:42:00Z</cp:lastPrinted>
  <dcterms:created xsi:type="dcterms:W3CDTF">2025-05-06T10:55:00Z</dcterms:created>
  <dcterms:modified xsi:type="dcterms:W3CDTF">2025-05-06T10:55:00Z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A10-0077/2025</vt:lpwstr>
  </property>
  <property fmtid="{D5CDD505-2E9C-101B-9397-08002B2CF9AE}" pid="4" name="&lt;Type&gt;">
    <vt:lpwstr>RR</vt:lpwstr>
  </property>
</Properties>
</file>