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bookmarkStart w:id="0" w:name="_GoBack"/>
            <w:bookmarkEnd w:id="0"/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1" w:name="TANumber"/>
      <w:r>
        <w:t>P10_TA(2025)0067</w:t>
      </w:r>
      <w:bookmarkEnd w:id="1"/>
    </w:p>
    <w:p>
      <w:pPr>
        <w:pStyle w:val="ATHeading2"/>
      </w:pPr>
      <w:bookmarkStart w:id="2" w:name="title"/>
      <w:r>
        <w:t xml:space="preserve">Žiadosť o zbavenie Petra </w:t>
      </w:r>
      <w:proofErr w:type="spellStart"/>
      <w:r>
        <w:t>Bystrona</w:t>
      </w:r>
      <w:proofErr w:type="spellEnd"/>
      <w:r>
        <w:t xml:space="preserve"> imunity</w:t>
      </w:r>
      <w:bookmarkEnd w:id="2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3" w:name="DocNumber"/>
      <w:r>
        <w:rPr>
          <w:i/>
        </w:rPr>
        <w:instrText>A10-0077/2025</w:instrText>
      </w:r>
      <w:bookmarkEnd w:id="3"/>
      <w:r>
        <w:rPr>
          <w:i/>
        </w:rPr>
        <w:instrText xml:space="preserve"> - Spravodajkyňa: Pascale Piera)"\l3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4" w:name="Commission"/>
      <w:r>
        <w:rPr>
          <w:vanish/>
        </w:rPr>
        <w:t>Výbor pre právne veci</w:t>
      </w:r>
      <w:bookmarkEnd w:id="4"/>
    </w:p>
    <w:p>
      <w:pPr>
        <w:rPr>
          <w:vanish/>
        </w:rPr>
      </w:pPr>
      <w:bookmarkStart w:id="5" w:name="PE"/>
      <w:r>
        <w:rPr>
          <w:vanish/>
        </w:rPr>
        <w:t>PE766.946</w:t>
      </w:r>
      <w:bookmarkEnd w:id="5"/>
    </w:p>
    <w:p>
      <w:pPr>
        <w:pStyle w:val="ATHeading3"/>
      </w:pPr>
      <w:bookmarkStart w:id="6" w:name="Sujet"/>
      <w:r>
        <w:t xml:space="preserve">Rozhodnutie Európskeho parlamentu zo 6. mája 2025 o žiadosti o zbavenie Petra </w:t>
      </w:r>
      <w:proofErr w:type="spellStart"/>
      <w:r>
        <w:t>Bystrona</w:t>
      </w:r>
      <w:proofErr w:type="spellEnd"/>
      <w:r>
        <w:t xml:space="preserve"> imunity</w:t>
      </w:r>
      <w:bookmarkEnd w:id="6"/>
      <w:r>
        <w:t xml:space="preserve"> </w:t>
      </w:r>
      <w:bookmarkStart w:id="7" w:name="References"/>
      <w:r>
        <w:t>(2024/2047(IMM))</w:t>
      </w:r>
      <w:bookmarkEnd w:id="7"/>
    </w:p>
    <w:p>
      <w:pPr>
        <w:pStyle w:val="EPComma"/>
      </w:pPr>
      <w:bookmarkStart w:id="8" w:name="TextBodyBegin"/>
      <w:bookmarkEnd w:id="8"/>
      <w:r>
        <w:rPr>
          <w:i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 xml:space="preserve">so zreteľom na žiadosť o zbavenie Petra </w:t>
      </w:r>
      <w:proofErr w:type="spellStart"/>
      <w:r>
        <w:t>Bystrona</w:t>
      </w:r>
      <w:proofErr w:type="spellEnd"/>
      <w:r>
        <w:t xml:space="preserve"> imunity, ktorá bola doručená listom nemeckého spolkového ministerstva spravodlivosti z 27. augusta 2024, v ktorom sa predložila žiadosť generálneho prokurátora Mníchova z 23. júla 2024 v súvislosti s vyšetrovacím konaním prebiehajúcim na generálnej prokuratúre v Mníchove, a ktorá bola oznámená na plenárnej schôdzi 16. septembra 2024,</w:t>
      </w:r>
    </w:p>
    <w:p>
      <w:pPr>
        <w:pStyle w:val="NormalHanging12a"/>
      </w:pPr>
      <w:r>
        <w:t>–</w:t>
      </w:r>
      <w:r>
        <w:tab/>
        <w:t xml:space="preserve">po vypočutí Petra </w:t>
      </w:r>
      <w:proofErr w:type="spellStart"/>
      <w:r>
        <w:t>Bystrona</w:t>
      </w:r>
      <w:proofErr w:type="spellEnd"/>
      <w:r>
        <w:t xml:space="preserve"> 13. februára 2025 v súlade s článkom 9 ods. 6 rokovacieho poriadku a so zreteľom na dokumenty, ktoré predložil,</w:t>
      </w:r>
    </w:p>
    <w:p>
      <w:pPr>
        <w:pStyle w:val="NormalHanging12a"/>
      </w:pPr>
      <w:r>
        <w:t>–</w:t>
      </w:r>
      <w:r>
        <w:tab/>
        <w:t>so zreteľom na články 8 a 9 Protokolu č. 7 o výsadách a imunitách Európskej únie, ako aj na článok 6 ods. 2 Aktu z 20. septembra 1976 o všeobecných a priamych voľbách poslancov Európskeho parlamentu,</w:t>
      </w:r>
    </w:p>
    <w:p>
      <w:pPr>
        <w:pStyle w:val="NormalHanging12a"/>
      </w:pPr>
      <w:r>
        <w:t>–</w:t>
      </w:r>
      <w:r>
        <w:tab/>
        <w:t>so zreteľom na rozsudky Súdneho dvora Európskej únie z 21. októbra 2008, 19. marca 2010, 6. septembra 2011, 17. januára 2013, 19. decembra 2019 a 5. júla 2023</w:t>
      </w:r>
      <w:r>
        <w:rPr>
          <w:rStyle w:val="FootnoteReference"/>
        </w:rPr>
        <w:footnoteReference w:id="1"/>
      </w:r>
      <w:r>
        <w:t>,</w:t>
      </w:r>
    </w:p>
    <w:p>
      <w:pPr>
        <w:pStyle w:val="NormalHanging12a"/>
      </w:pPr>
      <w:r>
        <w:t>–</w:t>
      </w:r>
      <w:r>
        <w:tab/>
        <w:t>so zreteľom na článok 46 Základného zákona Nemeckej spolkovej republiky,</w:t>
      </w:r>
    </w:p>
    <w:p>
      <w:pPr>
        <w:pStyle w:val="NormalHanging12a"/>
      </w:pPr>
      <w:r>
        <w:t>–</w:t>
      </w:r>
      <w:r>
        <w:tab/>
        <w:t>so zreteľom na článok 5 ods. 2, článok 6 ods. 1 a článok 9 rokovacieho poriadku,</w:t>
      </w:r>
    </w:p>
    <w:p>
      <w:pPr>
        <w:pStyle w:val="NormalHanging12a"/>
      </w:pPr>
      <w:r>
        <w:lastRenderedPageBreak/>
        <w:t>–</w:t>
      </w:r>
      <w:r>
        <w:tab/>
        <w:t>so zreteľom na správu Výboru pre právne veci (A10-0077/2025),</w:t>
      </w:r>
    </w:p>
    <w:p>
      <w:pPr>
        <w:pStyle w:val="NormalHanging12a"/>
      </w:pPr>
      <w:r>
        <w:t>A.</w:t>
      </w:r>
      <w:r>
        <w:tab/>
        <w:t xml:space="preserve">keďže mníchovský generálny prokurátor požiadal o zbavenie poslanca Európskeho parlamentu Petra </w:t>
      </w:r>
      <w:proofErr w:type="spellStart"/>
      <w:r>
        <w:t>Bystrona</w:t>
      </w:r>
      <w:proofErr w:type="spellEnd"/>
      <w:r>
        <w:t xml:space="preserve"> imunity v súvislosti s obvineniami, ktoré boli proti nemu vznesené v zmysle článku 108e ods. 1, článku 261 ods. 1 bodu 2, článku 261 ods. 7, článku 263 ods. 1 a článku 263 ods. 3 bodu 1 nemeckého trestného zákonníka, článku 370 ods. 1 nemeckého všeobecného daňového zákonníka a článku 53 uvedeného trestného zákonníka, pokiaľ ide o údajné trestné činy pasívnej korupcie, prania špinavých peňazí a podvodu v prípade najmenej šiestich priestupkov a trestný čin daňového podvodu v prípade najmenej piatich priestupkov;</w:t>
      </w:r>
    </w:p>
    <w:p>
      <w:pPr>
        <w:pStyle w:val="NormalHanging12a"/>
      </w:pPr>
      <w:r>
        <w:t>B.</w:t>
      </w:r>
      <w:r>
        <w:tab/>
        <w:t xml:space="preserve">keďže v žiadosti o zbavenie imunity sa uvádza, že Petr </w:t>
      </w:r>
      <w:proofErr w:type="spellStart"/>
      <w:r>
        <w:t>Bystron</w:t>
      </w:r>
      <w:proofErr w:type="spellEnd"/>
      <w:r>
        <w:t xml:space="preserve"> údajne od bližšie neurčeného momentu v roku 2020 okrem iného prijímal platby v hotovosti do vlastných rúk alebo platby prevodom </w:t>
      </w:r>
      <w:proofErr w:type="spellStart"/>
      <w:r>
        <w:t>kryptomien</w:t>
      </w:r>
      <w:proofErr w:type="spellEnd"/>
      <w:r>
        <w:t xml:space="preserve"> od prevádzkovateľa </w:t>
      </w:r>
      <w:proofErr w:type="spellStart"/>
      <w:r>
        <w:t>proruskej</w:t>
      </w:r>
      <w:proofErr w:type="spellEnd"/>
      <w:r>
        <w:t xml:space="preserve"> webovej stránky </w:t>
      </w:r>
      <w:proofErr w:type="spellStart"/>
      <w:r>
        <w:t>Voice</w:t>
      </w:r>
      <w:proofErr w:type="spellEnd"/>
      <w:r>
        <w:t xml:space="preserve"> of </w:t>
      </w:r>
      <w:proofErr w:type="spellStart"/>
      <w:r>
        <w:t>Europe</w:t>
      </w:r>
      <w:proofErr w:type="spellEnd"/>
      <w:r>
        <w:t xml:space="preserve"> výmenou za záväzok vyjadrovať sa a hlasovať ako poslanec národného parlamentu v prospech záujmov ruskej vlády; keďže Petr </w:t>
      </w:r>
      <w:proofErr w:type="spellStart"/>
      <w:r>
        <w:t>Bystron</w:t>
      </w:r>
      <w:proofErr w:type="spellEnd"/>
      <w:r>
        <w:t xml:space="preserve"> údajne 17. a 20. marca 2023 vložil do vkladového bankomatu značné sumy na účet patriaci spoločnosti, ktorej je jediným akcionárom a konateľom; keďže 20. marca 2023 údajne znova vybral rovnakú sumu v </w:t>
      </w:r>
      <w:proofErr w:type="spellStart"/>
      <w:r>
        <w:t>dvestoeurových</w:t>
      </w:r>
      <w:proofErr w:type="spellEnd"/>
      <w:r>
        <w:t xml:space="preserve"> bankovkách z bankomatu tej istej banky; keďže Petr </w:t>
      </w:r>
      <w:proofErr w:type="spellStart"/>
      <w:r>
        <w:t>Bystron</w:t>
      </w:r>
      <w:proofErr w:type="spellEnd"/>
      <w:r>
        <w:t xml:space="preserve"> údajne neposkytol banke žiadne vysvetlenie na otázku týkajúcu sa dôvodu týchto podozrivých pohybov; keďže Petr </w:t>
      </w:r>
      <w:proofErr w:type="spellStart"/>
      <w:r>
        <w:t>Bystron</w:t>
      </w:r>
      <w:proofErr w:type="spellEnd"/>
      <w:r>
        <w:t xml:space="preserve"> údajne v júli 2021, v apríli a septembri 2022 a júni a júli 2023 vložil na účet ďalšie sumy z údajných peňažných úplatkov; keďže Petr </w:t>
      </w:r>
      <w:proofErr w:type="spellStart"/>
      <w:r>
        <w:t>Bystron</w:t>
      </w:r>
      <w:proofErr w:type="spellEnd"/>
      <w:r>
        <w:t xml:space="preserve"> sa údajne pokúsil zatajiť pôvod peňažných prostriedkov v hotovosti; keďže generálna prokuratúra v Mníchove má k dispozícii záznamy o transakciách zo všetkých účtov Petra </w:t>
      </w:r>
      <w:proofErr w:type="spellStart"/>
      <w:r>
        <w:t>Bystrona</w:t>
      </w:r>
      <w:proofErr w:type="spellEnd"/>
      <w:r>
        <w:t xml:space="preserve"> a uvedenej spoločnosti, ktorej je jediným akcionárom a konateľom, od roku 2020; keďže to údajne umožnilo odhaliť ďalšie platby v hotovosti a dospieť k záveru, že v minulosti boli prijaté úplatky;</w:t>
      </w:r>
    </w:p>
    <w:p>
      <w:pPr>
        <w:pStyle w:val="NormalHanging12a"/>
      </w:pPr>
      <w:r>
        <w:t>C.</w:t>
      </w:r>
      <w:r>
        <w:tab/>
        <w:t xml:space="preserve">keďže Petr </w:t>
      </w:r>
      <w:proofErr w:type="spellStart"/>
      <w:r>
        <w:t>Bystron</w:t>
      </w:r>
      <w:proofErr w:type="spellEnd"/>
      <w:r>
        <w:t xml:space="preserve"> údajne počas viacerých rokovaní národného parlamentu, ktorého bol poslancom v čase spáchania údajných trestných činov, o otázkach súvisiacich s Ruskom od roku 2022 údajne hlasoval spôsobom čo najpriaznivejším pre záujmy ruskej vlády a údajne predniesol v nemeckom Spolkovom sneme minimálne dva prejavy, v ktorých obhajoval </w:t>
      </w:r>
      <w:proofErr w:type="spellStart"/>
      <w:r>
        <w:t>proruskú</w:t>
      </w:r>
      <w:proofErr w:type="spellEnd"/>
      <w:r>
        <w:t xml:space="preserve"> pozíciu;</w:t>
      </w:r>
    </w:p>
    <w:p>
      <w:pPr>
        <w:pStyle w:val="NormalHanging12a"/>
      </w:pPr>
      <w:r>
        <w:t>D.</w:t>
      </w:r>
      <w:r>
        <w:tab/>
        <w:t xml:space="preserve">keďže Petr </w:t>
      </w:r>
      <w:proofErr w:type="spellStart"/>
      <w:r>
        <w:t>Bystron</w:t>
      </w:r>
      <w:proofErr w:type="spellEnd"/>
      <w:r>
        <w:t>, ktorý mal podľa nemeckého zákona o poslancoch nárok na paušálny príspevok určený okrem iného na nábor zamestnancov, údajne v októbri 2021 uzavrel pracovnú zmluvu so svojím advokátom a súhlasil s piatimi dodatkami k tejto zmluve, z ktorých každý menil týždenný pracovný čas a mesačnú mzdu jeho advokáta; keďže paušálny príspevok sa môže použiť len vtedy, ak zamýšľané účely alebo činnosti majú dostatočnú súvislosť s výkonom mandátu; keďže práca vykonaná v rámci tejto zmluvy sa údajne netýkala výkonu poslaneckého mandátu alebo očakávaná práca nebola vykonaná, hoci odmena bola údajne vyplatená, čo príslušného zamestnanca uviedlo do omylu; keďže táto platba údajne predstavovala pre Nemeckú spolkovú republiku škodu vo výške 97 400 EUR;</w:t>
      </w:r>
    </w:p>
    <w:p>
      <w:pPr>
        <w:pStyle w:val="NormalHanging12a"/>
      </w:pPr>
      <w:r>
        <w:t>E.</w:t>
      </w:r>
      <w:r>
        <w:tab/>
        <w:t xml:space="preserve">keďže Petr </w:t>
      </w:r>
      <w:proofErr w:type="spellStart"/>
      <w:r>
        <w:t>Bystron</w:t>
      </w:r>
      <w:proofErr w:type="spellEnd"/>
      <w:r>
        <w:t xml:space="preserve"> údajne v rozpočtových rokoch 2017 až 2021 predložil prostredníctvom daňovej poradkyne spoločnosti, ktorej je jediným akcionárom a konateľom, daňovému úradu v Mníchove nepresné daňové priznania k DPH, ktoré obsahovali súkromné výdavky, ktoré nesúvisia s obchodnou činnosťou uvedenej spoločnosti; keďže v dôsledku týchto nesprávnych informácií v daňových priznaniach k DPH údajne došlo k neoprávnenému vráteniu DPH v celkovej výške 9 949,17 EUR;</w:t>
      </w:r>
    </w:p>
    <w:p>
      <w:pPr>
        <w:pStyle w:val="NormalHanging12a"/>
      </w:pPr>
      <w:r>
        <w:rPr>
          <w:shd w:val="clear" w:color="auto" w:fill="FFFFFF"/>
        </w:rPr>
        <w:lastRenderedPageBreak/>
        <w:t>F.</w:t>
      </w:r>
      <w:r>
        <w:rPr>
          <w:shd w:val="clear" w:color="auto" w:fill="FFFFFF"/>
        </w:rPr>
        <w:tab/>
        <w:t xml:space="preserve">keďže Petr </w:t>
      </w:r>
      <w:proofErr w:type="spellStart"/>
      <w:r>
        <w:rPr>
          <w:shd w:val="clear" w:color="auto" w:fill="FFFFFF"/>
        </w:rPr>
        <w:t>Bystron</w:t>
      </w:r>
      <w:proofErr w:type="spellEnd"/>
      <w:r>
        <w:rPr>
          <w:shd w:val="clear" w:color="auto" w:fill="FFFFFF"/>
        </w:rPr>
        <w:t xml:space="preserve"> bol zvolený do Európskeho parlamentu v európskych voľbách v roku 2024 v Nemecku a</w:t>
      </w:r>
      <w:r>
        <w:t xml:space="preserve"> v čase údajných trestných činov nebol poslancom Európskeho parlamentu;</w:t>
      </w:r>
    </w:p>
    <w:p>
      <w:pPr>
        <w:pStyle w:val="NormalHanging12a"/>
      </w:pPr>
      <w:r>
        <w:t>G.</w:t>
      </w:r>
      <w:r>
        <w:tab/>
        <w:t xml:space="preserve">keďže údajné trestné činy a následná žiadosť o zbavenie imunity preto nesúvisia s vyjadreným názorom alebo hlasovaním Petra </w:t>
      </w:r>
      <w:proofErr w:type="spellStart"/>
      <w:r>
        <w:t>Bystrona</w:t>
      </w:r>
      <w:proofErr w:type="spellEnd"/>
      <w:r>
        <w:t xml:space="preserve"> pri výkone jeho úloh v zmysle článku 8 Protokolu č. 7 o výsadách a imunitách Európskej únie;</w:t>
      </w:r>
    </w:p>
    <w:p>
      <w:pPr>
        <w:pStyle w:val="NormalHanging12a"/>
      </w:pPr>
      <w:r>
        <w:t>H.</w:t>
      </w:r>
      <w:r>
        <w:tab/>
        <w:t>keďže v článku 9 ods. 1 písm. a) Protokolu č. 7 o výsadách a imunitách Európskej únie sa stanovuje, že poslanci Európskeho parlamentu požívajú na území ich vlastného štátu imunitu priznanú členom ich parlamentu;</w:t>
      </w:r>
    </w:p>
    <w:p>
      <w:pPr>
        <w:pStyle w:val="NormalHanging12a"/>
      </w:pPr>
      <w:r>
        <w:t>I.</w:t>
      </w:r>
      <w:r>
        <w:tab/>
        <w:t>keďže v článku 46 ods. 2, 3 a 4 Základného zákona Nemeckej spolkovej republiky sa stanovuje, že:</w:t>
      </w:r>
    </w:p>
    <w:p>
      <w:pPr>
        <w:pStyle w:val="NormalHanging12a"/>
        <w:ind w:left="1134"/>
      </w:pPr>
      <w:r>
        <w:t xml:space="preserve">„2. </w:t>
      </w:r>
      <w:r>
        <w:tab/>
        <w:t>Poslanca nemožno brať na zodpovednosť alebo zatknúť za trestný čin bez súhlasu Spolkového snemu s výnimkou prípadov, keď je zadržaný počas páchania trestného činu alebo v priebehu nasledujúceho dňa.</w:t>
      </w:r>
    </w:p>
    <w:p>
      <w:pPr>
        <w:pStyle w:val="NormalHanging12a"/>
        <w:ind w:left="1134"/>
      </w:pPr>
      <w:r>
        <w:t xml:space="preserve">3. </w:t>
      </w:r>
      <w:r>
        <w:tab/>
        <w:t>Súhlas Spolkového snemu je tiež potrebný na akékoľvek iné obmedzenie osobnej slobody poslanca či začatie konania proti poslancovi podľa článku 18.</w:t>
      </w:r>
    </w:p>
    <w:p>
      <w:pPr>
        <w:pStyle w:val="NormalHanging12a"/>
        <w:ind w:left="1134"/>
      </w:pPr>
      <w:r>
        <w:t xml:space="preserve">4. </w:t>
      </w:r>
      <w:r>
        <w:tab/>
        <w:t>Každé trestné konanie alebo akékoľvek konanie podľa článku 18 proti poslancovi a jeho zadržanie, či iné obmedzenie osobnej slobody sa na žiadosť Spolkového snemu pozastaví.“;</w:t>
      </w:r>
    </w:p>
    <w:p>
      <w:pPr>
        <w:pStyle w:val="NormalHanging12a"/>
      </w:pPr>
      <w:r>
        <w:t>J.</w:t>
      </w:r>
      <w:r>
        <w:tab/>
        <w:t>keďže účelom poslaneckej imunity je chrániť Európsky parlament a jeho poslancov pred súdnymi konaniami v súvislosti s činnosťami vykonávanými pri výkone poslaneckých povinností, ktoré nemožno oddeliť od týchto povinností;</w:t>
      </w:r>
    </w:p>
    <w:p>
      <w:pPr>
        <w:pStyle w:val="NormalHanging12a"/>
      </w:pPr>
      <w:r>
        <w:t>K.</w:t>
      </w:r>
      <w:r>
        <w:tab/>
        <w:t>keďže v súlade s článkom 5 ods. 2 rokovacieho poriadku poslanecká imunita nie je osobná výsada poslanca, ale záruka nezávislosti Európskeho parlamentu ako celku a jeho poslancov;</w:t>
      </w:r>
    </w:p>
    <w:p>
      <w:pPr>
        <w:pStyle w:val="NormalHanging12a"/>
      </w:pPr>
      <w:r>
        <w:t>L.</w:t>
      </w:r>
      <w:r>
        <w:tab/>
        <w:t xml:space="preserve">keďže Európsky parlament v tomto prípade nenašiel žiadny dôkaz </w:t>
      </w:r>
      <w:proofErr w:type="spellStart"/>
      <w:r>
        <w:rPr>
          <w:i/>
        </w:rPr>
        <w:t>fumus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persecutionis</w:t>
      </w:r>
      <w:proofErr w:type="spellEnd"/>
      <w:r>
        <w:t>, t. j. skutkové okolnosti, ktoré by naznačovali, že predmetné súdne konanie sa začalo s úmyslom poškodiť politickú činnosť poslanca ako člena Európskeho parlamentu;</w:t>
      </w:r>
    </w:p>
    <w:p>
      <w:pPr>
        <w:pStyle w:val="NormalHanging12a"/>
      </w:pPr>
      <w:r>
        <w:t>M.</w:t>
      </w:r>
      <w:r>
        <w:tab/>
        <w:t>keďže na jednej strane Európsky parlament nemožno považovať za súd a na druhej strane poslanec nemôže byť v súvislosti s postupom zbavenia imunity považovaný za „obvineného“</w:t>
      </w:r>
      <w:r>
        <w:rPr>
          <w:rStyle w:val="FootnoteReference"/>
        </w:rPr>
        <w:footnoteReference w:id="2"/>
      </w:r>
      <w:r>
        <w:t>;</w:t>
      </w:r>
    </w:p>
    <w:p>
      <w:pPr>
        <w:pStyle w:val="NormalHanging12a"/>
      </w:pPr>
      <w:r>
        <w:t>1.</w:t>
      </w:r>
      <w:r>
        <w:tab/>
        <w:t xml:space="preserve">rozhodol zbaviť Petra </w:t>
      </w:r>
      <w:proofErr w:type="spellStart"/>
      <w:r>
        <w:t>Bystrona</w:t>
      </w:r>
      <w:proofErr w:type="spellEnd"/>
      <w:r>
        <w:t xml:space="preserve"> imunity;</w:t>
      </w:r>
    </w:p>
    <w:p>
      <w:pPr>
        <w:pStyle w:val="NormalHanging12a"/>
      </w:pPr>
      <w:r>
        <w:t>2.</w:t>
      </w:r>
      <w:r>
        <w:tab/>
        <w:t xml:space="preserve">poveruje svoju predsedníčku, aby bezodkladne postúpila toto rozhodnutie a správu gestorského výboru príslušnému orgánu Nemeckej spolkovej republiky a Petrovi </w:t>
      </w:r>
      <w:proofErr w:type="spellStart"/>
      <w:r>
        <w:t>Bystronovi</w:t>
      </w:r>
      <w:proofErr w:type="spellEnd"/>
      <w:r>
        <w:t>.</w:t>
      </w:r>
    </w:p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Rozsudok Súdneho dvora z 21. októbra 2008, </w:t>
      </w:r>
      <w:proofErr w:type="spellStart"/>
      <w:r>
        <w:rPr>
          <w:sz w:val="24"/>
          <w:lang w:val="sk-SK"/>
        </w:rPr>
        <w:t>Marra</w:t>
      </w:r>
      <w:proofErr w:type="spellEnd"/>
      <w:r>
        <w:rPr>
          <w:sz w:val="24"/>
          <w:lang w:val="sk-SK"/>
        </w:rPr>
        <w:t xml:space="preserve">/De </w:t>
      </w:r>
      <w:proofErr w:type="spellStart"/>
      <w:r>
        <w:rPr>
          <w:sz w:val="24"/>
          <w:lang w:val="sk-SK"/>
        </w:rPr>
        <w:t>Gregorio</w:t>
      </w:r>
      <w:proofErr w:type="spellEnd"/>
      <w:r>
        <w:rPr>
          <w:sz w:val="24"/>
          <w:lang w:val="sk-SK"/>
        </w:rPr>
        <w:t xml:space="preserve"> a </w:t>
      </w:r>
      <w:proofErr w:type="spellStart"/>
      <w:r>
        <w:rPr>
          <w:sz w:val="24"/>
          <w:lang w:val="sk-SK"/>
        </w:rPr>
        <w:t>Clemente</w:t>
      </w:r>
      <w:proofErr w:type="spellEnd"/>
      <w:r>
        <w:rPr>
          <w:sz w:val="24"/>
          <w:lang w:val="sk-SK"/>
        </w:rPr>
        <w:t xml:space="preserve">, C-200/07 a C-201/07, ECLI:EU:C:2008:579; rozsudok Všeobecného súdu z 19. marca 2010, </w:t>
      </w:r>
      <w:proofErr w:type="spellStart"/>
      <w:r>
        <w:rPr>
          <w:sz w:val="24"/>
          <w:lang w:val="sk-SK"/>
        </w:rPr>
        <w:t>Gollnisch</w:t>
      </w:r>
      <w:proofErr w:type="spellEnd"/>
      <w:r>
        <w:rPr>
          <w:sz w:val="24"/>
          <w:lang w:val="sk-SK"/>
        </w:rPr>
        <w:t xml:space="preserve">/Parlament, T-42/06, ECLI:EU:T:2010:102; rozsudok Súdneho dvora zo 6. septembra 2011, </w:t>
      </w:r>
      <w:proofErr w:type="spellStart"/>
      <w:r>
        <w:rPr>
          <w:sz w:val="24"/>
          <w:lang w:val="sk-SK"/>
        </w:rPr>
        <w:t>Patriciello</w:t>
      </w:r>
      <w:proofErr w:type="spellEnd"/>
      <w:r>
        <w:rPr>
          <w:sz w:val="24"/>
          <w:lang w:val="sk-SK"/>
        </w:rPr>
        <w:t xml:space="preserve">, C-163/10, ECLI:EU:C:2011:543; rozsudok Všeobecného súdu zo 17. januára 2013, </w:t>
      </w:r>
      <w:proofErr w:type="spellStart"/>
      <w:r>
        <w:rPr>
          <w:sz w:val="24"/>
          <w:lang w:val="sk-SK"/>
        </w:rPr>
        <w:t>Gollnisch</w:t>
      </w:r>
      <w:proofErr w:type="spellEnd"/>
      <w:r>
        <w:rPr>
          <w:sz w:val="24"/>
          <w:lang w:val="sk-SK"/>
        </w:rPr>
        <w:t xml:space="preserve">/Parlament, T-346/11 a T-347/11, ECLI:EU:T:2013:23 rozsudok Súdneho dvora z 19. decembra 2019, </w:t>
      </w:r>
      <w:proofErr w:type="spellStart"/>
      <w:r>
        <w:rPr>
          <w:sz w:val="24"/>
          <w:lang w:val="sk-SK"/>
        </w:rPr>
        <w:t>Junqueras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Vies</w:t>
      </w:r>
      <w:proofErr w:type="spellEnd"/>
      <w:r>
        <w:rPr>
          <w:sz w:val="24"/>
          <w:lang w:val="sk-SK"/>
        </w:rPr>
        <w:t xml:space="preserve">, C-502/19, ECLI:EU:C:2019:1115; rozsudok Všeobecného súdu z 5. júla 2023, </w:t>
      </w:r>
      <w:proofErr w:type="spellStart"/>
      <w:r>
        <w:rPr>
          <w:sz w:val="24"/>
          <w:lang w:val="sk-SK"/>
        </w:rPr>
        <w:t>Puigdemont</w:t>
      </w:r>
      <w:proofErr w:type="spellEnd"/>
      <w:r>
        <w:rPr>
          <w:sz w:val="24"/>
          <w:lang w:val="sk-SK"/>
        </w:rPr>
        <w:t xml:space="preserve"> i </w:t>
      </w:r>
      <w:proofErr w:type="spellStart"/>
      <w:r>
        <w:rPr>
          <w:sz w:val="24"/>
          <w:lang w:val="sk-SK"/>
        </w:rPr>
        <w:t>Casamajó</w:t>
      </w:r>
      <w:proofErr w:type="spellEnd"/>
      <w:r>
        <w:rPr>
          <w:sz w:val="24"/>
          <w:lang w:val="sk-SK"/>
        </w:rPr>
        <w:t xml:space="preserve"> a iní/Parlament, T-272/21, ECLI:EU:T:2023:373.</w:t>
      </w:r>
    </w:p>
  </w:footnote>
  <w:footnote w:id="2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Rozsudok Všeobecného súdu z 30. apríla 2019, </w:t>
      </w:r>
      <w:proofErr w:type="spellStart"/>
      <w:r>
        <w:rPr>
          <w:sz w:val="24"/>
          <w:lang w:val="sk-SK"/>
        </w:rPr>
        <w:t>Briois</w:t>
      </w:r>
      <w:proofErr w:type="spellEnd"/>
      <w:r>
        <w:rPr>
          <w:sz w:val="24"/>
          <w:lang w:val="sk-SK"/>
        </w:rPr>
        <w:t>/Parlament,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77/2025"/>
    <w:docVar w:name="dvlangue" w:val="SK"/>
    <w:docVar w:name="dvnumam" w:val="0"/>
    <w:docVar w:name="dvpe" w:val="766.946"/>
    <w:docVar w:name="dvrapporteur" w:val="Spravodajkyňa: "/>
    <w:docVar w:name="dvtitre" w:val="Rozhodnutie Európskeho parlamentu zo 6. mája 2025 o žiadosti o zbavenie Petra Bystrona imunity(2024/2047(IMM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F3D23E-02EA-489B-B3B7-CEA1E5454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Comma">
    <w:name w:val="EPComma"/>
    <w:basedOn w:val="Normal"/>
    <w:pPr>
      <w:spacing w:before="480" w:after="240"/>
    </w:p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704075-BAE2-471D-8D85-27DAD7A0E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1089</Words>
  <Characters>6198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3</cp:revision>
  <cp:lastPrinted>2004-11-19T15:42:00Z</cp:lastPrinted>
  <dcterms:created xsi:type="dcterms:W3CDTF">2025-05-06T09:28:00Z</dcterms:created>
  <dcterms:modified xsi:type="dcterms:W3CDTF">2025-05-06T09:30:00Z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A10-0077/2025</vt:lpwstr>
  </property>
  <property fmtid="{D5CDD505-2E9C-101B-9397-08002B2CF9AE}" pid="4" name="&lt;Type&gt;">
    <vt:lpwstr>RR</vt:lpwstr>
  </property>
</Properties>
</file>