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51AC" w14:paraId="7B2F56CA" w14:textId="77777777" w:rsidTr="0010095E">
        <w:trPr>
          <w:trHeight w:hRule="exact" w:val="1418"/>
        </w:trPr>
        <w:tc>
          <w:tcPr>
            <w:tcW w:w="6804" w:type="dxa"/>
            <w:shd w:val="clear" w:color="auto" w:fill="auto"/>
            <w:vAlign w:val="center"/>
          </w:tcPr>
          <w:p w14:paraId="7263EB8C" w14:textId="77777777" w:rsidR="00751A4A" w:rsidRPr="004251AC" w:rsidRDefault="00F41640" w:rsidP="0010095E">
            <w:pPr>
              <w:pStyle w:val="EPName"/>
            </w:pPr>
            <w:r w:rsidRPr="00F310D7">
              <w:t>Europa-Parlamentet</w:t>
            </w:r>
          </w:p>
          <w:p w14:paraId="7E504B4C" w14:textId="77777777" w:rsidR="00751A4A" w:rsidRPr="004251AC" w:rsidRDefault="005F1B17" w:rsidP="005F1B17">
            <w:pPr>
              <w:pStyle w:val="EPTerm"/>
              <w:rPr>
                <w:rStyle w:val="HideTWBExt"/>
                <w:noProof w:val="0"/>
                <w:vanish w:val="0"/>
                <w:color w:val="auto"/>
              </w:rPr>
            </w:pPr>
            <w:r w:rsidRPr="004251AC">
              <w:t>2024</w:t>
            </w:r>
            <w:r w:rsidR="00817416" w:rsidRPr="004251AC">
              <w:t>-202</w:t>
            </w:r>
            <w:r w:rsidRPr="004251AC">
              <w:t>9</w:t>
            </w:r>
          </w:p>
        </w:tc>
        <w:tc>
          <w:tcPr>
            <w:tcW w:w="2268" w:type="dxa"/>
            <w:shd w:val="clear" w:color="auto" w:fill="auto"/>
          </w:tcPr>
          <w:p w14:paraId="6965A31C" w14:textId="77777777" w:rsidR="00751A4A" w:rsidRPr="00F310D7" w:rsidRDefault="00187494" w:rsidP="0010095E">
            <w:pPr>
              <w:pStyle w:val="EPLogo"/>
            </w:pPr>
            <w:r w:rsidRPr="00F310D7">
              <w:rPr>
                <w:noProof/>
                <w:lang w:val="en-GB"/>
              </w:rPr>
              <w:drawing>
                <wp:inline distT="0" distB="0" distL="0" distR="0" wp14:anchorId="3E638197" wp14:editId="0A6F64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21799E" w14:textId="77777777" w:rsidR="00D058B8" w:rsidRPr="004251AC" w:rsidRDefault="00D058B8" w:rsidP="004C5D52">
      <w:pPr>
        <w:pStyle w:val="LineTop"/>
      </w:pPr>
    </w:p>
    <w:p w14:paraId="39439484" w14:textId="77777777" w:rsidR="00680577" w:rsidRPr="004251AC" w:rsidRDefault="00F41640" w:rsidP="00680577">
      <w:pPr>
        <w:pStyle w:val="EPBodyTA1"/>
      </w:pPr>
      <w:r w:rsidRPr="004251AC">
        <w:t>VEDTAGNE TEKSTER</w:t>
      </w:r>
    </w:p>
    <w:p w14:paraId="70A557EE" w14:textId="77777777" w:rsidR="00D058B8" w:rsidRPr="004251AC" w:rsidRDefault="00D058B8" w:rsidP="00D058B8">
      <w:pPr>
        <w:pStyle w:val="LineBottom"/>
      </w:pPr>
    </w:p>
    <w:p w14:paraId="122B2659" w14:textId="6438FB1E" w:rsidR="00F41640" w:rsidRPr="000B5823" w:rsidRDefault="00F41640" w:rsidP="00F41640">
      <w:pPr>
        <w:pStyle w:val="ATHeading1"/>
      </w:pPr>
      <w:bookmarkStart w:id="0" w:name="TANumber"/>
      <w:r w:rsidRPr="000B5823">
        <w:t>P10_TA(2025)00</w:t>
      </w:r>
      <w:r w:rsidR="00C35752">
        <w:t>68</w:t>
      </w:r>
      <w:bookmarkEnd w:id="0"/>
    </w:p>
    <w:p w14:paraId="1C6AD291" w14:textId="77777777" w:rsidR="00F41640" w:rsidRPr="000B5823" w:rsidRDefault="00F41640" w:rsidP="00F41640">
      <w:pPr>
        <w:pStyle w:val="ATHeading2"/>
      </w:pPr>
      <w:bookmarkStart w:id="1" w:name="title"/>
      <w:r w:rsidRPr="000B5823">
        <w:t xml:space="preserve">Anmodning om ophævelse af Petras </w:t>
      </w:r>
      <w:proofErr w:type="spellStart"/>
      <w:r w:rsidRPr="000B5823">
        <w:t>Gražulis</w:t>
      </w:r>
      <w:proofErr w:type="spellEnd"/>
      <w:r w:rsidRPr="000B5823">
        <w:t>' immunitet</w:t>
      </w:r>
      <w:bookmarkEnd w:id="1"/>
    </w:p>
    <w:p w14:paraId="491CBAEC" w14:textId="77777777" w:rsidR="00F41640" w:rsidRPr="00F310D7" w:rsidRDefault="00F41640" w:rsidP="00F41640">
      <w:pPr>
        <w:rPr>
          <w:i/>
          <w:vanish/>
        </w:rPr>
      </w:pPr>
      <w:r w:rsidRPr="00F310D7">
        <w:rPr>
          <w:i/>
        </w:rPr>
        <w:fldChar w:fldCharType="begin"/>
      </w:r>
      <w:r w:rsidRPr="00F310D7">
        <w:rPr>
          <w:i/>
        </w:rPr>
        <w:instrText xml:space="preserve"> TC"(</w:instrText>
      </w:r>
      <w:bookmarkStart w:id="2" w:name="DocNumber"/>
      <w:r w:rsidRPr="00F310D7">
        <w:rPr>
          <w:i/>
        </w:rPr>
        <w:instrText>A10-0078/2025</w:instrText>
      </w:r>
      <w:bookmarkEnd w:id="2"/>
      <w:r w:rsidRPr="00F310D7">
        <w:rPr>
          <w:i/>
        </w:rPr>
        <w:instrText xml:space="preserve"> - Ordfører: Pascale Piera)"\l3 \n&gt; \* MERGEFORMAT </w:instrText>
      </w:r>
      <w:r w:rsidRPr="00F310D7">
        <w:rPr>
          <w:i/>
        </w:rPr>
        <w:fldChar w:fldCharType="end"/>
      </w:r>
    </w:p>
    <w:p w14:paraId="6E3BDD0D" w14:textId="77777777" w:rsidR="00F41640" w:rsidRPr="000B5823" w:rsidRDefault="00F41640" w:rsidP="00F41640">
      <w:pPr>
        <w:rPr>
          <w:vanish/>
        </w:rPr>
      </w:pPr>
      <w:bookmarkStart w:id="3" w:name="Commission"/>
      <w:r w:rsidRPr="004251AC">
        <w:rPr>
          <w:vanish/>
        </w:rPr>
        <w:t>Retsudvalget</w:t>
      </w:r>
      <w:bookmarkEnd w:id="3"/>
    </w:p>
    <w:p w14:paraId="099C3C74" w14:textId="77777777" w:rsidR="00F41640" w:rsidRPr="000B5823" w:rsidRDefault="00F41640" w:rsidP="00F41640">
      <w:pPr>
        <w:rPr>
          <w:vanish/>
        </w:rPr>
      </w:pPr>
      <w:bookmarkStart w:id="4" w:name="PE"/>
      <w:r w:rsidRPr="000B5823">
        <w:rPr>
          <w:vanish/>
        </w:rPr>
        <w:t>PE770.080</w:t>
      </w:r>
      <w:bookmarkEnd w:id="4"/>
    </w:p>
    <w:p w14:paraId="49C7E404" w14:textId="7389C58A" w:rsidR="00F41640" w:rsidRPr="000B5823" w:rsidRDefault="00F41640" w:rsidP="00F41640">
      <w:pPr>
        <w:pStyle w:val="ATHeading3"/>
      </w:pPr>
      <w:bookmarkStart w:id="5" w:name="Sujet"/>
      <w:r w:rsidRPr="000B5823">
        <w:t xml:space="preserve">Europa-Parlamentets afgørelse af </w:t>
      </w:r>
      <w:r w:rsidR="0097765D" w:rsidRPr="000B5823">
        <w:t>6</w:t>
      </w:r>
      <w:r w:rsidRPr="000B5823">
        <w:t xml:space="preserve">. maj 2025 om anmodning om ophævelse af Petras </w:t>
      </w:r>
      <w:proofErr w:type="spellStart"/>
      <w:r w:rsidRPr="000B5823">
        <w:t>Gražulis</w:t>
      </w:r>
      <w:proofErr w:type="spellEnd"/>
      <w:r w:rsidRPr="000B5823">
        <w:t>' immunitet</w:t>
      </w:r>
      <w:bookmarkEnd w:id="5"/>
      <w:r w:rsidRPr="000B5823">
        <w:t xml:space="preserve"> </w:t>
      </w:r>
      <w:bookmarkStart w:id="6" w:name="References"/>
      <w:r w:rsidRPr="000B5823">
        <w:t>(2024/2089(IMM))</w:t>
      </w:r>
      <w:bookmarkEnd w:id="6"/>
    </w:p>
    <w:p w14:paraId="148337EF" w14:textId="77777777" w:rsidR="00E0144D" w:rsidRPr="000B5823" w:rsidRDefault="00E0144D" w:rsidP="00E0144D">
      <w:pPr>
        <w:pStyle w:val="EPComma"/>
        <w:widowControl/>
      </w:pPr>
      <w:bookmarkStart w:id="7" w:name="TextBodyBegin"/>
      <w:bookmarkEnd w:id="7"/>
      <w:r w:rsidRPr="00F310D7">
        <w:rPr>
          <w:i/>
        </w:rPr>
        <w:t>Europa-Parlamentet</w:t>
      </w:r>
      <w:r w:rsidRPr="004251AC">
        <w:t>,</w:t>
      </w:r>
    </w:p>
    <w:p w14:paraId="0905946F" w14:textId="77777777" w:rsidR="00E0144D" w:rsidRPr="000B5823" w:rsidRDefault="00E0144D" w:rsidP="00E0144D">
      <w:pPr>
        <w:pStyle w:val="NormalHanging12a"/>
        <w:widowControl/>
      </w:pPr>
      <w:r w:rsidRPr="000B5823">
        <w:t>–</w:t>
      </w:r>
      <w:r w:rsidRPr="000B5823">
        <w:tab/>
        <w:t xml:space="preserve">der henviser til anmodning af 16. september 2024 om ophævelse af Petras </w:t>
      </w:r>
      <w:proofErr w:type="spellStart"/>
      <w:r w:rsidRPr="000B5823">
        <w:t>Gražulis</w:t>
      </w:r>
      <w:proofErr w:type="spellEnd"/>
      <w:r w:rsidRPr="000B5823">
        <w:t>' immunitet, som er fremsendt af anklagemyndigheden i Republikken Litauen i forbindelse med en straffesag, der er indledt mod ham, og hvorom der blev givet meddelelse på plenarmødet den 24. oktober 2024,</w:t>
      </w:r>
    </w:p>
    <w:p w14:paraId="361C1A2D" w14:textId="77777777" w:rsidR="00E0144D" w:rsidRPr="000B5823" w:rsidRDefault="00E0144D" w:rsidP="00E0144D">
      <w:pPr>
        <w:pStyle w:val="NormalHanging12a"/>
        <w:widowControl/>
      </w:pPr>
      <w:r w:rsidRPr="000B5823">
        <w:t>–</w:t>
      </w:r>
      <w:r w:rsidRPr="000B5823">
        <w:tab/>
        <w:t xml:space="preserve">der har hørt Petras </w:t>
      </w:r>
      <w:proofErr w:type="spellStart"/>
      <w:r w:rsidRPr="000B5823">
        <w:t>Gražulis</w:t>
      </w:r>
      <w:proofErr w:type="spellEnd"/>
      <w:r w:rsidRPr="000B5823">
        <w:t xml:space="preserve"> den 18. marts 2025, jf. forretningsordenens artikel 9, stk. 6,</w:t>
      </w:r>
    </w:p>
    <w:p w14:paraId="6F24FE7F" w14:textId="77777777" w:rsidR="00E0144D" w:rsidRPr="000B5823" w:rsidRDefault="00E0144D" w:rsidP="00E0144D">
      <w:pPr>
        <w:pStyle w:val="NormalHanging12a"/>
        <w:widowControl/>
      </w:pPr>
      <w:r w:rsidRPr="000B5823">
        <w:t>–</w:t>
      </w:r>
      <w:r w:rsidRPr="000B5823">
        <w:tab/>
        <w:t>der henviser til artikel 8 og 9 i protokol nr. 7 vedrørende Den Europæiske Unions privilegier og immuniteter samt artikel 6, stk. 2, i akten af 20. september 1976 om almindelige direkte valg af medlemmerne af Europa-Parlamentet,</w:t>
      </w:r>
    </w:p>
    <w:p w14:paraId="79443948" w14:textId="77777777" w:rsidR="00E0144D" w:rsidRPr="004251AC" w:rsidRDefault="00E0144D" w:rsidP="00E0144D">
      <w:pPr>
        <w:pStyle w:val="NormalHanging12a"/>
        <w:widowControl/>
      </w:pPr>
      <w:r w:rsidRPr="000B5823">
        <w:t>–</w:t>
      </w:r>
      <w:r w:rsidRPr="000B5823">
        <w:tab/>
        <w:t>der henviser til de domme, som Den Europæiske Unions Domstol har afsagt den 21. oktober 2008, 19. marts 2010, 6. september 2011, 17. januar 2013, 19. december 2019 og 5. juli 2023</w:t>
      </w:r>
      <w:r w:rsidRPr="00F310D7">
        <w:rPr>
          <w:rStyle w:val="FootnoteReference"/>
          <w:color w:val="000000"/>
        </w:rPr>
        <w:footnoteReference w:id="1"/>
      </w:r>
      <w:r w:rsidRPr="00F310D7">
        <w:t>,</w:t>
      </w:r>
    </w:p>
    <w:p w14:paraId="495675C4" w14:textId="77777777" w:rsidR="00E0144D" w:rsidRPr="000B5823" w:rsidRDefault="00E0144D" w:rsidP="00E0144D">
      <w:pPr>
        <w:pStyle w:val="NormalHanging12a"/>
        <w:widowControl/>
      </w:pPr>
      <w:r w:rsidRPr="000B5823">
        <w:t>–</w:t>
      </w:r>
      <w:r w:rsidRPr="000B5823">
        <w:tab/>
        <w:t>der henviser til artikel 62 i Republikken Litauens forfatning,</w:t>
      </w:r>
    </w:p>
    <w:p w14:paraId="14F0CEBA" w14:textId="77777777" w:rsidR="00E0144D" w:rsidRPr="000B5823" w:rsidRDefault="00E0144D" w:rsidP="00E0144D">
      <w:pPr>
        <w:pStyle w:val="NormalHanging12a"/>
        <w:widowControl/>
      </w:pPr>
      <w:r w:rsidRPr="000B5823">
        <w:t>–</w:t>
      </w:r>
      <w:r w:rsidRPr="000B5823">
        <w:tab/>
        <w:t>der henviser til forretningsordenens artikel 5, stk. 2, artikel 6, stk. 1, og artikel 9,</w:t>
      </w:r>
    </w:p>
    <w:p w14:paraId="753765F9" w14:textId="77777777" w:rsidR="00E0144D" w:rsidRPr="000B5823" w:rsidRDefault="00E0144D" w:rsidP="00E0144D">
      <w:pPr>
        <w:pStyle w:val="NormalHanging12a"/>
        <w:widowControl/>
      </w:pPr>
      <w:r w:rsidRPr="000B5823">
        <w:t>–</w:t>
      </w:r>
      <w:r w:rsidRPr="000B5823">
        <w:tab/>
        <w:t>der henviser til betænkning fra Retsudvalget (A10-0078/2025),</w:t>
      </w:r>
    </w:p>
    <w:p w14:paraId="694FE855" w14:textId="769AB430" w:rsidR="00E0144D" w:rsidRPr="000B5823" w:rsidRDefault="00E0144D" w:rsidP="00E0144D">
      <w:pPr>
        <w:pStyle w:val="NormalHanging12a"/>
        <w:widowControl/>
      </w:pPr>
      <w:r w:rsidRPr="000B5823">
        <w:lastRenderedPageBreak/>
        <w:t>A.</w:t>
      </w:r>
      <w:r w:rsidRPr="000B5823">
        <w:tab/>
        <w:t>der henviser til, at anklagemyndigheden i Republikken Litauen ved skrivelse af 16. september 2024 anmod</w:t>
      </w:r>
      <w:r w:rsidR="0097765D" w:rsidRPr="000B5823">
        <w:t>ede</w:t>
      </w:r>
      <w:r w:rsidRPr="000B5823">
        <w:t xml:space="preserve"> om ophævelse af Petras </w:t>
      </w:r>
      <w:proofErr w:type="spellStart"/>
      <w:r w:rsidRPr="000B5823">
        <w:t>Gražulis</w:t>
      </w:r>
      <w:proofErr w:type="spellEnd"/>
      <w:r w:rsidRPr="000B5823">
        <w:t xml:space="preserve">' immunitet i forbindelse med en </w:t>
      </w:r>
      <w:r w:rsidR="007B1116" w:rsidRPr="000B5823">
        <w:t xml:space="preserve">påstået </w:t>
      </w:r>
      <w:r w:rsidRPr="000B5823">
        <w:t xml:space="preserve">lovovertrædelse i henhold til artikel 170, stk. 2, i Republikken Litauens straffelov, </w:t>
      </w:r>
      <w:r w:rsidR="007B1116" w:rsidRPr="000B5823">
        <w:t xml:space="preserve">nemlig </w:t>
      </w:r>
      <w:r w:rsidRPr="000B5823">
        <w:t xml:space="preserve">offentligt </w:t>
      </w:r>
      <w:r w:rsidR="007B1116" w:rsidRPr="000B5823">
        <w:t xml:space="preserve">at </w:t>
      </w:r>
      <w:r w:rsidRPr="000B5823">
        <w:t>have latterliggjort en gruppe af personer og givet udtryk for sin ringeagt for dem på grund af deres seksuelle orientering;</w:t>
      </w:r>
    </w:p>
    <w:p w14:paraId="3990EDDB" w14:textId="744AACDE" w:rsidR="00E0144D" w:rsidRPr="000B5823" w:rsidRDefault="00E0144D" w:rsidP="00E0144D">
      <w:pPr>
        <w:pStyle w:val="NormalHanging12a"/>
        <w:widowControl/>
      </w:pPr>
      <w:r w:rsidRPr="000B5823">
        <w:rPr>
          <w:shd w:val="clear" w:color="auto" w:fill="FFFFFF"/>
        </w:rPr>
        <w:t>B.</w:t>
      </w:r>
      <w:r w:rsidRPr="000B5823">
        <w:rPr>
          <w:shd w:val="clear" w:color="auto" w:fill="FFFFFF"/>
        </w:rPr>
        <w:tab/>
      </w:r>
      <w:r w:rsidRPr="000B5823">
        <w:t xml:space="preserve">der henviser til, at det fremgår af anmodningen, at Petras </w:t>
      </w:r>
      <w:proofErr w:type="spellStart"/>
      <w:r w:rsidRPr="000B5823">
        <w:t>Gražulis</w:t>
      </w:r>
      <w:proofErr w:type="spellEnd"/>
      <w:r w:rsidRPr="000B5823">
        <w:t xml:space="preserve"> er anklaget for offentligt at have fremsat latterliggørende, nedgørende og ydmygende bemærkninger om en gruppe personer og for at have givet udtryk for sin ringeagt for dem på grund af deres seksuelle orientering, mens han befandt sig i korridoren i Republikken Litauens </w:t>
      </w:r>
      <w:proofErr w:type="spellStart"/>
      <w:r w:rsidRPr="000B5823">
        <w:t>Seimas</w:t>
      </w:r>
      <w:proofErr w:type="spellEnd"/>
      <w:r w:rsidRPr="000B5823">
        <w:t xml:space="preserve"> (det litauiske parlament, herefter "</w:t>
      </w:r>
      <w:proofErr w:type="spellStart"/>
      <w:r w:rsidRPr="000B5823">
        <w:t>Seimas</w:t>
      </w:r>
      <w:proofErr w:type="spellEnd"/>
      <w:r w:rsidRPr="000B5823">
        <w:t xml:space="preserve">") den 26. maj 2022 efter afslutningen af </w:t>
      </w:r>
      <w:proofErr w:type="spellStart"/>
      <w:r w:rsidRPr="000B5823">
        <w:t>Seimas</w:t>
      </w:r>
      <w:proofErr w:type="spellEnd"/>
      <w:r w:rsidRPr="000B5823">
        <w:t xml:space="preserve">' møde om registrering af civile fagforeninger, under en diskussion med en kameramand, hvilket blev filmet og udsendt af medierne; der henviser til, at den lovovertrædelse, som Petras </w:t>
      </w:r>
      <w:proofErr w:type="spellStart"/>
      <w:r w:rsidRPr="000B5823">
        <w:t>Gražulis</w:t>
      </w:r>
      <w:proofErr w:type="spellEnd"/>
      <w:r w:rsidR="007B1116" w:rsidRPr="000B5823">
        <w:t xml:space="preserve"> – på det tidspunkt medlem af </w:t>
      </w:r>
      <w:proofErr w:type="spellStart"/>
      <w:r w:rsidR="007B1116" w:rsidRPr="000B5823">
        <w:t>Seimas</w:t>
      </w:r>
      <w:proofErr w:type="spellEnd"/>
      <w:r w:rsidR="007B1116" w:rsidRPr="000B5823">
        <w:t xml:space="preserve"> – er anklaget for</w:t>
      </w:r>
      <w:r w:rsidRPr="000B5823">
        <w:t>, går tilbage til 2022</w:t>
      </w:r>
      <w:r w:rsidR="0097765D" w:rsidRPr="000B5823">
        <w:t>; der henviser til</w:t>
      </w:r>
      <w:r w:rsidRPr="000B5823">
        <w:t xml:space="preserve">, at </w:t>
      </w:r>
      <w:r w:rsidR="007B1116" w:rsidRPr="000B5823">
        <w:t xml:space="preserve">indledende </w:t>
      </w:r>
      <w:r w:rsidRPr="000B5823">
        <w:t xml:space="preserve">efterforskning fandt sted i 2022 og 2023, og at sagen blev henvist til den regionale domstol i Vilnius i januar 2024; der henviser til, at Petras </w:t>
      </w:r>
      <w:proofErr w:type="spellStart"/>
      <w:r w:rsidRPr="000B5823">
        <w:t>Gražulis</w:t>
      </w:r>
      <w:proofErr w:type="spellEnd"/>
      <w:r w:rsidRPr="000B5823">
        <w:t xml:space="preserve"> på daværende tidspunkt nød immunitet som </w:t>
      </w:r>
      <w:r w:rsidRPr="000B5823">
        <w:rPr>
          <w:shd w:val="clear" w:color="auto" w:fill="FFFFFF"/>
        </w:rPr>
        <w:t>medlem</w:t>
      </w:r>
      <w:r w:rsidRPr="000B5823">
        <w:t xml:space="preserve"> af </w:t>
      </w:r>
      <w:proofErr w:type="spellStart"/>
      <w:r w:rsidRPr="000B5823">
        <w:t>Seimas</w:t>
      </w:r>
      <w:proofErr w:type="spellEnd"/>
      <w:r w:rsidRPr="000B5823">
        <w:t xml:space="preserve">, men at </w:t>
      </w:r>
      <w:proofErr w:type="spellStart"/>
      <w:r w:rsidRPr="000B5823">
        <w:t>Seimas</w:t>
      </w:r>
      <w:proofErr w:type="spellEnd"/>
      <w:r w:rsidRPr="000B5823">
        <w:t xml:space="preserve"> den 16. november 2023 samtykkede i, at han kunne retsforfølges;</w:t>
      </w:r>
    </w:p>
    <w:p w14:paraId="0801B065" w14:textId="6FD6B443" w:rsidR="00E0144D" w:rsidRPr="000B5823" w:rsidRDefault="00E0144D" w:rsidP="00E0144D">
      <w:pPr>
        <w:pStyle w:val="NormalHanging12a"/>
        <w:widowControl/>
      </w:pPr>
      <w:r w:rsidRPr="000B5823">
        <w:t>C.</w:t>
      </w:r>
      <w:r w:rsidRPr="000B5823">
        <w:tab/>
        <w:t xml:space="preserve">der henviser til, at Petras </w:t>
      </w:r>
      <w:proofErr w:type="spellStart"/>
      <w:r w:rsidRPr="000B5823">
        <w:t>Gražulis</w:t>
      </w:r>
      <w:proofErr w:type="spellEnd"/>
      <w:r w:rsidRPr="000B5823">
        <w:rPr>
          <w:shd w:val="clear" w:color="auto" w:fill="FFFFFF"/>
        </w:rPr>
        <w:t xml:space="preserve"> blev valgt til Europa-Parlamentet ved valget til Europa-Parlamentet i juni 2024,</w:t>
      </w:r>
      <w:r w:rsidRPr="000B5823">
        <w:t xml:space="preserve"> og at han </w:t>
      </w:r>
      <w:r w:rsidRPr="000B5823">
        <w:rPr>
          <w:shd w:val="clear" w:color="auto" w:fill="FFFFFF"/>
        </w:rPr>
        <w:t xml:space="preserve">ikke var medlem af Europa-Parlamentet på tidspunktet for den </w:t>
      </w:r>
      <w:r w:rsidR="007B1116" w:rsidRPr="000B5823">
        <w:rPr>
          <w:shd w:val="clear" w:color="auto" w:fill="FFFFFF"/>
        </w:rPr>
        <w:t>påstå</w:t>
      </w:r>
      <w:r w:rsidRPr="000B5823">
        <w:rPr>
          <w:shd w:val="clear" w:color="auto" w:fill="FFFFFF"/>
        </w:rPr>
        <w:t>ede lovovertrædelse;</w:t>
      </w:r>
    </w:p>
    <w:p w14:paraId="43D8D142" w14:textId="11CF95DC" w:rsidR="00E0144D" w:rsidRPr="000B5823" w:rsidRDefault="00E0144D" w:rsidP="00E0144D">
      <w:pPr>
        <w:pStyle w:val="NormalHanging12a"/>
        <w:widowControl/>
      </w:pPr>
      <w:r w:rsidRPr="000B5823">
        <w:t>D.</w:t>
      </w:r>
      <w:r w:rsidRPr="000B5823">
        <w:tab/>
        <w:t xml:space="preserve">der henviser til, at den </w:t>
      </w:r>
      <w:r w:rsidR="007B1116" w:rsidRPr="000B5823">
        <w:t>påstå</w:t>
      </w:r>
      <w:r w:rsidRPr="000B5823">
        <w:t xml:space="preserve">ede lovovertrædelse og den anmodning om ophævelse af Petras </w:t>
      </w:r>
      <w:proofErr w:type="spellStart"/>
      <w:r w:rsidRPr="000B5823">
        <w:t>Gražulis</w:t>
      </w:r>
      <w:proofErr w:type="spellEnd"/>
      <w:r w:rsidRPr="000B5823">
        <w:t xml:space="preserve">' immunitet, der følger deraf, ikke </w:t>
      </w:r>
      <w:r w:rsidR="007B1116" w:rsidRPr="000B5823">
        <w:t xml:space="preserve">vedrører </w:t>
      </w:r>
      <w:r w:rsidRPr="000B5823">
        <w:t>en meningstilkendegivelse eller en stemmeafgive</w:t>
      </w:r>
      <w:r w:rsidR="007B1116" w:rsidRPr="000B5823">
        <w:t>lse</w:t>
      </w:r>
      <w:r w:rsidRPr="000B5823">
        <w:t xml:space="preserve"> under udøvelsen af hans hverv,</w:t>
      </w:r>
      <w:r w:rsidR="007B1116" w:rsidRPr="000B5823">
        <w:t xml:space="preserve"> som omhandlet i</w:t>
      </w:r>
      <w:r w:rsidRPr="000B5823">
        <w:t xml:space="preserve"> artikel 8 i protokol nr. 7 vedrørende Den Europæiske Unions privilegier og immuniteter;</w:t>
      </w:r>
    </w:p>
    <w:p w14:paraId="6FE09E26" w14:textId="77777777" w:rsidR="00E0144D" w:rsidRPr="000B5823" w:rsidRDefault="00E0144D" w:rsidP="00E0144D">
      <w:pPr>
        <w:pStyle w:val="NormalHanging12a"/>
        <w:widowControl/>
      </w:pPr>
      <w:r w:rsidRPr="000B5823">
        <w:t>E</w:t>
      </w:r>
      <w:r w:rsidRPr="00F310D7">
        <w:t>.</w:t>
      </w:r>
      <w:r w:rsidRPr="00F310D7">
        <w:tab/>
        <w:t xml:space="preserve">der henviser til, at artikel 9, stk. 1, </w:t>
      </w:r>
      <w:r w:rsidRPr="004251AC">
        <w:t>litra a), i protokol nr. 7 vedrørende Den Europæiske Unions privilegier og immuniteter fastsætter, at Europa-Parlamentets medlemmer på deres eget lands område nyder de immuniteter, der tilstås medlemmerne af deres lands lovgivende forsamling;</w:t>
      </w:r>
    </w:p>
    <w:p w14:paraId="17201B75" w14:textId="6F05DCE7" w:rsidR="00E0144D" w:rsidRPr="000B5823" w:rsidRDefault="00E0144D" w:rsidP="00E0144D">
      <w:pPr>
        <w:pStyle w:val="NormalHanging12a"/>
        <w:widowControl/>
      </w:pPr>
      <w:r w:rsidRPr="000B5823">
        <w:t>F.</w:t>
      </w:r>
      <w:r w:rsidRPr="000B5823">
        <w:tab/>
        <w:t xml:space="preserve">der henviser til, at det fremgår af artikel 62 i Republikken Litauens forfatning, at "[e]t </w:t>
      </w:r>
      <w:proofErr w:type="spellStart"/>
      <w:r w:rsidRPr="000B5823">
        <w:t>Seimas</w:t>
      </w:r>
      <w:proofErr w:type="spellEnd"/>
      <w:r w:rsidRPr="000B5823">
        <w:t xml:space="preserve">-medlems person er ukrænkelig. </w:t>
      </w:r>
      <w:bookmarkStart w:id="8" w:name="_GoBack"/>
      <w:bookmarkEnd w:id="8"/>
      <w:r w:rsidR="007635F1">
        <w:t>E</w:t>
      </w:r>
      <w:r w:rsidRPr="000B5823">
        <w:t xml:space="preserve">t medlem af </w:t>
      </w:r>
      <w:proofErr w:type="spellStart"/>
      <w:r w:rsidRPr="000B5823">
        <w:t>Seimas</w:t>
      </w:r>
      <w:proofErr w:type="spellEnd"/>
      <w:r w:rsidRPr="000B5823">
        <w:t xml:space="preserve"> </w:t>
      </w:r>
      <w:r w:rsidR="007635F1">
        <w:t>må</w:t>
      </w:r>
      <w:r w:rsidR="007635F1" w:rsidRPr="000B5823">
        <w:t xml:space="preserve"> </w:t>
      </w:r>
      <w:r w:rsidRPr="000B5823">
        <w:t xml:space="preserve">ikke </w:t>
      </w:r>
      <w:r w:rsidR="007635F1">
        <w:t xml:space="preserve">holdes strafferetligt ansvarligt, </w:t>
      </w:r>
      <w:r w:rsidRPr="000B5823">
        <w:t xml:space="preserve">arresteres </w:t>
      </w:r>
      <w:r w:rsidR="007635F1">
        <w:t xml:space="preserve">eller </w:t>
      </w:r>
      <w:r w:rsidRPr="000B5823">
        <w:t xml:space="preserve">underkastes nogen andre indskrænkninger af </w:t>
      </w:r>
      <w:r w:rsidR="007635F1">
        <w:t>si</w:t>
      </w:r>
      <w:r w:rsidRPr="000B5823">
        <w:t xml:space="preserve">n personlige frihed uden </w:t>
      </w:r>
      <w:proofErr w:type="spellStart"/>
      <w:r w:rsidRPr="000B5823">
        <w:t>Seimas</w:t>
      </w:r>
      <w:proofErr w:type="spellEnd"/>
      <w:r w:rsidRPr="000B5823">
        <w:t xml:space="preserve">' samtykke. Et medlem af </w:t>
      </w:r>
      <w:proofErr w:type="spellStart"/>
      <w:r w:rsidRPr="000B5823">
        <w:t>Seimas</w:t>
      </w:r>
      <w:proofErr w:type="spellEnd"/>
      <w:r w:rsidRPr="000B5823">
        <w:t xml:space="preserve"> kan ikke forfølges for sin stemmeafgivelse eller sine taler i </w:t>
      </w:r>
      <w:proofErr w:type="spellStart"/>
      <w:r w:rsidRPr="000B5823">
        <w:t>Seimas</w:t>
      </w:r>
      <w:proofErr w:type="spellEnd"/>
      <w:r w:rsidRPr="000B5823">
        <w:t xml:space="preserve">. Et medlem af </w:t>
      </w:r>
      <w:proofErr w:type="spellStart"/>
      <w:r w:rsidRPr="000B5823">
        <w:t>Seimas</w:t>
      </w:r>
      <w:proofErr w:type="spellEnd"/>
      <w:r w:rsidRPr="000B5823">
        <w:t xml:space="preserve"> kan dog i henhold til de almindelige retsregler holdes ansvarlig for injurier eller bagvaskelse"</w:t>
      </w:r>
      <w:r w:rsidRPr="000B5823">
        <w:rPr>
          <w:sz w:val="22"/>
        </w:rPr>
        <w:t xml:space="preserve">; </w:t>
      </w:r>
    </w:p>
    <w:p w14:paraId="45CA1086" w14:textId="77777777" w:rsidR="00E0144D" w:rsidRPr="000B5823" w:rsidRDefault="00E0144D" w:rsidP="00E0144D">
      <w:pPr>
        <w:pStyle w:val="NormalHanging12a"/>
        <w:widowControl/>
      </w:pPr>
      <w:r w:rsidRPr="000B5823">
        <w:t>G.</w:t>
      </w:r>
      <w:r w:rsidRPr="000B5823">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73E8C748" w14:textId="77777777" w:rsidR="00E0144D" w:rsidRPr="000B5823" w:rsidRDefault="00E0144D" w:rsidP="00E0144D">
      <w:pPr>
        <w:pStyle w:val="NormalHanging12a"/>
        <w:widowControl/>
      </w:pPr>
      <w:r w:rsidRPr="000B5823">
        <w:t>H.</w:t>
      </w:r>
      <w:r w:rsidRPr="000B5823">
        <w:tab/>
        <w:t>der henviser til, at parlamentarisk immunitet i henhold til forretningsordenens artikel 5, stk. 2, ikke er et medlems personlige privilegium, men derimod en garanti for Parlamentets uafhængighed som helhed og for dets medlemmers uafhængighed;</w:t>
      </w:r>
    </w:p>
    <w:p w14:paraId="443216DB" w14:textId="77777777" w:rsidR="00E0144D" w:rsidRPr="000B5823" w:rsidRDefault="00E0144D" w:rsidP="00E0144D">
      <w:pPr>
        <w:pStyle w:val="NormalHanging12a"/>
        <w:widowControl/>
      </w:pPr>
      <w:r w:rsidRPr="000B5823">
        <w:t>I.</w:t>
      </w:r>
      <w:r w:rsidRPr="00F310D7">
        <w:tab/>
        <w:t xml:space="preserve">der henviser til, at Parlamentet i den foreliggende sag ikke har fundet noget bevis på </w:t>
      </w:r>
      <w:proofErr w:type="spellStart"/>
      <w:r w:rsidRPr="00F310D7">
        <w:t>fumus</w:t>
      </w:r>
      <w:proofErr w:type="spellEnd"/>
      <w:r w:rsidRPr="00F310D7">
        <w:t xml:space="preserve"> </w:t>
      </w:r>
      <w:proofErr w:type="spellStart"/>
      <w:r w:rsidRPr="00F310D7">
        <w:t>persecutionis</w:t>
      </w:r>
      <w:proofErr w:type="spellEnd"/>
      <w:r w:rsidRPr="00F310D7">
        <w:t xml:space="preserve">, dvs. faktiske omstændigheder, der antyder, at den pågældende </w:t>
      </w:r>
      <w:r w:rsidRPr="00F310D7">
        <w:lastRenderedPageBreak/>
        <w:t>retssag er blevet indledt med det formål at skade medlemmets politiske virk</w:t>
      </w:r>
      <w:r w:rsidRPr="000B5823">
        <w:t>somhed i dennes egenskab af medlem af Europa-Parlamentet;</w:t>
      </w:r>
    </w:p>
    <w:p w14:paraId="50A3B995" w14:textId="3F0B4B4E" w:rsidR="00E0144D" w:rsidRPr="004251AC" w:rsidRDefault="00E0144D" w:rsidP="00E0144D">
      <w:pPr>
        <w:pStyle w:val="NormalHanging12a"/>
        <w:widowControl/>
      </w:pPr>
      <w:r w:rsidRPr="000B5823">
        <w:t>J.</w:t>
      </w:r>
      <w:r w:rsidRPr="000B5823">
        <w:tab/>
        <w:t xml:space="preserve">der henviser til, at Parlamentet </w:t>
      </w:r>
      <w:r w:rsidRPr="004251AC">
        <w:t xml:space="preserve">ikke kan sidestilles med en domstol, og at medlemmet </w:t>
      </w:r>
      <w:r w:rsidRPr="000B5823">
        <w:t>i forbindelse med en procedure om ophævelse af immunitet ikke kan betragtes som en "anklaget"</w:t>
      </w:r>
      <w:r w:rsidRPr="00F310D7">
        <w:rPr>
          <w:vertAlign w:val="superscript"/>
        </w:rPr>
        <w:footnoteReference w:id="2"/>
      </w:r>
      <w:r w:rsidRPr="00F310D7">
        <w:t>;</w:t>
      </w:r>
    </w:p>
    <w:p w14:paraId="341363CB" w14:textId="77777777" w:rsidR="00E0144D" w:rsidRPr="000B5823" w:rsidRDefault="00E0144D" w:rsidP="00E0144D">
      <w:pPr>
        <w:pStyle w:val="NormalHanging12a"/>
        <w:widowControl/>
      </w:pPr>
      <w:r w:rsidRPr="000B5823">
        <w:t>1.</w:t>
      </w:r>
      <w:r w:rsidRPr="000B5823">
        <w:tab/>
        <w:t xml:space="preserve">vedtager at ophæve Petras </w:t>
      </w:r>
      <w:proofErr w:type="spellStart"/>
      <w:r w:rsidRPr="000B5823">
        <w:t>Gražulis</w:t>
      </w:r>
      <w:proofErr w:type="spellEnd"/>
      <w:r w:rsidRPr="000B5823">
        <w:t>' immunitet;</w:t>
      </w:r>
    </w:p>
    <w:p w14:paraId="66E83457" w14:textId="77777777" w:rsidR="00E365E1" w:rsidRPr="000B5823" w:rsidRDefault="00E0144D" w:rsidP="009675EA">
      <w:pPr>
        <w:ind w:left="567" w:hanging="567"/>
      </w:pPr>
      <w:r w:rsidRPr="000B5823">
        <w:t>2.</w:t>
      </w:r>
      <w:r w:rsidRPr="000B5823">
        <w:tab/>
        <w:t xml:space="preserve">pålægger sin formand straks at sende denne afgørelse og det kompetente udvalgs betænkning til Republikken Litauens kompetente myndigheder og til Petras </w:t>
      </w:r>
      <w:proofErr w:type="spellStart"/>
      <w:r w:rsidRPr="000B5823">
        <w:t>Gražulis</w:t>
      </w:r>
      <w:proofErr w:type="spellEnd"/>
      <w:r w:rsidRPr="000B5823">
        <w:t>.</w:t>
      </w:r>
    </w:p>
    <w:sectPr w:rsidR="00E365E1" w:rsidRPr="000B5823" w:rsidSect="002F553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639FB" w14:textId="77777777" w:rsidR="00F41640" w:rsidRPr="002F5531" w:rsidRDefault="00F41640">
      <w:r w:rsidRPr="002F5531">
        <w:separator/>
      </w:r>
    </w:p>
  </w:endnote>
  <w:endnote w:type="continuationSeparator" w:id="0">
    <w:p w14:paraId="49E76210" w14:textId="77777777" w:rsidR="00F41640" w:rsidRPr="002F5531" w:rsidRDefault="00F41640">
      <w:r w:rsidRPr="002F55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3B34A" w14:textId="77777777" w:rsidR="00064002" w:rsidRPr="002F55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6E6A4" w14:textId="77777777" w:rsidR="00064002" w:rsidRPr="002F55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A44B9" w14:textId="77777777" w:rsidR="00064002" w:rsidRPr="002F55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8822B" w14:textId="77777777" w:rsidR="00F41640" w:rsidRPr="002F5531" w:rsidRDefault="00F41640">
      <w:r w:rsidRPr="002F5531">
        <w:separator/>
      </w:r>
    </w:p>
  </w:footnote>
  <w:footnote w:type="continuationSeparator" w:id="0">
    <w:p w14:paraId="635C1B2A" w14:textId="77777777" w:rsidR="00F41640" w:rsidRPr="002F5531" w:rsidRDefault="00F41640">
      <w:r w:rsidRPr="002F5531">
        <w:continuationSeparator/>
      </w:r>
    </w:p>
  </w:footnote>
  <w:footnote w:id="1">
    <w:p w14:paraId="43D45B11" w14:textId="77777777" w:rsidR="00E0144D" w:rsidRPr="002F5531" w:rsidRDefault="00E0144D" w:rsidP="002F5531">
      <w:pPr>
        <w:pStyle w:val="FootnoteText"/>
        <w:ind w:left="567" w:hanging="567"/>
        <w:rPr>
          <w:sz w:val="24"/>
          <w:lang w:val="da-DK"/>
        </w:rPr>
      </w:pPr>
      <w:r w:rsidRPr="002F5531">
        <w:rPr>
          <w:rStyle w:val="FootnoteReference"/>
          <w:sz w:val="24"/>
          <w:lang w:val="da-DK"/>
        </w:rPr>
        <w:footnoteRef/>
      </w:r>
      <w:r w:rsidR="002F5531" w:rsidRPr="002F5531">
        <w:rPr>
          <w:sz w:val="24"/>
          <w:lang w:val="da-DK"/>
        </w:rPr>
        <w:t xml:space="preserve"> </w:t>
      </w:r>
      <w:r w:rsidR="002F5531" w:rsidRPr="002F5531">
        <w:rPr>
          <w:sz w:val="24"/>
          <w:lang w:val="da-DK"/>
        </w:rPr>
        <w:tab/>
      </w:r>
      <w:r w:rsidRPr="002F5531">
        <w:rPr>
          <w:sz w:val="24"/>
          <w:lang w:val="da-DK"/>
        </w:rPr>
        <w:t xml:space="preserve">Domstolens dom af 21.10.2008, </w:t>
      </w:r>
      <w:proofErr w:type="spellStart"/>
      <w:r w:rsidRPr="002F5531">
        <w:rPr>
          <w:sz w:val="24"/>
          <w:lang w:val="da-DK"/>
        </w:rPr>
        <w:t>Marra</w:t>
      </w:r>
      <w:proofErr w:type="spellEnd"/>
      <w:r w:rsidRPr="002F5531">
        <w:rPr>
          <w:sz w:val="24"/>
          <w:lang w:val="da-DK"/>
        </w:rPr>
        <w:t xml:space="preserve"> mod De </w:t>
      </w:r>
      <w:proofErr w:type="spellStart"/>
      <w:r w:rsidRPr="002F5531">
        <w:rPr>
          <w:sz w:val="24"/>
          <w:lang w:val="da-DK"/>
        </w:rPr>
        <w:t>Gregorio</w:t>
      </w:r>
      <w:proofErr w:type="spellEnd"/>
      <w:r w:rsidRPr="002F5531">
        <w:rPr>
          <w:sz w:val="24"/>
          <w:lang w:val="da-DK"/>
        </w:rPr>
        <w:t xml:space="preserve"> og </w:t>
      </w:r>
      <w:proofErr w:type="spellStart"/>
      <w:r w:rsidRPr="002F5531">
        <w:rPr>
          <w:sz w:val="24"/>
          <w:lang w:val="da-DK"/>
        </w:rPr>
        <w:t>Clemente</w:t>
      </w:r>
      <w:proofErr w:type="spellEnd"/>
      <w:r w:rsidRPr="002F5531">
        <w:rPr>
          <w:sz w:val="24"/>
          <w:lang w:val="da-DK"/>
        </w:rPr>
        <w:t xml:space="preserve">, forenede sager C-200/07 og C-201/07, ECLI:EU:C:2008:579, Rettens dom af 19.3.2010, </w:t>
      </w:r>
      <w:proofErr w:type="spellStart"/>
      <w:r w:rsidRPr="002F5531">
        <w:rPr>
          <w:sz w:val="24"/>
          <w:lang w:val="da-DK"/>
        </w:rPr>
        <w:t>Gollnisch</w:t>
      </w:r>
      <w:proofErr w:type="spellEnd"/>
      <w:r w:rsidRPr="002F5531">
        <w:rPr>
          <w:sz w:val="24"/>
          <w:lang w:val="da-DK"/>
        </w:rPr>
        <w:t xml:space="preserve"> mod Parlamentet, T-42/06, ECLI:EU:T:2010:102, Domstolens dom af 6.9.2011, </w:t>
      </w:r>
      <w:proofErr w:type="spellStart"/>
      <w:r w:rsidRPr="002F5531">
        <w:rPr>
          <w:sz w:val="24"/>
          <w:lang w:val="da-DK"/>
        </w:rPr>
        <w:t>Patriciello</w:t>
      </w:r>
      <w:proofErr w:type="spellEnd"/>
      <w:r w:rsidRPr="002F5531">
        <w:rPr>
          <w:sz w:val="24"/>
          <w:lang w:val="da-DK"/>
        </w:rPr>
        <w:t xml:space="preserve">, C-163/10, ECLI:EU:C:2011:543; Rettens dom af 17.1.2013, </w:t>
      </w:r>
      <w:proofErr w:type="spellStart"/>
      <w:r w:rsidRPr="002F5531">
        <w:rPr>
          <w:sz w:val="24"/>
          <w:lang w:val="da-DK"/>
        </w:rPr>
        <w:t>Gollnisch</w:t>
      </w:r>
      <w:proofErr w:type="spellEnd"/>
      <w:r w:rsidRPr="002F5531">
        <w:rPr>
          <w:sz w:val="24"/>
          <w:lang w:val="da-DK"/>
        </w:rPr>
        <w:t xml:space="preserve"> mod Parlamentet, forenede sager T-346/11 og T-347/11, ECLI:EU:T:2013:23, Domstolens dom af 19.12.2019, </w:t>
      </w:r>
      <w:proofErr w:type="spellStart"/>
      <w:r w:rsidRPr="002F5531">
        <w:rPr>
          <w:sz w:val="24"/>
          <w:lang w:val="da-DK"/>
        </w:rPr>
        <w:t>Junqueras</w:t>
      </w:r>
      <w:proofErr w:type="spellEnd"/>
      <w:r w:rsidRPr="002F5531">
        <w:rPr>
          <w:sz w:val="24"/>
          <w:lang w:val="da-DK"/>
        </w:rPr>
        <w:t xml:space="preserve"> Vies, C-502/19, ECLI:EU:C:2019:1115 og Rettens dom af 5.7.2023, </w:t>
      </w:r>
      <w:proofErr w:type="spellStart"/>
      <w:r w:rsidRPr="002F5531">
        <w:rPr>
          <w:sz w:val="24"/>
          <w:lang w:val="da-DK"/>
        </w:rPr>
        <w:t>Puigdemont</w:t>
      </w:r>
      <w:proofErr w:type="spellEnd"/>
      <w:r w:rsidRPr="002F5531">
        <w:rPr>
          <w:sz w:val="24"/>
          <w:lang w:val="da-DK"/>
        </w:rPr>
        <w:t xml:space="preserve"> i </w:t>
      </w:r>
      <w:proofErr w:type="spellStart"/>
      <w:r w:rsidRPr="002F5531">
        <w:rPr>
          <w:sz w:val="24"/>
          <w:lang w:val="da-DK"/>
        </w:rPr>
        <w:t>Casamajó</w:t>
      </w:r>
      <w:proofErr w:type="spellEnd"/>
      <w:r w:rsidRPr="002F5531">
        <w:rPr>
          <w:sz w:val="24"/>
          <w:lang w:val="da-DK"/>
        </w:rPr>
        <w:t xml:space="preserve"> m.fl. mod Parlamentet, T-272/21, ECLI:EU:T:2023:373.</w:t>
      </w:r>
    </w:p>
  </w:footnote>
  <w:footnote w:id="2">
    <w:p w14:paraId="44B66368" w14:textId="77777777" w:rsidR="00E0144D" w:rsidRPr="002F5531" w:rsidRDefault="00E0144D" w:rsidP="002F5531">
      <w:pPr>
        <w:pStyle w:val="FootnoteText"/>
        <w:ind w:left="567" w:hanging="567"/>
        <w:rPr>
          <w:sz w:val="24"/>
          <w:lang w:val="da-DK"/>
        </w:rPr>
      </w:pPr>
      <w:r w:rsidRPr="002F5531">
        <w:rPr>
          <w:rStyle w:val="FootnoteReference"/>
          <w:sz w:val="24"/>
          <w:lang w:val="da-DK"/>
        </w:rPr>
        <w:footnoteRef/>
      </w:r>
      <w:r w:rsidR="002F5531" w:rsidRPr="002F5531">
        <w:rPr>
          <w:sz w:val="24"/>
          <w:lang w:val="da-DK"/>
        </w:rPr>
        <w:t xml:space="preserve"> </w:t>
      </w:r>
      <w:r w:rsidR="002F5531" w:rsidRPr="002F5531">
        <w:rPr>
          <w:sz w:val="24"/>
          <w:lang w:val="da-DK"/>
        </w:rPr>
        <w:tab/>
      </w:r>
      <w:r w:rsidRPr="002F5531">
        <w:rPr>
          <w:sz w:val="24"/>
          <w:lang w:val="da-DK"/>
        </w:rPr>
        <w:t xml:space="preserve">Rettens dom af 30.4.2019, </w:t>
      </w:r>
      <w:proofErr w:type="spellStart"/>
      <w:r w:rsidRPr="002F5531">
        <w:rPr>
          <w:sz w:val="24"/>
          <w:lang w:val="da-DK"/>
        </w:rPr>
        <w:t>Briois</w:t>
      </w:r>
      <w:proofErr w:type="spellEnd"/>
      <w:r w:rsidRPr="002F5531">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65C9" w14:textId="77777777" w:rsidR="00064002" w:rsidRPr="002F55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6BD8A" w14:textId="77777777" w:rsidR="00064002" w:rsidRPr="002F55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2AD3D" w14:textId="77777777" w:rsidR="00064002" w:rsidRPr="002F55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DA"/>
    <w:docVar w:name="dvnumam" w:val="0"/>
    <w:docVar w:name="dvpe" w:val="770.080"/>
    <w:docVar w:name="dvrapporteur" w:val="Ordfører: "/>
    <w:docVar w:name="dvtitre" w:val="Europa-Parlamentets afgørelse af xx. maj 2025 om anmodning om ophævelse af Petras Gražulis' immunitet(2024/2089(IMM))"/>
  </w:docVars>
  <w:rsids>
    <w:rsidRoot w:val="00F41640"/>
    <w:rsid w:val="00002272"/>
    <w:rsid w:val="00064002"/>
    <w:rsid w:val="000677B9"/>
    <w:rsid w:val="000831BA"/>
    <w:rsid w:val="000A42CC"/>
    <w:rsid w:val="000B5823"/>
    <w:rsid w:val="000E7DD9"/>
    <w:rsid w:val="0010095E"/>
    <w:rsid w:val="00125B37"/>
    <w:rsid w:val="00187494"/>
    <w:rsid w:val="001F32AE"/>
    <w:rsid w:val="002767FF"/>
    <w:rsid w:val="002B18FE"/>
    <w:rsid w:val="002B5493"/>
    <w:rsid w:val="002F5531"/>
    <w:rsid w:val="00343214"/>
    <w:rsid w:val="00361C00"/>
    <w:rsid w:val="00395FA1"/>
    <w:rsid w:val="003E15D4"/>
    <w:rsid w:val="00411CCE"/>
    <w:rsid w:val="0041666E"/>
    <w:rsid w:val="00421060"/>
    <w:rsid w:val="004251A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5F1"/>
    <w:rsid w:val="00786EC0"/>
    <w:rsid w:val="007B1116"/>
    <w:rsid w:val="007D1690"/>
    <w:rsid w:val="007E22AD"/>
    <w:rsid w:val="00817416"/>
    <w:rsid w:val="00842779"/>
    <w:rsid w:val="00865F67"/>
    <w:rsid w:val="00881A7B"/>
    <w:rsid w:val="008840E5"/>
    <w:rsid w:val="00887B3E"/>
    <w:rsid w:val="008C2AC6"/>
    <w:rsid w:val="00930C23"/>
    <w:rsid w:val="0093193B"/>
    <w:rsid w:val="00934C03"/>
    <w:rsid w:val="009509D8"/>
    <w:rsid w:val="00950B64"/>
    <w:rsid w:val="009675EA"/>
    <w:rsid w:val="0097765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703"/>
    <w:rsid w:val="00C05BFE"/>
    <w:rsid w:val="00C23CD4"/>
    <w:rsid w:val="00C35752"/>
    <w:rsid w:val="00C61C0C"/>
    <w:rsid w:val="00C941CB"/>
    <w:rsid w:val="00C964A4"/>
    <w:rsid w:val="00CC2357"/>
    <w:rsid w:val="00CF071A"/>
    <w:rsid w:val="00D058B8"/>
    <w:rsid w:val="00D56C11"/>
    <w:rsid w:val="00D834A0"/>
    <w:rsid w:val="00D872DF"/>
    <w:rsid w:val="00D91E21"/>
    <w:rsid w:val="00DA7FCD"/>
    <w:rsid w:val="00E0144D"/>
    <w:rsid w:val="00E365E1"/>
    <w:rsid w:val="00E820A4"/>
    <w:rsid w:val="00EB006A"/>
    <w:rsid w:val="00EB4772"/>
    <w:rsid w:val="00ED169E"/>
    <w:rsid w:val="00ED4235"/>
    <w:rsid w:val="00F04346"/>
    <w:rsid w:val="00F075DC"/>
    <w:rsid w:val="00F149E9"/>
    <w:rsid w:val="00F310D7"/>
    <w:rsid w:val="00F4164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BD26A"/>
  <w15:chartTrackingRefBased/>
  <w15:docId w15:val="{B373E117-8C4A-4359-B48C-ABAA42E8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144D"/>
    <w:pPr>
      <w:spacing w:after="240"/>
      <w:ind w:left="567" w:hanging="567"/>
    </w:pPr>
  </w:style>
  <w:style w:type="paragraph" w:customStyle="1" w:styleId="EPComma">
    <w:name w:val="EPComma"/>
    <w:basedOn w:val="Normal"/>
    <w:rsid w:val="00E0144D"/>
    <w:pPr>
      <w:spacing w:before="480" w:after="240"/>
    </w:pPr>
  </w:style>
  <w:style w:type="character" w:styleId="CommentReference">
    <w:name w:val="annotation reference"/>
    <w:basedOn w:val="DefaultParagraphFont"/>
    <w:rsid w:val="00BF0703"/>
    <w:rPr>
      <w:sz w:val="16"/>
      <w:szCs w:val="16"/>
    </w:rPr>
  </w:style>
  <w:style w:type="paragraph" w:styleId="CommentText">
    <w:name w:val="annotation text"/>
    <w:basedOn w:val="Normal"/>
    <w:link w:val="CommentTextChar"/>
    <w:rsid w:val="00BF0703"/>
    <w:rPr>
      <w:sz w:val="20"/>
    </w:rPr>
  </w:style>
  <w:style w:type="character" w:customStyle="1" w:styleId="CommentTextChar">
    <w:name w:val="Comment Text Char"/>
    <w:basedOn w:val="DefaultParagraphFont"/>
    <w:link w:val="CommentText"/>
    <w:rsid w:val="00BF0703"/>
    <w:rPr>
      <w:lang w:val="da-DK"/>
    </w:rPr>
  </w:style>
  <w:style w:type="paragraph" w:styleId="CommentSubject">
    <w:name w:val="annotation subject"/>
    <w:basedOn w:val="CommentText"/>
    <w:next w:val="CommentText"/>
    <w:link w:val="CommentSubjectChar"/>
    <w:rsid w:val="00BF0703"/>
    <w:rPr>
      <w:b/>
      <w:bCs/>
    </w:rPr>
  </w:style>
  <w:style w:type="character" w:customStyle="1" w:styleId="CommentSubjectChar">
    <w:name w:val="Comment Subject Char"/>
    <w:basedOn w:val="CommentTextChar"/>
    <w:link w:val="CommentSubject"/>
    <w:rsid w:val="00BF0703"/>
    <w:rPr>
      <w:b/>
      <w:bCs/>
      <w:lang w:val="da-DK"/>
    </w:rPr>
  </w:style>
  <w:style w:type="paragraph" w:styleId="BalloonText">
    <w:name w:val="Balloon Text"/>
    <w:basedOn w:val="Normal"/>
    <w:link w:val="BalloonTextChar"/>
    <w:rsid w:val="00BF0703"/>
    <w:rPr>
      <w:rFonts w:ascii="Segoe UI" w:hAnsi="Segoe UI" w:cs="Segoe UI"/>
      <w:sz w:val="18"/>
      <w:szCs w:val="18"/>
    </w:rPr>
  </w:style>
  <w:style w:type="character" w:customStyle="1" w:styleId="BalloonTextChar">
    <w:name w:val="Balloon Text Char"/>
    <w:basedOn w:val="DefaultParagraphFont"/>
    <w:link w:val="BalloonText"/>
    <w:rsid w:val="00BF0703"/>
    <w:rPr>
      <w:rFonts w:ascii="Segoe UI" w:hAnsi="Segoe UI" w:cs="Segoe UI"/>
      <w:sz w:val="18"/>
      <w:szCs w:val="18"/>
      <w:lang w:val="da-DK"/>
    </w:rPr>
  </w:style>
  <w:style w:type="character" w:styleId="Hyperlink">
    <w:name w:val="Hyperlink"/>
    <w:basedOn w:val="DefaultParagraphFont"/>
    <w:rsid w:val="00BF07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2353C-3B4B-4AED-81BC-710703B4D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789</Words>
  <Characters>4576</Characters>
  <Application>Microsoft Office Word</Application>
  <DocSecurity>0</DocSecurity>
  <Lines>89</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2025-05-06T10:51:00Z</dcterms:created>
  <dcterms:modified xsi:type="dcterms:W3CDTF">2025-05-06T10:51:00Z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P10_TA-PROV(2025)0068_A10-0078_2025_</vt:lpwstr>
  </property>
  <property fmtid="{D5CDD505-2E9C-101B-9397-08002B2CF9AE}" pid="4" name="&lt;Type&gt;">
    <vt:lpwstr>RR</vt:lpwstr>
  </property>
</Properties>
</file>