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22C" w14:paraId="578577C5" w14:textId="77777777" w:rsidTr="0010095E">
        <w:trPr>
          <w:trHeight w:hRule="exact" w:val="1418"/>
        </w:trPr>
        <w:tc>
          <w:tcPr>
            <w:tcW w:w="6804" w:type="dxa"/>
            <w:shd w:val="clear" w:color="auto" w:fill="auto"/>
            <w:vAlign w:val="center"/>
          </w:tcPr>
          <w:p w14:paraId="319A7E47" w14:textId="77777777" w:rsidR="00751A4A" w:rsidRPr="00C9022C" w:rsidRDefault="00434CEC" w:rsidP="0010095E">
            <w:pPr>
              <w:pStyle w:val="EPName"/>
            </w:pPr>
            <w:bookmarkStart w:id="0" w:name="_GoBack"/>
            <w:bookmarkEnd w:id="0"/>
            <w:r w:rsidRPr="00C9022C">
              <w:t>Euroopan parlamentti</w:t>
            </w:r>
          </w:p>
          <w:p w14:paraId="0EEB406A" w14:textId="77777777" w:rsidR="00751A4A" w:rsidRPr="00C9022C" w:rsidRDefault="005F1B17" w:rsidP="005F1B17">
            <w:pPr>
              <w:pStyle w:val="EPTerm"/>
              <w:rPr>
                <w:rStyle w:val="HideTWBExt"/>
                <w:noProof w:val="0"/>
                <w:vanish w:val="0"/>
                <w:color w:val="auto"/>
              </w:rPr>
            </w:pPr>
            <w:r w:rsidRPr="00C9022C">
              <w:t>2024</w:t>
            </w:r>
            <w:r w:rsidR="00817416" w:rsidRPr="00C9022C">
              <w:t>-202</w:t>
            </w:r>
            <w:r w:rsidRPr="00C9022C">
              <w:t>9</w:t>
            </w:r>
          </w:p>
        </w:tc>
        <w:tc>
          <w:tcPr>
            <w:tcW w:w="2268" w:type="dxa"/>
            <w:shd w:val="clear" w:color="auto" w:fill="auto"/>
          </w:tcPr>
          <w:p w14:paraId="7212D515" w14:textId="279043E7" w:rsidR="00751A4A" w:rsidRPr="00C9022C" w:rsidRDefault="00187494" w:rsidP="0010095E">
            <w:pPr>
              <w:pStyle w:val="EPLogo"/>
            </w:pPr>
            <w:r w:rsidRPr="00C9022C">
              <w:rPr>
                <w:noProof/>
                <w:lang w:val="en-GB"/>
              </w:rPr>
              <w:drawing>
                <wp:inline distT="0" distB="0" distL="0" distR="0" wp14:anchorId="0D6CB805" wp14:editId="1EDC43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50A532" w14:textId="77777777" w:rsidR="00D058B8" w:rsidRPr="00C9022C" w:rsidRDefault="00D058B8" w:rsidP="004C5D52">
      <w:pPr>
        <w:pStyle w:val="LineTop"/>
      </w:pPr>
    </w:p>
    <w:p w14:paraId="4EDE46D4" w14:textId="77777777" w:rsidR="00680577" w:rsidRPr="00C9022C" w:rsidRDefault="00434CEC" w:rsidP="00680577">
      <w:pPr>
        <w:pStyle w:val="EPBodyTA1"/>
      </w:pPr>
      <w:r w:rsidRPr="00C9022C">
        <w:t>HYVÄKSYTYT TEKSTIT</w:t>
      </w:r>
    </w:p>
    <w:p w14:paraId="405020C9" w14:textId="77777777" w:rsidR="00D058B8" w:rsidRPr="00C9022C" w:rsidRDefault="00D058B8" w:rsidP="00D058B8">
      <w:pPr>
        <w:pStyle w:val="LineBottom"/>
      </w:pPr>
    </w:p>
    <w:p w14:paraId="5D069CD4" w14:textId="0C15B69C" w:rsidR="00434CEC" w:rsidRPr="00C9022C" w:rsidRDefault="00434CEC" w:rsidP="00434CEC">
      <w:pPr>
        <w:pStyle w:val="ATHeading1"/>
      </w:pPr>
      <w:bookmarkStart w:id="1" w:name="TANumber"/>
      <w:r w:rsidRPr="00C9022C">
        <w:t>P10_TA(2025)00</w:t>
      </w:r>
      <w:r w:rsidR="00A37A63" w:rsidRPr="00C9022C">
        <w:t>68</w:t>
      </w:r>
      <w:bookmarkEnd w:id="1"/>
    </w:p>
    <w:p w14:paraId="61BB5ABD" w14:textId="556A0EDC" w:rsidR="00434CEC" w:rsidRPr="00C9022C" w:rsidRDefault="00DC3483" w:rsidP="00434CEC">
      <w:pPr>
        <w:pStyle w:val="ATHeading2"/>
      </w:pPr>
      <w:bookmarkStart w:id="2" w:name="title"/>
      <w:r w:rsidRPr="00C9022C">
        <w:t>Petras Gražulisin koskemattomuuden pidättämistä koskeva pyyntö</w:t>
      </w:r>
      <w:bookmarkEnd w:id="2"/>
    </w:p>
    <w:p w14:paraId="6B94E9D0" w14:textId="77777777" w:rsidR="00434CEC" w:rsidRPr="00C9022C" w:rsidRDefault="00434CEC" w:rsidP="00434CEC">
      <w:pPr>
        <w:rPr>
          <w:i/>
          <w:vanish/>
        </w:rPr>
      </w:pPr>
      <w:r w:rsidRPr="00C9022C">
        <w:rPr>
          <w:i/>
        </w:rPr>
        <w:fldChar w:fldCharType="begin"/>
      </w:r>
      <w:r w:rsidRPr="00C9022C">
        <w:rPr>
          <w:i/>
        </w:rPr>
        <w:instrText xml:space="preserve"> TC"(</w:instrText>
      </w:r>
      <w:bookmarkStart w:id="3" w:name="DocNumber"/>
      <w:r w:rsidRPr="00C9022C">
        <w:rPr>
          <w:i/>
        </w:rPr>
        <w:instrText>A10-0078/2025</w:instrText>
      </w:r>
      <w:bookmarkEnd w:id="3"/>
      <w:r w:rsidRPr="00C9022C">
        <w:rPr>
          <w:i/>
        </w:rPr>
        <w:instrText xml:space="preserve"> - Esittelijä: Pascale Piera)"\l3 \n&gt; \* MERGEFORMAT </w:instrText>
      </w:r>
      <w:r w:rsidRPr="00C9022C">
        <w:rPr>
          <w:i/>
        </w:rPr>
        <w:fldChar w:fldCharType="end"/>
      </w:r>
    </w:p>
    <w:p w14:paraId="4ADAB2A5" w14:textId="60E7634B" w:rsidR="00434CEC" w:rsidRPr="00C9022C" w:rsidRDefault="00434CEC" w:rsidP="00434CEC">
      <w:pPr>
        <w:rPr>
          <w:vanish/>
        </w:rPr>
      </w:pPr>
      <w:bookmarkStart w:id="4" w:name="Commission"/>
      <w:r w:rsidRPr="00C9022C">
        <w:rPr>
          <w:vanish/>
        </w:rPr>
        <w:t>Oikeudellisten asioiden valiokunta</w:t>
      </w:r>
      <w:bookmarkEnd w:id="4"/>
    </w:p>
    <w:p w14:paraId="430434F0" w14:textId="79755C2A" w:rsidR="00434CEC" w:rsidRPr="00C9022C" w:rsidRDefault="00434CEC" w:rsidP="00434CEC">
      <w:pPr>
        <w:rPr>
          <w:vanish/>
        </w:rPr>
      </w:pPr>
      <w:bookmarkStart w:id="5" w:name="PE"/>
      <w:r w:rsidRPr="00C9022C">
        <w:rPr>
          <w:vanish/>
        </w:rPr>
        <w:t>PE770.080</w:t>
      </w:r>
      <w:bookmarkEnd w:id="5"/>
    </w:p>
    <w:p w14:paraId="136FC297" w14:textId="7AAE206A" w:rsidR="00434CEC" w:rsidRPr="00C9022C" w:rsidRDefault="00434CEC" w:rsidP="00434CEC">
      <w:pPr>
        <w:pStyle w:val="ATHeading3"/>
      </w:pPr>
      <w:bookmarkStart w:id="6" w:name="Sujet"/>
      <w:r w:rsidRPr="00C9022C">
        <w:t>Euroopan parlamentin päätös 6. toukokuuta 2025 Petras Gražulisin koskemattomuuden pidättämistä koskevasta pyynnöstä</w:t>
      </w:r>
      <w:bookmarkEnd w:id="6"/>
      <w:r w:rsidRPr="00C9022C">
        <w:t xml:space="preserve"> </w:t>
      </w:r>
      <w:bookmarkStart w:id="7" w:name="References"/>
      <w:r w:rsidRPr="00C9022C">
        <w:t>(2024/2089(IMM))</w:t>
      </w:r>
      <w:bookmarkEnd w:id="7"/>
    </w:p>
    <w:p w14:paraId="4188E7CF" w14:textId="77777777" w:rsidR="0013327E" w:rsidRPr="00C9022C" w:rsidRDefault="0013327E" w:rsidP="00DC3483">
      <w:pPr>
        <w:pStyle w:val="EPComma"/>
        <w:widowControl/>
      </w:pPr>
      <w:bookmarkStart w:id="8" w:name="TextBodyBegin"/>
      <w:bookmarkEnd w:id="8"/>
      <w:r w:rsidRPr="00C9022C">
        <w:rPr>
          <w:i/>
        </w:rPr>
        <w:t>Euroopan parlamentti</w:t>
      </w:r>
      <w:r w:rsidRPr="00C9022C">
        <w:t>, joka</w:t>
      </w:r>
    </w:p>
    <w:p w14:paraId="3C31B895" w14:textId="77777777" w:rsidR="0013327E" w:rsidRPr="00C9022C" w:rsidRDefault="0013327E" w:rsidP="00DC3483">
      <w:pPr>
        <w:pStyle w:val="NormalHanging12a"/>
        <w:widowControl/>
      </w:pPr>
      <w:r w:rsidRPr="00C9022C">
        <w:t>–</w:t>
      </w:r>
      <w:r w:rsidRPr="00C9022C">
        <w:tab/>
        <w:t>ottaa huomioon Liettuan tasavallan yleinen syyttäjän 16. syyskuuta 2024 esittämän, Petras Gražulisin koskemattomuuden pidättämistä koskevan pyynnön, joka liittyy häntä vastaan vireille pantuun rikosoikeudelliseen menettelyyn ja josta ilmoitettiin täysistunnossa 24. lokakuuta 2024,</w:t>
      </w:r>
    </w:p>
    <w:p w14:paraId="5A82F170" w14:textId="77777777" w:rsidR="0013327E" w:rsidRPr="00C9022C" w:rsidRDefault="0013327E" w:rsidP="00DC3483">
      <w:pPr>
        <w:pStyle w:val="NormalHanging12a"/>
        <w:widowControl/>
      </w:pPr>
      <w:r w:rsidRPr="00C9022C">
        <w:t>–</w:t>
      </w:r>
      <w:r w:rsidRPr="00C9022C">
        <w:tab/>
        <w:t>on kuullut Petras Gražulisia 18. maaliskuuta 2025 työjärjestyksen 9 artiklan 6 kohdan mukaisesti,</w:t>
      </w:r>
    </w:p>
    <w:p w14:paraId="6C753033" w14:textId="77777777" w:rsidR="0013327E" w:rsidRPr="00C9022C" w:rsidRDefault="0013327E" w:rsidP="00DC3483">
      <w:pPr>
        <w:pStyle w:val="NormalHanging12a"/>
        <w:widowControl/>
      </w:pPr>
      <w:r w:rsidRPr="00C9022C">
        <w:t>–</w:t>
      </w:r>
      <w:r w:rsidRPr="00C9022C">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66C6FE8D" w14:textId="77777777" w:rsidR="0013327E" w:rsidRPr="00C9022C" w:rsidRDefault="0013327E" w:rsidP="00DC3483">
      <w:pPr>
        <w:pStyle w:val="NormalHanging12a"/>
        <w:widowControl/>
      </w:pPr>
      <w:r w:rsidRPr="00C9022C">
        <w:t>–</w:t>
      </w:r>
      <w:r w:rsidRPr="00C9022C">
        <w:tab/>
        <w:t>ottaa huomioon Euroopan unionin tuomioistuimen 21. lokakuuta 2008, 19. maaliskuuta 2010, 6. syyskuuta 2011, 17. tammikuuta 2013, 19. joulukuuta 2019 ja 5. heinäkuuta 2023 antamat tuomiot</w:t>
      </w:r>
      <w:r w:rsidRPr="00C9022C">
        <w:rPr>
          <w:rStyle w:val="FootnoteReference"/>
          <w:color w:val="000000"/>
        </w:rPr>
        <w:footnoteReference w:id="1"/>
      </w:r>
      <w:r w:rsidRPr="00C9022C">
        <w:t>,</w:t>
      </w:r>
    </w:p>
    <w:p w14:paraId="7B2041F5" w14:textId="77777777" w:rsidR="0013327E" w:rsidRPr="00C9022C" w:rsidRDefault="0013327E" w:rsidP="00DC3483">
      <w:pPr>
        <w:pStyle w:val="NormalHanging12a"/>
        <w:widowControl/>
      </w:pPr>
      <w:r w:rsidRPr="00C9022C">
        <w:t>–</w:t>
      </w:r>
      <w:r w:rsidRPr="00C9022C">
        <w:tab/>
        <w:t>ottaa huomioon Liettuan tasavallan perustuslain 62 pykälän,</w:t>
      </w:r>
    </w:p>
    <w:p w14:paraId="1F8F52EF" w14:textId="77777777" w:rsidR="0013327E" w:rsidRPr="00C9022C" w:rsidRDefault="0013327E" w:rsidP="00DC3483">
      <w:pPr>
        <w:pStyle w:val="NormalHanging12a"/>
        <w:widowControl/>
      </w:pPr>
      <w:r w:rsidRPr="00C9022C">
        <w:t>–</w:t>
      </w:r>
      <w:r w:rsidRPr="00C9022C">
        <w:tab/>
        <w:t>ottaa huomioon työjärjestyksen 5 artiklan 2 kohdan, 6 artiklan 1 kohdan ja 9 artiklan,</w:t>
      </w:r>
    </w:p>
    <w:p w14:paraId="586D6946" w14:textId="77777777" w:rsidR="0013327E" w:rsidRPr="00C9022C" w:rsidRDefault="0013327E" w:rsidP="00DC3483">
      <w:pPr>
        <w:pStyle w:val="NormalHanging12a"/>
        <w:widowControl/>
      </w:pPr>
      <w:r w:rsidRPr="00C9022C">
        <w:lastRenderedPageBreak/>
        <w:t>–</w:t>
      </w:r>
      <w:r w:rsidRPr="00C9022C">
        <w:tab/>
        <w:t>ottaa huomioon oikeudellisten asioiden valiokunnan mietinnön (A10-0078/2025),</w:t>
      </w:r>
    </w:p>
    <w:p w14:paraId="786C8316" w14:textId="77777777" w:rsidR="0013327E" w:rsidRPr="00C9022C" w:rsidRDefault="0013327E" w:rsidP="00DC3483">
      <w:pPr>
        <w:pStyle w:val="NormalHanging12a"/>
        <w:widowControl/>
      </w:pPr>
      <w:r w:rsidRPr="00C9022C">
        <w:t>A.</w:t>
      </w:r>
      <w:r w:rsidRPr="00C9022C">
        <w:tab/>
        <w:t xml:space="preserve">ottaa huomioon, että Liettuan tasavallan yleinen syyttäjä </w:t>
      </w:r>
      <w:r w:rsidR="00F21CDC" w:rsidRPr="00C9022C">
        <w:t xml:space="preserve">pyysi </w:t>
      </w:r>
      <w:r w:rsidRPr="00C9022C">
        <w:t>16. syyskuuta 2024 päivätyllä kirjeellä Petras Gražulisin koskemattomuuden pidättämistä väitetyn Liettuan tasavallan rikoslain 170 pykälän 2 momentissa tarkoitetun rikoksen vuoksi tämän pilkattua julkisesti erästä henkilöryhmää julkisesti ja halvennettua näiden henkilöiden seksuaalista suuntautumista;</w:t>
      </w:r>
    </w:p>
    <w:p w14:paraId="75EDC8F7" w14:textId="77777777" w:rsidR="0013327E" w:rsidRPr="00C9022C" w:rsidRDefault="0013327E" w:rsidP="00DC3483">
      <w:pPr>
        <w:pStyle w:val="NormalHanging12a"/>
        <w:widowControl/>
      </w:pPr>
      <w:r w:rsidRPr="00C9022C">
        <w:rPr>
          <w:shd w:val="clear" w:color="auto" w:fill="FFFFFF"/>
        </w:rPr>
        <w:t>B.</w:t>
      </w:r>
      <w:r w:rsidRPr="00C9022C">
        <w:rPr>
          <w:shd w:val="clear" w:color="auto" w:fill="FFFFFF"/>
        </w:rPr>
        <w:tab/>
      </w:r>
      <w:r w:rsidRPr="00C9022C">
        <w:t>ottaa huomioon, että pyynnössä todetaan Petras Gražulisia syytettävän siitä, että hän on puheillaan julkisesti pilkannut, vähätellyt ja nöyryyttänyt erästä henkilöryhmää ja ilmaissut halveksuntansa näitä henkilöitä kohtaan heidän seksuaalisen suuntautumisensa vuoksi, kun hän keskusteli Liettuan tasavallan parlamentin, jäljempänä ’Seimas’, käytävällä erään kameramiehen kanssa 26. toukokuuta 2022 sen jälkeen, kun Seimasin istunnossa oli käsitelty parisuhteiden rekisteröimistä, ja toteaa, että tiedotusvälineet kuvasivat ja välittivät kyseisen keskustelun; ottaa huomioon, että Petras Gražulisin, joka oli tuolloin Seimasin jäsen, väitetty rikos on tehty vuonna 2022</w:t>
      </w:r>
      <w:r w:rsidR="00F21CDC" w:rsidRPr="00C9022C">
        <w:t xml:space="preserve">; ottaa huomioon, että </w:t>
      </w:r>
      <w:r w:rsidRPr="00C9022C">
        <w:t xml:space="preserve">esitutkinta suoritettiin vuosina 2022 ja 2023 ja asia siirrettiin Vilnan alueellisen tuomioistuimen käsiteltäväksi tammikuussa 2024; ottaa huomioon, että Petras Gražulisilla oli tuolloin koskemattomuus Seimasin </w:t>
      </w:r>
      <w:r w:rsidRPr="00C9022C">
        <w:rPr>
          <w:shd w:val="clear" w:color="auto" w:fill="FFFFFF"/>
        </w:rPr>
        <w:t>jäsenenä</w:t>
      </w:r>
      <w:r w:rsidRPr="00C9022C">
        <w:t>, mutta Seimas oli 16. marraskuuta 2023 antanut suostumuksensa syytteen nostamiseen häntä vastaan;</w:t>
      </w:r>
    </w:p>
    <w:p w14:paraId="3E43B42D" w14:textId="77777777" w:rsidR="0013327E" w:rsidRPr="00C9022C" w:rsidRDefault="0013327E" w:rsidP="00DC3483">
      <w:pPr>
        <w:pStyle w:val="NormalHanging12a"/>
        <w:widowControl/>
      </w:pPr>
      <w:r w:rsidRPr="00C9022C">
        <w:t>C.</w:t>
      </w:r>
      <w:r w:rsidRPr="00C9022C">
        <w:tab/>
        <w:t xml:space="preserve">ottaa huomioon, että Petras Gražulis </w:t>
      </w:r>
      <w:r w:rsidRPr="00C9022C">
        <w:rPr>
          <w:shd w:val="clear" w:color="auto" w:fill="FFFFFF"/>
        </w:rPr>
        <w:t>valittiin Euroopan parlamenttiin Euroopan parlamentin vaaleissa vuoden 2024 kesäkuussa</w:t>
      </w:r>
      <w:r w:rsidRPr="00C9022C">
        <w:t xml:space="preserve"> ja </w:t>
      </w:r>
      <w:r w:rsidRPr="00C9022C">
        <w:rPr>
          <w:shd w:val="clear" w:color="auto" w:fill="FFFFFF"/>
        </w:rPr>
        <w:t>ettei hän ollut Euroopan parlamentin jäsen väitetyn rikoksen tekohetkellä;</w:t>
      </w:r>
    </w:p>
    <w:p w14:paraId="4663F358" w14:textId="77777777" w:rsidR="0013327E" w:rsidRPr="00C9022C" w:rsidRDefault="0013327E" w:rsidP="00DC3483">
      <w:pPr>
        <w:pStyle w:val="NormalHanging12a"/>
        <w:widowControl/>
      </w:pPr>
      <w:r w:rsidRPr="00C9022C">
        <w:t>D.</w:t>
      </w:r>
      <w:r w:rsidRPr="00C9022C">
        <w:tab/>
        <w:t>toteaa, että väitetty rikos ja sen johdosta esitetty koskemattomuuden pidättämistä koskeva pyyntö eivät liity Petras Gražulisin tehtäviään hoitaessaan ilmaisemaan mielipiteeseen tai hänen äänestykseensä Euroopan unionin erioikeuksista ja vapauksista tehdyssä pöytäkirjassa N:o 7 olevassa 8 artiklassa tarkoitetulla tavalla;</w:t>
      </w:r>
    </w:p>
    <w:p w14:paraId="037B5E60" w14:textId="77777777" w:rsidR="0013327E" w:rsidRPr="00C9022C" w:rsidRDefault="0013327E" w:rsidP="00DC3483">
      <w:pPr>
        <w:pStyle w:val="NormalHanging12a"/>
        <w:widowControl/>
      </w:pPr>
      <w:r w:rsidRPr="00C9022C">
        <w:t>E.</w:t>
      </w:r>
      <w:r w:rsidRPr="00C9022C">
        <w:tab/>
        <w:t>ottaa huomioon, että Euroopan unionin erioikeuksista ja vapauksista tehdyssä pöytäkirjassa N:o 7 olevan 9 artiklan ensimmäisen kohdan a alakohdassa määrätään, että Euroopan parlamentin jäsenillä on oman valtionsa alueella kansanedustajille myönnetty koskemattomuus;</w:t>
      </w:r>
    </w:p>
    <w:p w14:paraId="2EE02F77" w14:textId="5130451A" w:rsidR="0013327E" w:rsidRPr="00C9022C" w:rsidRDefault="0013327E" w:rsidP="00DC3483">
      <w:pPr>
        <w:pStyle w:val="NormalHanging12a"/>
        <w:widowControl/>
      </w:pPr>
      <w:r w:rsidRPr="00C9022C">
        <w:t>F.</w:t>
      </w:r>
      <w:r w:rsidRPr="00C9022C">
        <w:tab/>
        <w:t xml:space="preserve">ottaa huomioon, että Liettuan tasavallan perustuslain 62 pykälän mukaan ”Seimasin jäsen on koskematon. Seimasin jäsentä ei voida saattaa rikosoikeudelliseen vastuuseen eikä pidättää eikä hänen vapauttaan voida muuten rajoittaa ilman Seimasin suostumusta. Seimasin jäsentä ei voida </w:t>
      </w:r>
      <w:r w:rsidR="006F608C" w:rsidRPr="00C9022C">
        <w:t>vainota</w:t>
      </w:r>
      <w:r w:rsidRPr="00C9022C">
        <w:t xml:space="preserve"> hänen äänestystensä tai Seimasissa käyttämiensä puheenvuorojen perusteella. Hänet voidaan kuitenkin saattaa vastuuseen kunnianloukkausta koskevan yleisen menettelyn mukaan.”</w:t>
      </w:r>
      <w:r w:rsidRPr="00C9022C">
        <w:rPr>
          <w:sz w:val="22"/>
        </w:rPr>
        <w:t xml:space="preserve">; </w:t>
      </w:r>
    </w:p>
    <w:p w14:paraId="6989B09C" w14:textId="77777777" w:rsidR="0013327E" w:rsidRPr="00C9022C" w:rsidRDefault="0013327E" w:rsidP="00DC3483">
      <w:pPr>
        <w:pStyle w:val="NormalHanging12a"/>
        <w:widowControl/>
      </w:pPr>
      <w:r w:rsidRPr="00C9022C">
        <w:t>G.</w:t>
      </w:r>
      <w:r w:rsidRPr="00C9022C">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p>
    <w:p w14:paraId="62493C58" w14:textId="77777777" w:rsidR="0013327E" w:rsidRPr="00C9022C" w:rsidRDefault="0013327E" w:rsidP="00DC3483">
      <w:pPr>
        <w:pStyle w:val="NormalHanging12a"/>
        <w:widowControl/>
      </w:pPr>
      <w:r w:rsidRPr="00C9022C">
        <w:t>H.</w:t>
      </w:r>
      <w:r w:rsidRPr="00C9022C">
        <w:tab/>
        <w:t>ottaa huomioon, että työjärjestyksen 5 artiklan 2 kohdan mukaan parlamentaarinen koskemattomuus ei ole jäsenen henkilökohtainen erioikeus vaan tae koko parlamentin ja sen jäsenten riippumattomuudesta;</w:t>
      </w:r>
    </w:p>
    <w:p w14:paraId="2E9CD67C" w14:textId="77777777" w:rsidR="0013327E" w:rsidRPr="00C9022C" w:rsidRDefault="0013327E" w:rsidP="00DC3483">
      <w:pPr>
        <w:pStyle w:val="NormalHanging12a"/>
        <w:widowControl/>
      </w:pPr>
      <w:r w:rsidRPr="00C9022C">
        <w:lastRenderedPageBreak/>
        <w:t>I.</w:t>
      </w:r>
      <w:r w:rsidRPr="00C9022C">
        <w:tab/>
        <w:t xml:space="preserve">toteaa, että tässä tapauksessa parlamentti ei ole löytänyt todisteita fumus persecutionis </w:t>
      </w:r>
      <w:r w:rsidRPr="00C9022C">
        <w:noBreakHyphen/>
        <w:t>tilanteesta eli tosiseikkoja, jotka osoittaisivat, että oikeudenkäynnin tarkoituksena on vahingoittaa jäsenen poliittista toimintaa hänen toimiessaan Euroopan parlamentin jäsenenä;</w:t>
      </w:r>
    </w:p>
    <w:p w14:paraId="51DD16B5" w14:textId="77777777" w:rsidR="0013327E" w:rsidRPr="00C9022C" w:rsidRDefault="0013327E" w:rsidP="00DC3483">
      <w:pPr>
        <w:pStyle w:val="NormalHanging12a"/>
        <w:widowControl/>
      </w:pPr>
      <w:r w:rsidRPr="00C9022C">
        <w:t>J.</w:t>
      </w:r>
      <w:r w:rsidRPr="00C9022C">
        <w:tab/>
        <w:t>ottaa huomioon, että parlamenttia ei voida rinnastaa tuomioistuimeen eikä parlamentin jäsentä voida pitää koskemattomuuden pidättämistä koskevassa menettelyssä ”syytettynä”</w:t>
      </w:r>
      <w:r w:rsidRPr="00C9022C">
        <w:rPr>
          <w:vertAlign w:val="superscript"/>
        </w:rPr>
        <w:footnoteReference w:id="2"/>
      </w:r>
      <w:r w:rsidRPr="00C9022C">
        <w:t>;</w:t>
      </w:r>
    </w:p>
    <w:p w14:paraId="29BCF86B" w14:textId="77777777" w:rsidR="0013327E" w:rsidRPr="00C9022C" w:rsidRDefault="0013327E" w:rsidP="00DC3483">
      <w:pPr>
        <w:pStyle w:val="NormalHanging12a"/>
        <w:widowControl/>
      </w:pPr>
      <w:r w:rsidRPr="00C9022C">
        <w:t>1.</w:t>
      </w:r>
      <w:r w:rsidRPr="00C9022C">
        <w:tab/>
        <w:t>päättää pidättää Petras Gražulisin koskemattomuuden;</w:t>
      </w:r>
    </w:p>
    <w:p w14:paraId="5192F278" w14:textId="77777777" w:rsidR="00E365E1" w:rsidRPr="009E7552" w:rsidRDefault="0013327E" w:rsidP="00DC3483">
      <w:pPr>
        <w:pStyle w:val="NormalHanging12a"/>
        <w:widowControl/>
      </w:pPr>
      <w:r w:rsidRPr="00C9022C">
        <w:t>2.</w:t>
      </w:r>
      <w:r w:rsidRPr="00C9022C">
        <w:tab/>
        <w:t>kehottaa puhemiestä välittämään tämän päätöksen sekä asiasta vastaavan valiokunnan mietinnön viipymättä Liettuan tasavallan toimivaltaisille viranomaisille ja Petras Gražulisille.</w:t>
      </w:r>
    </w:p>
    <w:sectPr w:rsidR="00E365E1" w:rsidRPr="009E7552" w:rsidSect="009E755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F4D3C" w14:textId="77777777" w:rsidR="00434CEC" w:rsidRPr="009E7552" w:rsidRDefault="00434CEC">
      <w:r w:rsidRPr="009E7552">
        <w:separator/>
      </w:r>
    </w:p>
  </w:endnote>
  <w:endnote w:type="continuationSeparator" w:id="0">
    <w:p w14:paraId="4BFF74C3" w14:textId="77777777" w:rsidR="00434CEC" w:rsidRPr="009E7552" w:rsidRDefault="00434CEC">
      <w:r w:rsidRPr="009E75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31318" w14:textId="77777777" w:rsidR="00434CEC" w:rsidRPr="009E7552" w:rsidRDefault="00434CEC">
      <w:r w:rsidRPr="009E7552">
        <w:separator/>
      </w:r>
    </w:p>
  </w:footnote>
  <w:footnote w:type="continuationSeparator" w:id="0">
    <w:p w14:paraId="2826015F" w14:textId="77777777" w:rsidR="00434CEC" w:rsidRPr="009E7552" w:rsidRDefault="00434CEC">
      <w:r w:rsidRPr="009E7552">
        <w:continuationSeparator/>
      </w:r>
    </w:p>
  </w:footnote>
  <w:footnote w:id="1">
    <w:p w14:paraId="7ACC294E" w14:textId="77777777" w:rsidR="0013327E" w:rsidRPr="009E7552" w:rsidRDefault="0013327E" w:rsidP="0010099B">
      <w:pPr>
        <w:pStyle w:val="FootnoteText"/>
        <w:ind w:left="567" w:hanging="567"/>
        <w:rPr>
          <w:sz w:val="24"/>
          <w:lang w:val="fi-FI"/>
        </w:rPr>
      </w:pPr>
      <w:r w:rsidRPr="009E7552">
        <w:rPr>
          <w:rStyle w:val="FootnoteReference"/>
          <w:sz w:val="24"/>
          <w:lang w:val="fi-FI"/>
        </w:rPr>
        <w:footnoteRef/>
      </w:r>
      <w:r w:rsidR="009E7552" w:rsidRPr="009E7552">
        <w:rPr>
          <w:sz w:val="24"/>
          <w:lang w:val="fi-FI"/>
        </w:rPr>
        <w:t xml:space="preserve"> </w:t>
      </w:r>
      <w:r w:rsidR="009E7552" w:rsidRPr="009E7552">
        <w:rPr>
          <w:sz w:val="24"/>
          <w:lang w:val="fi-FI"/>
        </w:rPr>
        <w:tab/>
      </w:r>
      <w:r w:rsidRPr="009E7552">
        <w:rPr>
          <w:sz w:val="24"/>
          <w:lang w:val="fi-FI"/>
        </w:rPr>
        <w:t>Yhteisöjen tuomioistuimen tuomio 21.10.2008, Marra v. De Gregorio ja Clemente, C-200/07 ja C</w:t>
      </w:r>
      <w:r w:rsidRPr="009E7552">
        <w:rPr>
          <w:sz w:val="24"/>
          <w:lang w:val="fi-FI"/>
        </w:rPr>
        <w:noBreakHyphen/>
        <w:t>201/07, ECLI:EU:C:2008:579, unionin yleisen tuomioistuimen tuomio 19.3.2010, Gollnisch v. parlamentti, T-42/06, ECLI:EU:T:2010:102, unionin tuomioistuimen tuomio 6.9.2011, Patriciello, C</w:t>
      </w:r>
      <w:r w:rsidRPr="009E7552">
        <w:rPr>
          <w:sz w:val="24"/>
          <w:lang w:val="fi-FI"/>
        </w:rPr>
        <w:noBreakHyphen/>
        <w:t>163/10, ECLI:EU:C:2011:543, unionin yleisen tuomioistuimen tuomio 17.1.2013, Gollnisch v. parlamentti, T-346/11 ja T-347/11, ECLI:EU:T:2013:23, unionin tuomioistuimen tuomio 19.12.2019, Junqueras Vies, C-502/19, ECLI:EU:C:2019:1115 sekä unionin yleisen tuomioistuimen tuomio 5.7.2023, Puigdemont i Casamajó ja muut v. parlamentti, T-272/21, ECLI:EU:T:2023:373.</w:t>
      </w:r>
    </w:p>
  </w:footnote>
  <w:footnote w:id="2">
    <w:p w14:paraId="05599B03" w14:textId="77777777" w:rsidR="0013327E" w:rsidRPr="009E7552" w:rsidRDefault="0013327E" w:rsidP="009E7552">
      <w:pPr>
        <w:pStyle w:val="FootnoteText"/>
        <w:ind w:left="567" w:hanging="567"/>
        <w:rPr>
          <w:sz w:val="24"/>
          <w:lang w:val="fi-FI"/>
        </w:rPr>
      </w:pPr>
      <w:r w:rsidRPr="009E7552">
        <w:rPr>
          <w:rStyle w:val="FootnoteReference"/>
          <w:sz w:val="24"/>
          <w:lang w:val="fi-FI"/>
        </w:rPr>
        <w:footnoteRef/>
      </w:r>
      <w:r w:rsidR="009E7552" w:rsidRPr="009E7552">
        <w:rPr>
          <w:sz w:val="24"/>
          <w:lang w:val="fi-FI"/>
        </w:rPr>
        <w:t xml:space="preserve"> </w:t>
      </w:r>
      <w:r w:rsidR="009E7552" w:rsidRPr="009E7552">
        <w:rPr>
          <w:sz w:val="24"/>
          <w:lang w:val="fi-FI"/>
        </w:rPr>
        <w:tab/>
      </w:r>
      <w:r w:rsidRPr="009E7552">
        <w:rPr>
          <w:sz w:val="24"/>
          <w:lang w:val="fi-FI"/>
        </w:rPr>
        <w:t>Unionin yleisen tuomioistuimen tuomio 30.4.2019, Briois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FI"/>
    <w:docVar w:name="dvnumam" w:val="0"/>
    <w:docVar w:name="dvpe" w:val="770.080"/>
    <w:docVar w:name="dvrapporteur" w:val="Esittelijä: "/>
    <w:docVar w:name="dvtitre" w:val="Euroopan parlamentin päätös 6. toukokuuta 2025 Petras Gražulisin koskemattomuuden pidättämistä koskevasta pyynnöstä(2024/2089(IMM))"/>
  </w:docVars>
  <w:rsids>
    <w:rsidRoot w:val="00434CEC"/>
    <w:rsid w:val="00002272"/>
    <w:rsid w:val="00064002"/>
    <w:rsid w:val="000677B9"/>
    <w:rsid w:val="000831BA"/>
    <w:rsid w:val="000A42CC"/>
    <w:rsid w:val="000E376D"/>
    <w:rsid w:val="000E7DD9"/>
    <w:rsid w:val="0010095E"/>
    <w:rsid w:val="0010099B"/>
    <w:rsid w:val="00125B37"/>
    <w:rsid w:val="0013327E"/>
    <w:rsid w:val="00187494"/>
    <w:rsid w:val="001F32AE"/>
    <w:rsid w:val="002767FF"/>
    <w:rsid w:val="002B18FE"/>
    <w:rsid w:val="002B5493"/>
    <w:rsid w:val="00343214"/>
    <w:rsid w:val="00361C00"/>
    <w:rsid w:val="00395FA1"/>
    <w:rsid w:val="003E15D4"/>
    <w:rsid w:val="00411CCE"/>
    <w:rsid w:val="0041666E"/>
    <w:rsid w:val="00421060"/>
    <w:rsid w:val="00434CE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08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552"/>
    <w:rsid w:val="00A1687D"/>
    <w:rsid w:val="00A37A6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022C"/>
    <w:rsid w:val="00C941CB"/>
    <w:rsid w:val="00CC2357"/>
    <w:rsid w:val="00CF071A"/>
    <w:rsid w:val="00D058B8"/>
    <w:rsid w:val="00D56C11"/>
    <w:rsid w:val="00D834A0"/>
    <w:rsid w:val="00D872DF"/>
    <w:rsid w:val="00D91E21"/>
    <w:rsid w:val="00DA7FCD"/>
    <w:rsid w:val="00DC3483"/>
    <w:rsid w:val="00E365E1"/>
    <w:rsid w:val="00E820A4"/>
    <w:rsid w:val="00EB006A"/>
    <w:rsid w:val="00EB4772"/>
    <w:rsid w:val="00ED169E"/>
    <w:rsid w:val="00ED4235"/>
    <w:rsid w:val="00F04346"/>
    <w:rsid w:val="00F075DC"/>
    <w:rsid w:val="00F149E9"/>
    <w:rsid w:val="00F21CD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1D61A"/>
  <w15:chartTrackingRefBased/>
  <w15:docId w15:val="{17A689C5-2718-4FDE-8D93-540A79FB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3327E"/>
    <w:pPr>
      <w:spacing w:after="240"/>
      <w:ind w:left="567" w:hanging="567"/>
    </w:pPr>
  </w:style>
  <w:style w:type="paragraph" w:customStyle="1" w:styleId="EPComma">
    <w:name w:val="EPComma"/>
    <w:basedOn w:val="Normal"/>
    <w:rsid w:val="0013327E"/>
    <w:pPr>
      <w:spacing w:before="480" w:after="240"/>
    </w:pPr>
  </w:style>
  <w:style w:type="paragraph" w:styleId="Footer">
    <w:name w:val="footer"/>
    <w:basedOn w:val="Normal"/>
    <w:link w:val="FooterChar"/>
    <w:rsid w:val="00DC3483"/>
    <w:pPr>
      <w:tabs>
        <w:tab w:val="center" w:pos="4513"/>
        <w:tab w:val="right" w:pos="9026"/>
      </w:tabs>
    </w:pPr>
  </w:style>
  <w:style w:type="character" w:customStyle="1" w:styleId="FooterChar">
    <w:name w:val="Footer Char"/>
    <w:basedOn w:val="DefaultParagraphFont"/>
    <w:link w:val="Footer"/>
    <w:rsid w:val="00DC3483"/>
    <w:rPr>
      <w:sz w:val="24"/>
      <w:lang w:val="fi-FI"/>
    </w:rPr>
  </w:style>
  <w:style w:type="paragraph" w:styleId="BalloonText">
    <w:name w:val="Balloon Text"/>
    <w:basedOn w:val="Normal"/>
    <w:link w:val="BalloonTextChar"/>
    <w:rsid w:val="00F21CDC"/>
    <w:rPr>
      <w:rFonts w:ascii="Segoe UI" w:hAnsi="Segoe UI" w:cs="Segoe UI"/>
      <w:sz w:val="18"/>
      <w:szCs w:val="18"/>
    </w:rPr>
  </w:style>
  <w:style w:type="character" w:customStyle="1" w:styleId="BalloonTextChar">
    <w:name w:val="Balloon Text Char"/>
    <w:basedOn w:val="DefaultParagraphFont"/>
    <w:link w:val="BalloonText"/>
    <w:rsid w:val="00F21CDC"/>
    <w:rPr>
      <w:rFonts w:ascii="Segoe UI" w:hAnsi="Segoe UI" w:cs="Segoe UI"/>
      <w:sz w:val="18"/>
      <w:szCs w:val="18"/>
      <w:lang w:val="fi-FI"/>
    </w:rPr>
  </w:style>
  <w:style w:type="character" w:styleId="CommentReference">
    <w:name w:val="annotation reference"/>
    <w:basedOn w:val="DefaultParagraphFont"/>
    <w:rsid w:val="000E376D"/>
    <w:rPr>
      <w:sz w:val="16"/>
      <w:szCs w:val="16"/>
    </w:rPr>
  </w:style>
  <w:style w:type="paragraph" w:styleId="CommentText">
    <w:name w:val="annotation text"/>
    <w:basedOn w:val="Normal"/>
    <w:link w:val="CommentTextChar"/>
    <w:rsid w:val="000E376D"/>
    <w:rPr>
      <w:sz w:val="20"/>
    </w:rPr>
  </w:style>
  <w:style w:type="character" w:customStyle="1" w:styleId="CommentTextChar">
    <w:name w:val="Comment Text Char"/>
    <w:basedOn w:val="DefaultParagraphFont"/>
    <w:link w:val="CommentText"/>
    <w:rsid w:val="000E376D"/>
    <w:rPr>
      <w:lang w:val="fi-FI"/>
    </w:rPr>
  </w:style>
  <w:style w:type="paragraph" w:styleId="CommentSubject">
    <w:name w:val="annotation subject"/>
    <w:basedOn w:val="CommentText"/>
    <w:next w:val="CommentText"/>
    <w:link w:val="CommentSubjectChar"/>
    <w:rsid w:val="000E376D"/>
    <w:rPr>
      <w:b/>
      <w:bCs/>
    </w:rPr>
  </w:style>
  <w:style w:type="character" w:customStyle="1" w:styleId="CommentSubjectChar">
    <w:name w:val="Comment Subject Char"/>
    <w:basedOn w:val="CommentTextChar"/>
    <w:link w:val="CommentSubject"/>
    <w:rsid w:val="000E376D"/>
    <w:rPr>
      <w:b/>
      <w:bCs/>
      <w:lang w:val="fi-FI"/>
    </w:rPr>
  </w:style>
  <w:style w:type="paragraph" w:styleId="Revision">
    <w:name w:val="Revision"/>
    <w:hidden/>
    <w:uiPriority w:val="99"/>
    <w:semiHidden/>
    <w:rsid w:val="000E376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81F9B-8F4A-4EFC-AD83-A4CD0D6EA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614</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2025-05-06T13:53:00Z</dcterms:created>
  <dcterms:modified xsi:type="dcterms:W3CDTF">2025-05-06T13:53:00Z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A10-0078/2025</vt:lpwstr>
  </property>
  <property fmtid="{D5CDD505-2E9C-101B-9397-08002B2CF9AE}" pid="4" name="&lt;Type&gt;">
    <vt:lpwstr>RR</vt:lpwstr>
  </property>
</Properties>
</file>