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52341" w:rsidTr="0010095E">
        <w:trPr>
          <w:trHeight w:hRule="exact" w:val="1418"/>
        </w:trPr>
        <w:tc>
          <w:tcPr>
            <w:tcW w:w="6804" w:type="dxa"/>
            <w:shd w:val="clear" w:color="auto" w:fill="auto"/>
            <w:vAlign w:val="center"/>
          </w:tcPr>
          <w:p w:rsidR="00751A4A" w:rsidRPr="00752341" w:rsidRDefault="0004144F" w:rsidP="0010095E">
            <w:pPr>
              <w:pStyle w:val="EPName"/>
            </w:pPr>
            <w:r w:rsidRPr="00752341">
              <w:t>Parlement européen</w:t>
            </w:r>
          </w:p>
          <w:p w:rsidR="00751A4A" w:rsidRPr="00752341" w:rsidRDefault="005F1B17" w:rsidP="005F1B17">
            <w:pPr>
              <w:pStyle w:val="EPTerm"/>
              <w:rPr>
                <w:rStyle w:val="HideTWBExt"/>
                <w:noProof w:val="0"/>
                <w:vanish w:val="0"/>
                <w:color w:val="auto"/>
              </w:rPr>
            </w:pPr>
            <w:r w:rsidRPr="00752341">
              <w:t>2024</w:t>
            </w:r>
            <w:r w:rsidR="00817416" w:rsidRPr="00752341">
              <w:t>-202</w:t>
            </w:r>
            <w:r w:rsidRPr="00752341">
              <w:t>9</w:t>
            </w:r>
          </w:p>
        </w:tc>
        <w:tc>
          <w:tcPr>
            <w:tcW w:w="2268" w:type="dxa"/>
            <w:shd w:val="clear" w:color="auto" w:fill="auto"/>
          </w:tcPr>
          <w:p w:rsidR="00751A4A" w:rsidRPr="00752341" w:rsidRDefault="00187494" w:rsidP="0010095E">
            <w:pPr>
              <w:pStyle w:val="EPLogo"/>
            </w:pPr>
            <w:r w:rsidRPr="0075234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52341" w:rsidRDefault="00D058B8" w:rsidP="004C5D52">
      <w:pPr>
        <w:pStyle w:val="LineTop"/>
      </w:pPr>
    </w:p>
    <w:p w:rsidR="00680577" w:rsidRPr="00752341" w:rsidRDefault="0004144F" w:rsidP="00680577">
      <w:pPr>
        <w:pStyle w:val="EPBodyTA1"/>
      </w:pPr>
      <w:r w:rsidRPr="00752341">
        <w:t>TEXTES ADOPTÉS</w:t>
      </w:r>
    </w:p>
    <w:p w:rsidR="00D058B8" w:rsidRPr="00752341" w:rsidRDefault="00D058B8" w:rsidP="00D058B8">
      <w:pPr>
        <w:pStyle w:val="LineBottom"/>
      </w:pPr>
    </w:p>
    <w:p w:rsidR="0004144F" w:rsidRPr="00752341" w:rsidRDefault="00931107" w:rsidP="0004144F">
      <w:pPr>
        <w:pStyle w:val="ATHeading1"/>
      </w:pPr>
      <w:bookmarkStart w:id="0" w:name="TANumber"/>
      <w:r>
        <w:t>P10_TA(2025)0068</w:t>
      </w:r>
      <w:bookmarkStart w:id="1" w:name="_GoBack"/>
      <w:bookmarkEnd w:id="0"/>
      <w:bookmarkEnd w:id="1"/>
    </w:p>
    <w:p w:rsidR="0004144F" w:rsidRPr="00752341" w:rsidRDefault="0004144F" w:rsidP="0004144F">
      <w:pPr>
        <w:pStyle w:val="ATHeading2"/>
      </w:pPr>
      <w:bookmarkStart w:id="2" w:name="title"/>
      <w:r w:rsidRPr="00752341">
        <w:t xml:space="preserve">Demande de levée de l’immunité de </w:t>
      </w:r>
      <w:proofErr w:type="spellStart"/>
      <w:r w:rsidRPr="00752341">
        <w:t>Petras</w:t>
      </w:r>
      <w:proofErr w:type="spellEnd"/>
      <w:r w:rsidRPr="00752341">
        <w:t xml:space="preserve"> </w:t>
      </w:r>
      <w:proofErr w:type="spellStart"/>
      <w:r w:rsidRPr="00752341">
        <w:t>Gražulis</w:t>
      </w:r>
      <w:bookmarkEnd w:id="2"/>
      <w:proofErr w:type="spellEnd"/>
    </w:p>
    <w:p w:rsidR="0004144F" w:rsidRPr="00752341" w:rsidRDefault="0004144F" w:rsidP="0004144F">
      <w:pPr>
        <w:rPr>
          <w:i/>
          <w:vanish/>
        </w:rPr>
      </w:pPr>
      <w:r w:rsidRPr="00752341">
        <w:rPr>
          <w:i/>
        </w:rPr>
        <w:fldChar w:fldCharType="begin"/>
      </w:r>
      <w:r w:rsidRPr="00752341">
        <w:rPr>
          <w:i/>
        </w:rPr>
        <w:instrText xml:space="preserve"> TC"(</w:instrText>
      </w:r>
      <w:bookmarkStart w:id="3" w:name="DocNumber"/>
      <w:r w:rsidRPr="00752341">
        <w:rPr>
          <w:i/>
        </w:rPr>
        <w:instrText>A10-0078/2025</w:instrText>
      </w:r>
      <w:bookmarkEnd w:id="3"/>
      <w:r w:rsidRPr="00752341">
        <w:rPr>
          <w:i/>
        </w:rPr>
        <w:instrText xml:space="preserve"> - Rapporteure: Pascale Piera)"\l3 \n&gt; \* MERGEFORMAT </w:instrText>
      </w:r>
      <w:r w:rsidRPr="00752341">
        <w:rPr>
          <w:i/>
        </w:rPr>
        <w:fldChar w:fldCharType="end"/>
      </w:r>
    </w:p>
    <w:p w:rsidR="0004144F" w:rsidRPr="00752341" w:rsidRDefault="0004144F" w:rsidP="0004144F">
      <w:pPr>
        <w:rPr>
          <w:vanish/>
        </w:rPr>
      </w:pPr>
      <w:bookmarkStart w:id="4" w:name="Commission"/>
      <w:r w:rsidRPr="00752341">
        <w:rPr>
          <w:vanish/>
        </w:rPr>
        <w:t>Commission des affaires juridiques</w:t>
      </w:r>
      <w:bookmarkEnd w:id="4"/>
    </w:p>
    <w:p w:rsidR="0004144F" w:rsidRPr="00752341" w:rsidRDefault="0004144F" w:rsidP="0004144F">
      <w:pPr>
        <w:rPr>
          <w:vanish/>
        </w:rPr>
      </w:pPr>
      <w:bookmarkStart w:id="5" w:name="PE"/>
      <w:r w:rsidRPr="00752341">
        <w:rPr>
          <w:vanish/>
        </w:rPr>
        <w:t>PE770.080</w:t>
      </w:r>
      <w:bookmarkEnd w:id="5"/>
    </w:p>
    <w:p w:rsidR="0004144F" w:rsidRPr="00752341" w:rsidRDefault="0004144F" w:rsidP="0004144F">
      <w:pPr>
        <w:pStyle w:val="ATHeading3"/>
      </w:pPr>
      <w:bookmarkStart w:id="6" w:name="Sujet"/>
      <w:r w:rsidRPr="00752341">
        <w:t xml:space="preserve">Décision du Parlement européen du </w:t>
      </w:r>
      <w:r w:rsidR="00CF0ABE">
        <w:t>6</w:t>
      </w:r>
      <w:r w:rsidR="002513AF">
        <w:t xml:space="preserve"> mai</w:t>
      </w:r>
      <w:r w:rsidRPr="00752341">
        <w:t xml:space="preserve"> 2025 sur la demande de levée de l’immunité de </w:t>
      </w:r>
      <w:proofErr w:type="spellStart"/>
      <w:r w:rsidRPr="00752341">
        <w:t>Petras</w:t>
      </w:r>
      <w:proofErr w:type="spellEnd"/>
      <w:r w:rsidRPr="00752341">
        <w:t xml:space="preserve"> </w:t>
      </w:r>
      <w:proofErr w:type="spellStart"/>
      <w:r w:rsidRPr="00752341">
        <w:t>Gražulis</w:t>
      </w:r>
      <w:bookmarkEnd w:id="6"/>
      <w:proofErr w:type="spellEnd"/>
      <w:r w:rsidRPr="00752341">
        <w:t xml:space="preserve"> </w:t>
      </w:r>
      <w:bookmarkStart w:id="7" w:name="References"/>
      <w:r w:rsidRPr="00752341">
        <w:t>(2024/2089(IMM))</w:t>
      </w:r>
      <w:bookmarkEnd w:id="7"/>
    </w:p>
    <w:p w:rsidR="008539DF" w:rsidRPr="00752341" w:rsidRDefault="008539DF" w:rsidP="008539DF">
      <w:pPr>
        <w:pStyle w:val="EPComma"/>
        <w:widowControl/>
        <w:rPr>
          <w:lang w:val="fr-FR"/>
        </w:rPr>
      </w:pPr>
      <w:bookmarkStart w:id="8" w:name="TextBodyBegin"/>
      <w:bookmarkEnd w:id="8"/>
      <w:r w:rsidRPr="00752341">
        <w:rPr>
          <w:i/>
          <w:lang w:val="fr-FR"/>
        </w:rPr>
        <w:t>Le Parlement européen</w:t>
      </w:r>
      <w:r w:rsidRPr="00752341">
        <w:rPr>
          <w:lang w:val="fr-FR"/>
        </w:rPr>
        <w:t>,</w:t>
      </w:r>
    </w:p>
    <w:p w:rsidR="008539DF" w:rsidRPr="00752341" w:rsidRDefault="008539DF" w:rsidP="008539DF">
      <w:pPr>
        <w:pStyle w:val="NormalHanging12a"/>
        <w:widowControl/>
        <w:rPr>
          <w:lang w:val="fr-FR"/>
        </w:rPr>
      </w:pPr>
      <w:r w:rsidRPr="00752341">
        <w:rPr>
          <w:lang w:val="fr-FR"/>
        </w:rPr>
        <w:t>–</w:t>
      </w:r>
      <w:r w:rsidRPr="00752341">
        <w:rPr>
          <w:lang w:val="fr-FR"/>
        </w:rPr>
        <w:tab/>
        <w:t>vu la demande du 16 septembre 2024 d</w:t>
      </w:r>
      <w:r w:rsidR="00CF0ABE">
        <w:rPr>
          <w:lang w:val="fr-FR"/>
        </w:rPr>
        <w:t>e la</w:t>
      </w:r>
      <w:r w:rsidRPr="00752341">
        <w:rPr>
          <w:lang w:val="fr-FR"/>
        </w:rPr>
        <w:t xml:space="preserve"> procureur</w:t>
      </w:r>
      <w:r w:rsidR="00CF0ABE">
        <w:rPr>
          <w:lang w:val="fr-FR"/>
        </w:rPr>
        <w:t>e</w:t>
      </w:r>
      <w:r w:rsidRPr="00752341">
        <w:rPr>
          <w:lang w:val="fr-FR"/>
        </w:rPr>
        <w:t xml:space="preserve"> général</w:t>
      </w:r>
      <w:r w:rsidR="00CF0ABE">
        <w:rPr>
          <w:lang w:val="fr-FR"/>
        </w:rPr>
        <w:t>e</w:t>
      </w:r>
      <w:r w:rsidRPr="00752341">
        <w:rPr>
          <w:lang w:val="fr-FR"/>
        </w:rPr>
        <w:t xml:space="preserve"> de la République de Lituanie, visant à obtenir la levée de l’immunité de </w:t>
      </w:r>
      <w:proofErr w:type="spellStart"/>
      <w:r w:rsidRPr="00752341">
        <w:rPr>
          <w:lang w:val="fr-FR"/>
        </w:rPr>
        <w:t>Petras</w:t>
      </w:r>
      <w:proofErr w:type="spellEnd"/>
      <w:r w:rsidRPr="00752341">
        <w:rPr>
          <w:lang w:val="fr-FR"/>
        </w:rPr>
        <w:t xml:space="preserve"> </w:t>
      </w:r>
      <w:proofErr w:type="spellStart"/>
      <w:r w:rsidRPr="00752341">
        <w:rPr>
          <w:lang w:val="fr-FR"/>
        </w:rPr>
        <w:t>Gražulis</w:t>
      </w:r>
      <w:proofErr w:type="spellEnd"/>
      <w:r w:rsidRPr="00752341">
        <w:rPr>
          <w:lang w:val="fr-FR"/>
        </w:rPr>
        <w:t xml:space="preserve"> en liaison avec une procédure pénale engagée à son encontre, et communiquée en séance plénière le 24 octobre 2024,</w:t>
      </w:r>
    </w:p>
    <w:p w:rsidR="008539DF" w:rsidRPr="00752341" w:rsidRDefault="008539DF" w:rsidP="008539DF">
      <w:pPr>
        <w:pStyle w:val="NormalHanging12a"/>
        <w:widowControl/>
        <w:rPr>
          <w:lang w:val="fr-FR"/>
        </w:rPr>
      </w:pPr>
      <w:r w:rsidRPr="00752341">
        <w:rPr>
          <w:lang w:val="fr-FR"/>
        </w:rPr>
        <w:t>–</w:t>
      </w:r>
      <w:r w:rsidRPr="00752341">
        <w:rPr>
          <w:lang w:val="fr-FR"/>
        </w:rPr>
        <w:tab/>
        <w:t xml:space="preserve">ayant entendu </w:t>
      </w:r>
      <w:proofErr w:type="spellStart"/>
      <w:r w:rsidRPr="00752341">
        <w:rPr>
          <w:lang w:val="fr-FR"/>
        </w:rPr>
        <w:t>Petras</w:t>
      </w:r>
      <w:proofErr w:type="spellEnd"/>
      <w:r w:rsidRPr="00752341">
        <w:rPr>
          <w:lang w:val="fr-FR"/>
        </w:rPr>
        <w:t xml:space="preserve"> </w:t>
      </w:r>
      <w:proofErr w:type="spellStart"/>
      <w:r w:rsidRPr="00752341">
        <w:rPr>
          <w:lang w:val="fr-FR"/>
        </w:rPr>
        <w:t>Gražulis</w:t>
      </w:r>
      <w:proofErr w:type="spellEnd"/>
      <w:r w:rsidRPr="00752341">
        <w:rPr>
          <w:lang w:val="fr-FR"/>
        </w:rPr>
        <w:t xml:space="preserve"> le 18 mars 2025, conformément à l’article 9, paragraphe 6, de son règlement intérieur,</w:t>
      </w:r>
    </w:p>
    <w:p w:rsidR="008539DF" w:rsidRPr="00752341" w:rsidRDefault="008539DF" w:rsidP="008539DF">
      <w:pPr>
        <w:pStyle w:val="NormalHanging12a"/>
        <w:widowControl/>
        <w:rPr>
          <w:lang w:val="fr-FR"/>
        </w:rPr>
      </w:pPr>
      <w:r w:rsidRPr="00752341">
        <w:rPr>
          <w:lang w:val="fr-FR"/>
        </w:rPr>
        <w:t>–</w:t>
      </w:r>
      <w:r w:rsidRPr="00752341">
        <w:rPr>
          <w:lang w:val="fr-FR"/>
        </w:rPr>
        <w:tab/>
        <w:t>vu les articles 8 et 9 du protocole nº 7 sur les privilèges et immunités de l’Union européenne ainsi que l’article 6, paragraphe 2, de l’acte portant élection des membres du Parlement européen au suffrage universel direct, du 20 septembre 1976,</w:t>
      </w:r>
    </w:p>
    <w:p w:rsidR="008539DF" w:rsidRPr="00752341" w:rsidRDefault="008539DF" w:rsidP="008539DF">
      <w:pPr>
        <w:pStyle w:val="NormalHanging12a"/>
        <w:widowControl/>
        <w:rPr>
          <w:lang w:val="fr-FR"/>
        </w:rPr>
      </w:pPr>
      <w:r w:rsidRPr="00752341">
        <w:rPr>
          <w:lang w:val="fr-FR"/>
        </w:rPr>
        <w:t>–</w:t>
      </w:r>
      <w:r w:rsidRPr="00752341">
        <w:rPr>
          <w:lang w:val="fr-FR"/>
        </w:rPr>
        <w:tab/>
        <w:t>vu les arrêts rendus par la Cour de justice de l’Union européenne les 21 octobre 2008, 19 mars 2010, 6 septembre 2011, 17 janvier 2013, 19 décembre 2019 et 5 juillet 2023</w:t>
      </w:r>
      <w:r w:rsidRPr="00752341">
        <w:rPr>
          <w:rStyle w:val="FootnoteReference"/>
          <w:color w:val="000000"/>
          <w:lang w:val="fr-FR"/>
        </w:rPr>
        <w:footnoteReference w:id="1"/>
      </w:r>
      <w:r w:rsidRPr="00752341">
        <w:rPr>
          <w:lang w:val="fr-FR"/>
        </w:rPr>
        <w:t>,</w:t>
      </w:r>
    </w:p>
    <w:p w:rsidR="008539DF" w:rsidRPr="00752341" w:rsidRDefault="008539DF" w:rsidP="008539DF">
      <w:pPr>
        <w:pStyle w:val="NormalHanging12a"/>
        <w:widowControl/>
        <w:rPr>
          <w:lang w:val="fr-FR"/>
        </w:rPr>
      </w:pPr>
      <w:r w:rsidRPr="00752341">
        <w:rPr>
          <w:lang w:val="fr-FR"/>
        </w:rPr>
        <w:t>–</w:t>
      </w:r>
      <w:r w:rsidRPr="00752341">
        <w:rPr>
          <w:lang w:val="fr-FR"/>
        </w:rPr>
        <w:tab/>
        <w:t>vu l’article 62 de la Constitution de la République de Lituanie,</w:t>
      </w:r>
    </w:p>
    <w:p w:rsidR="008539DF" w:rsidRPr="00752341" w:rsidRDefault="008539DF" w:rsidP="008539DF">
      <w:pPr>
        <w:pStyle w:val="NormalHanging12a"/>
        <w:widowControl/>
        <w:rPr>
          <w:lang w:val="fr-FR"/>
        </w:rPr>
      </w:pPr>
      <w:r w:rsidRPr="00752341">
        <w:rPr>
          <w:lang w:val="fr-FR"/>
        </w:rPr>
        <w:t>–</w:t>
      </w:r>
      <w:r w:rsidRPr="00752341">
        <w:rPr>
          <w:lang w:val="fr-FR"/>
        </w:rPr>
        <w:tab/>
        <w:t>vu l’article 5, paragraphe 2, l’article 6, paragraphe 1, et l’article 9 de son règlement intérieur,</w:t>
      </w:r>
    </w:p>
    <w:p w:rsidR="008539DF" w:rsidRPr="00752341" w:rsidRDefault="008539DF" w:rsidP="008539DF">
      <w:pPr>
        <w:pStyle w:val="NormalHanging12a"/>
        <w:widowControl/>
        <w:rPr>
          <w:lang w:val="fr-FR"/>
        </w:rPr>
      </w:pPr>
      <w:r w:rsidRPr="00752341">
        <w:rPr>
          <w:lang w:val="fr-FR"/>
        </w:rPr>
        <w:t>–</w:t>
      </w:r>
      <w:r w:rsidRPr="00752341">
        <w:rPr>
          <w:lang w:val="fr-FR"/>
        </w:rPr>
        <w:tab/>
        <w:t>vu le rapport de la commission des affaires juridiques (A10-0078/2025),</w:t>
      </w:r>
    </w:p>
    <w:p w:rsidR="008539DF" w:rsidRPr="00752341" w:rsidRDefault="008539DF" w:rsidP="008539DF">
      <w:pPr>
        <w:pStyle w:val="NormalHanging12a"/>
        <w:widowControl/>
        <w:rPr>
          <w:lang w:val="fr-FR"/>
        </w:rPr>
      </w:pPr>
      <w:r w:rsidRPr="00752341">
        <w:rPr>
          <w:lang w:val="fr-FR"/>
        </w:rPr>
        <w:t>A.</w:t>
      </w:r>
      <w:r w:rsidRPr="00752341">
        <w:rPr>
          <w:lang w:val="fr-FR"/>
        </w:rPr>
        <w:tab/>
        <w:t>considérant que, par lettre du 16 septembre 2024, l</w:t>
      </w:r>
      <w:r w:rsidR="00CF0ABE">
        <w:rPr>
          <w:lang w:val="fr-FR"/>
        </w:rPr>
        <w:t>a</w:t>
      </w:r>
      <w:r w:rsidRPr="00752341">
        <w:rPr>
          <w:lang w:val="fr-FR"/>
        </w:rPr>
        <w:t xml:space="preserve"> procureur</w:t>
      </w:r>
      <w:r w:rsidR="00CF0ABE">
        <w:rPr>
          <w:lang w:val="fr-FR"/>
        </w:rPr>
        <w:t>e</w:t>
      </w:r>
      <w:r w:rsidRPr="00752341">
        <w:rPr>
          <w:lang w:val="fr-FR"/>
        </w:rPr>
        <w:t xml:space="preserve"> général</w:t>
      </w:r>
      <w:r w:rsidR="00CF0ABE">
        <w:rPr>
          <w:lang w:val="fr-FR"/>
        </w:rPr>
        <w:t>e</w:t>
      </w:r>
      <w:r w:rsidRPr="00752341">
        <w:rPr>
          <w:lang w:val="fr-FR"/>
        </w:rPr>
        <w:t xml:space="preserve"> de la République de Lituanie a </w:t>
      </w:r>
      <w:r w:rsidR="006361D3">
        <w:rPr>
          <w:lang w:val="fr-FR"/>
        </w:rPr>
        <w:t>demandé la</w:t>
      </w:r>
      <w:r w:rsidRPr="00752341">
        <w:rPr>
          <w:lang w:val="fr-FR"/>
        </w:rPr>
        <w:t xml:space="preserve"> levée de l’immunité de </w:t>
      </w:r>
      <w:proofErr w:type="spellStart"/>
      <w:r w:rsidRPr="00752341">
        <w:rPr>
          <w:lang w:val="fr-FR"/>
        </w:rPr>
        <w:t>Petras</w:t>
      </w:r>
      <w:proofErr w:type="spellEnd"/>
      <w:r w:rsidRPr="00752341">
        <w:rPr>
          <w:lang w:val="fr-FR"/>
        </w:rPr>
        <w:t xml:space="preserve"> </w:t>
      </w:r>
      <w:proofErr w:type="spellStart"/>
      <w:r w:rsidRPr="00752341">
        <w:rPr>
          <w:lang w:val="fr-FR"/>
        </w:rPr>
        <w:t>Gražulis</w:t>
      </w:r>
      <w:proofErr w:type="spellEnd"/>
      <w:r w:rsidRPr="00752341">
        <w:rPr>
          <w:lang w:val="fr-FR"/>
        </w:rPr>
        <w:t xml:space="preserve">, en liaison </w:t>
      </w:r>
      <w:r w:rsidRPr="00752341">
        <w:rPr>
          <w:lang w:val="fr-FR"/>
        </w:rPr>
        <w:lastRenderedPageBreak/>
        <w:t>avec une infraction présumée relevant de l’article 170, paragraphe 2, du code pénal de la République de Lituanie, pour le fait d’avoir publiquement ridiculisé un groupe de personnes et d’avoir exprimé son mépris envers eux en raison de leur orientation sexuelle;</w:t>
      </w:r>
    </w:p>
    <w:p w:rsidR="008539DF" w:rsidRPr="00752341" w:rsidRDefault="008539DF" w:rsidP="008539DF">
      <w:pPr>
        <w:pStyle w:val="NormalHanging12a"/>
        <w:widowControl/>
        <w:rPr>
          <w:lang w:val="fr-FR"/>
        </w:rPr>
      </w:pPr>
      <w:r w:rsidRPr="00752341">
        <w:rPr>
          <w:shd w:val="clear" w:color="auto" w:fill="FFFFFF"/>
          <w:lang w:val="fr-FR"/>
        </w:rPr>
        <w:t>B.</w:t>
      </w:r>
      <w:r w:rsidRPr="00752341">
        <w:rPr>
          <w:shd w:val="clear" w:color="auto" w:fill="FFFFFF"/>
          <w:lang w:val="fr-FR"/>
        </w:rPr>
        <w:tab/>
      </w:r>
      <w:r w:rsidRPr="00752341">
        <w:rPr>
          <w:lang w:val="fr-FR"/>
        </w:rPr>
        <w:t xml:space="preserve">considérant que la demande indique que </w:t>
      </w:r>
      <w:proofErr w:type="spellStart"/>
      <w:r w:rsidRPr="00752341">
        <w:rPr>
          <w:lang w:val="fr-FR"/>
        </w:rPr>
        <w:t>Petras</w:t>
      </w:r>
      <w:proofErr w:type="spellEnd"/>
      <w:r w:rsidRPr="00752341">
        <w:rPr>
          <w:lang w:val="fr-FR"/>
        </w:rPr>
        <w:t xml:space="preserve"> </w:t>
      </w:r>
      <w:proofErr w:type="spellStart"/>
      <w:r w:rsidRPr="00752341">
        <w:rPr>
          <w:lang w:val="fr-FR"/>
        </w:rPr>
        <w:t>Gražulis</w:t>
      </w:r>
      <w:proofErr w:type="spellEnd"/>
      <w:r w:rsidRPr="00752341">
        <w:rPr>
          <w:lang w:val="fr-FR"/>
        </w:rPr>
        <w:t xml:space="preserve"> est accusé d’avoir tenu publiquement des propos ridiculisant, dénigrant et humiliant un groupe de personnes, et d’avoir exprimé son mépris envers eux en raison de leur orientation sexuelle alors qu’il se trouvait dans les couloirs du </w:t>
      </w:r>
      <w:proofErr w:type="spellStart"/>
      <w:r w:rsidRPr="00752341">
        <w:rPr>
          <w:lang w:val="fr-FR"/>
        </w:rPr>
        <w:t>Seimas</w:t>
      </w:r>
      <w:proofErr w:type="spellEnd"/>
      <w:r w:rsidRPr="00752341">
        <w:rPr>
          <w:lang w:val="fr-FR"/>
        </w:rPr>
        <w:t xml:space="preserve"> de la République de Lituanie (ci-après «</w:t>
      </w:r>
      <w:proofErr w:type="spellStart"/>
      <w:r w:rsidRPr="00752341">
        <w:rPr>
          <w:lang w:val="fr-FR"/>
        </w:rPr>
        <w:t>Seimas</w:t>
      </w:r>
      <w:proofErr w:type="spellEnd"/>
      <w:r w:rsidRPr="00752341">
        <w:rPr>
          <w:lang w:val="fr-FR"/>
        </w:rPr>
        <w:t xml:space="preserve">») le 26 mai 2022, à l’issue de la séance du </w:t>
      </w:r>
      <w:proofErr w:type="spellStart"/>
      <w:r w:rsidRPr="00752341">
        <w:rPr>
          <w:lang w:val="fr-FR"/>
        </w:rPr>
        <w:t>Seimas</w:t>
      </w:r>
      <w:proofErr w:type="spellEnd"/>
      <w:r w:rsidRPr="00752341">
        <w:rPr>
          <w:lang w:val="fr-FR"/>
        </w:rPr>
        <w:t xml:space="preserve"> sur l’enregistrement des unions civiles, dans le cadre d’une discussion avec un caméraman, filmée et diffusée par les médias; considérant que l’infraction présumée, reprochée à </w:t>
      </w:r>
      <w:proofErr w:type="spellStart"/>
      <w:r w:rsidRPr="00752341">
        <w:rPr>
          <w:lang w:val="fr-FR"/>
        </w:rPr>
        <w:t>Petras</w:t>
      </w:r>
      <w:proofErr w:type="spellEnd"/>
      <w:r w:rsidRPr="00752341">
        <w:rPr>
          <w:lang w:val="fr-FR"/>
        </w:rPr>
        <w:t xml:space="preserve"> </w:t>
      </w:r>
      <w:proofErr w:type="spellStart"/>
      <w:r w:rsidRPr="00752341">
        <w:rPr>
          <w:lang w:val="fr-FR"/>
        </w:rPr>
        <w:t>Gražulis</w:t>
      </w:r>
      <w:proofErr w:type="spellEnd"/>
      <w:r w:rsidRPr="00752341">
        <w:rPr>
          <w:lang w:val="fr-FR"/>
        </w:rPr>
        <w:t xml:space="preserve">, à l’époque membre du </w:t>
      </w:r>
      <w:proofErr w:type="spellStart"/>
      <w:r w:rsidRPr="00752341">
        <w:rPr>
          <w:lang w:val="fr-FR"/>
        </w:rPr>
        <w:t>Seimas</w:t>
      </w:r>
      <w:proofErr w:type="spellEnd"/>
      <w:r w:rsidRPr="00752341">
        <w:rPr>
          <w:lang w:val="fr-FR"/>
        </w:rPr>
        <w:t>, remonte à 2022</w:t>
      </w:r>
      <w:r w:rsidR="00CF0ABE">
        <w:rPr>
          <w:lang w:val="fr-FR"/>
        </w:rPr>
        <w:t>;</w:t>
      </w:r>
      <w:r w:rsidRPr="00752341">
        <w:rPr>
          <w:lang w:val="fr-FR"/>
        </w:rPr>
        <w:t xml:space="preserve"> </w:t>
      </w:r>
      <w:r w:rsidR="006361D3">
        <w:rPr>
          <w:lang w:val="fr-FR"/>
        </w:rPr>
        <w:t xml:space="preserve">considérant </w:t>
      </w:r>
      <w:r w:rsidRPr="00752341">
        <w:rPr>
          <w:lang w:val="fr-FR"/>
        </w:rPr>
        <w:t xml:space="preserve">que l’enquête préliminaire s’est déroulée en 2022 et 2023, et que l’affaire a été transmise au tribunal régional de Vilnius en janvier 2024; considérant que </w:t>
      </w:r>
      <w:proofErr w:type="spellStart"/>
      <w:r w:rsidRPr="00752341">
        <w:rPr>
          <w:lang w:val="fr-FR"/>
        </w:rPr>
        <w:t>Petras</w:t>
      </w:r>
      <w:proofErr w:type="spellEnd"/>
      <w:r w:rsidRPr="00752341">
        <w:rPr>
          <w:lang w:val="fr-FR"/>
        </w:rPr>
        <w:t xml:space="preserve"> </w:t>
      </w:r>
      <w:proofErr w:type="spellStart"/>
      <w:r w:rsidRPr="00752341">
        <w:rPr>
          <w:lang w:val="fr-FR"/>
        </w:rPr>
        <w:t>Gražulis</w:t>
      </w:r>
      <w:proofErr w:type="spellEnd"/>
      <w:r w:rsidRPr="00752341">
        <w:rPr>
          <w:lang w:val="fr-FR"/>
        </w:rPr>
        <w:t xml:space="preserve"> bénéficiait à ce moment d’une immunité en tant que </w:t>
      </w:r>
      <w:r w:rsidRPr="00752341">
        <w:rPr>
          <w:shd w:val="clear" w:color="auto" w:fill="FFFFFF"/>
          <w:lang w:val="fr-FR"/>
        </w:rPr>
        <w:t>député</w:t>
      </w:r>
      <w:r w:rsidRPr="00752341">
        <w:rPr>
          <w:lang w:val="fr-FR"/>
        </w:rPr>
        <w:t xml:space="preserve"> du </w:t>
      </w:r>
      <w:proofErr w:type="spellStart"/>
      <w:r w:rsidRPr="00752341">
        <w:rPr>
          <w:lang w:val="fr-FR"/>
        </w:rPr>
        <w:t>Seimas</w:t>
      </w:r>
      <w:proofErr w:type="spellEnd"/>
      <w:r w:rsidRPr="00752341">
        <w:rPr>
          <w:lang w:val="fr-FR"/>
        </w:rPr>
        <w:t xml:space="preserve">, mais que, le 16 novembre 2023, le </w:t>
      </w:r>
      <w:proofErr w:type="spellStart"/>
      <w:r w:rsidRPr="00752341">
        <w:rPr>
          <w:lang w:val="fr-FR"/>
        </w:rPr>
        <w:t>Seimas</w:t>
      </w:r>
      <w:proofErr w:type="spellEnd"/>
      <w:r w:rsidRPr="00752341">
        <w:rPr>
          <w:lang w:val="fr-FR"/>
        </w:rPr>
        <w:t xml:space="preserve"> avait donné son accord pour que des poursuites pénales soient engagées contre lui;</w:t>
      </w:r>
    </w:p>
    <w:p w:rsidR="008539DF" w:rsidRPr="00752341" w:rsidRDefault="008539DF" w:rsidP="008539DF">
      <w:pPr>
        <w:pStyle w:val="NormalHanging12a"/>
        <w:widowControl/>
        <w:rPr>
          <w:lang w:val="fr-FR"/>
        </w:rPr>
      </w:pPr>
      <w:r w:rsidRPr="00752341">
        <w:rPr>
          <w:lang w:val="fr-FR"/>
        </w:rPr>
        <w:t>C.</w:t>
      </w:r>
      <w:r w:rsidRPr="00752341">
        <w:rPr>
          <w:lang w:val="fr-FR"/>
        </w:rPr>
        <w:tab/>
        <w:t xml:space="preserve">considérant que </w:t>
      </w:r>
      <w:proofErr w:type="spellStart"/>
      <w:r w:rsidRPr="00752341">
        <w:rPr>
          <w:lang w:val="fr-FR"/>
        </w:rPr>
        <w:t>Petras</w:t>
      </w:r>
      <w:proofErr w:type="spellEnd"/>
      <w:r w:rsidRPr="00752341">
        <w:rPr>
          <w:lang w:val="fr-FR"/>
        </w:rPr>
        <w:t xml:space="preserve"> </w:t>
      </w:r>
      <w:proofErr w:type="spellStart"/>
      <w:r w:rsidRPr="00752341">
        <w:rPr>
          <w:lang w:val="fr-FR"/>
        </w:rPr>
        <w:t>Gražulis</w:t>
      </w:r>
      <w:proofErr w:type="spellEnd"/>
      <w:r w:rsidRPr="00752341">
        <w:rPr>
          <w:shd w:val="clear" w:color="auto" w:fill="FFFFFF"/>
          <w:lang w:val="fr-FR"/>
        </w:rPr>
        <w:t xml:space="preserve"> a été élu au Parlement européen lors des élections européennes de juin 2024</w:t>
      </w:r>
      <w:r w:rsidRPr="00752341">
        <w:rPr>
          <w:lang w:val="fr-FR"/>
        </w:rPr>
        <w:t xml:space="preserve"> et qu’il </w:t>
      </w:r>
      <w:r w:rsidRPr="00752341">
        <w:rPr>
          <w:shd w:val="clear" w:color="auto" w:fill="FFFFFF"/>
          <w:lang w:val="fr-FR"/>
        </w:rPr>
        <w:t>n’était pas député au Parlement européen au moment de l’infraction présumée;</w:t>
      </w:r>
    </w:p>
    <w:p w:rsidR="008539DF" w:rsidRPr="00752341" w:rsidRDefault="008539DF" w:rsidP="008539DF">
      <w:pPr>
        <w:pStyle w:val="NormalHanging12a"/>
        <w:widowControl/>
        <w:rPr>
          <w:lang w:val="fr-FR"/>
        </w:rPr>
      </w:pPr>
      <w:r w:rsidRPr="00752341">
        <w:rPr>
          <w:lang w:val="fr-FR"/>
        </w:rPr>
        <w:t>D.</w:t>
      </w:r>
      <w:r w:rsidRPr="00752341">
        <w:rPr>
          <w:lang w:val="fr-FR"/>
        </w:rPr>
        <w:tab/>
        <w:t xml:space="preserve">considérant que l’infraction présumée et la demande de levée de son immunité qui en découle ne sont pas liées à une opinion ou à un vote émis par </w:t>
      </w:r>
      <w:proofErr w:type="spellStart"/>
      <w:r w:rsidRPr="00752341">
        <w:rPr>
          <w:lang w:val="fr-FR"/>
        </w:rPr>
        <w:t>Petras</w:t>
      </w:r>
      <w:proofErr w:type="spellEnd"/>
      <w:r w:rsidRPr="00752341">
        <w:rPr>
          <w:lang w:val="fr-FR"/>
        </w:rPr>
        <w:t xml:space="preserve"> </w:t>
      </w:r>
      <w:proofErr w:type="spellStart"/>
      <w:r w:rsidRPr="00752341">
        <w:rPr>
          <w:lang w:val="fr-FR"/>
        </w:rPr>
        <w:t>Gražulis</w:t>
      </w:r>
      <w:proofErr w:type="spellEnd"/>
      <w:r w:rsidRPr="00752341">
        <w:rPr>
          <w:lang w:val="fr-FR"/>
        </w:rPr>
        <w:t xml:space="preserve"> dans l’exercice de ses fonctions au sens de l’article 8 du protocole nº 7 sur les privilèges et immunités de l’Union européenne;</w:t>
      </w:r>
    </w:p>
    <w:p w:rsidR="008539DF" w:rsidRPr="00752341" w:rsidRDefault="008539DF" w:rsidP="008539DF">
      <w:pPr>
        <w:pStyle w:val="NormalHanging12a"/>
        <w:widowControl/>
        <w:rPr>
          <w:lang w:val="fr-FR"/>
        </w:rPr>
      </w:pPr>
      <w:r w:rsidRPr="00752341">
        <w:rPr>
          <w:lang w:val="fr-FR"/>
        </w:rPr>
        <w:t>E.</w:t>
      </w:r>
      <w:r w:rsidRPr="00752341">
        <w:rPr>
          <w:lang w:val="fr-FR"/>
        </w:rPr>
        <w:tab/>
        <w:t xml:space="preserve">considérant que l’article 9, premier alinéa, </w:t>
      </w:r>
      <w:proofErr w:type="gramStart"/>
      <w:r w:rsidRPr="00752341">
        <w:rPr>
          <w:lang w:val="fr-FR"/>
        </w:rPr>
        <w:t>point a</w:t>
      </w:r>
      <w:proofErr w:type="gramEnd"/>
      <w:r w:rsidRPr="00752341">
        <w:rPr>
          <w:lang w:val="fr-FR"/>
        </w:rPr>
        <w:t xml:space="preserve">), du protocole nº 7 sur les privilèges et immunités de l’Union européenne dispose que les membres du Parlement européen bénéficient, sur leur territoire national, des immunités reconnues aux membres du parlement de leur </w:t>
      </w:r>
      <w:r w:rsidR="006361D3" w:rsidRPr="00931107">
        <w:rPr>
          <w:lang w:val="fr-FR"/>
        </w:rPr>
        <w:t>État</w:t>
      </w:r>
      <w:r w:rsidR="006361D3" w:rsidRPr="00752341" w:rsidDel="006361D3">
        <w:rPr>
          <w:lang w:val="fr-FR"/>
        </w:rPr>
        <w:t xml:space="preserve"> </w:t>
      </w:r>
      <w:r w:rsidRPr="00752341">
        <w:rPr>
          <w:lang w:val="fr-FR"/>
        </w:rPr>
        <w:t>;</w:t>
      </w:r>
    </w:p>
    <w:p w:rsidR="008539DF" w:rsidRPr="00752341" w:rsidRDefault="008539DF" w:rsidP="008539DF">
      <w:pPr>
        <w:pStyle w:val="NormalHanging12a"/>
        <w:widowControl/>
        <w:rPr>
          <w:lang w:val="fr-FR"/>
        </w:rPr>
      </w:pPr>
      <w:r w:rsidRPr="00752341">
        <w:rPr>
          <w:lang w:val="fr-FR"/>
        </w:rPr>
        <w:t>F.</w:t>
      </w:r>
      <w:r w:rsidRPr="00752341">
        <w:rPr>
          <w:lang w:val="fr-FR"/>
        </w:rPr>
        <w:tab/>
        <w:t>considérant qu’en vertu de l’article 62 de la Constitution de la République de Lituanie,</w:t>
      </w:r>
      <w:proofErr w:type="gramStart"/>
      <w:r w:rsidRPr="00752341">
        <w:rPr>
          <w:lang w:val="fr-FR"/>
        </w:rPr>
        <w:t xml:space="preserve"> «[</w:t>
      </w:r>
      <w:proofErr w:type="gramEnd"/>
      <w:r w:rsidRPr="00752341">
        <w:rPr>
          <w:lang w:val="fr-FR"/>
        </w:rPr>
        <w:t xml:space="preserve">l]a personne d’un membre du </w:t>
      </w:r>
      <w:proofErr w:type="spellStart"/>
      <w:r w:rsidRPr="00752341">
        <w:rPr>
          <w:lang w:val="fr-FR"/>
        </w:rPr>
        <w:t>Seimas</w:t>
      </w:r>
      <w:proofErr w:type="spellEnd"/>
      <w:r w:rsidRPr="00752341">
        <w:rPr>
          <w:lang w:val="fr-FR"/>
        </w:rPr>
        <w:t xml:space="preserve"> est inviolable. Un membre du </w:t>
      </w:r>
      <w:proofErr w:type="spellStart"/>
      <w:r w:rsidRPr="00752341">
        <w:rPr>
          <w:lang w:val="fr-FR"/>
        </w:rPr>
        <w:t>Seimas</w:t>
      </w:r>
      <w:proofErr w:type="spellEnd"/>
      <w:r w:rsidRPr="00752341">
        <w:rPr>
          <w:lang w:val="fr-FR"/>
        </w:rPr>
        <w:t xml:space="preserve"> ne peut, sans le consentement du </w:t>
      </w:r>
      <w:proofErr w:type="spellStart"/>
      <w:r w:rsidRPr="00752341">
        <w:rPr>
          <w:lang w:val="fr-FR"/>
        </w:rPr>
        <w:t>Seimas</w:t>
      </w:r>
      <w:proofErr w:type="spellEnd"/>
      <w:r w:rsidRPr="00752341">
        <w:rPr>
          <w:lang w:val="fr-FR"/>
        </w:rPr>
        <w:t xml:space="preserve">, ni être poursuivi en justice pour crime, ni être arrêté, ni voir sa liberté restreinte de toute autre manière. Un membre du </w:t>
      </w:r>
      <w:proofErr w:type="spellStart"/>
      <w:r w:rsidRPr="00752341">
        <w:rPr>
          <w:lang w:val="fr-FR"/>
        </w:rPr>
        <w:t>Seimas</w:t>
      </w:r>
      <w:proofErr w:type="spellEnd"/>
      <w:r w:rsidRPr="00752341">
        <w:rPr>
          <w:lang w:val="fr-FR"/>
        </w:rPr>
        <w:t xml:space="preserve"> ne peut être </w:t>
      </w:r>
      <w:r w:rsidR="00DF73A4">
        <w:rPr>
          <w:lang w:val="fr-FR"/>
        </w:rPr>
        <w:t>persécuté</w:t>
      </w:r>
      <w:r w:rsidR="00DF73A4" w:rsidRPr="00752341">
        <w:rPr>
          <w:lang w:val="fr-FR"/>
        </w:rPr>
        <w:t xml:space="preserve"> </w:t>
      </w:r>
      <w:r w:rsidRPr="00752341">
        <w:rPr>
          <w:lang w:val="fr-FR"/>
        </w:rPr>
        <w:t xml:space="preserve">pour des votes ou des discours au </w:t>
      </w:r>
      <w:proofErr w:type="spellStart"/>
      <w:r w:rsidRPr="00752341">
        <w:rPr>
          <w:lang w:val="fr-FR"/>
        </w:rPr>
        <w:t>Seimas</w:t>
      </w:r>
      <w:proofErr w:type="spellEnd"/>
      <w:r w:rsidRPr="00752341">
        <w:rPr>
          <w:lang w:val="fr-FR"/>
        </w:rPr>
        <w:t xml:space="preserve">. Toutefois, il peut être poursuivi en justice, selon le droit commun, pour injure à personne ou </w:t>
      </w:r>
      <w:proofErr w:type="gramStart"/>
      <w:r w:rsidRPr="00752341">
        <w:rPr>
          <w:lang w:val="fr-FR"/>
        </w:rPr>
        <w:t>diffamation»</w:t>
      </w:r>
      <w:proofErr w:type="gramEnd"/>
      <w:r w:rsidRPr="00752341">
        <w:rPr>
          <w:sz w:val="22"/>
          <w:szCs w:val="22"/>
          <w:lang w:val="fr-FR"/>
        </w:rPr>
        <w:t xml:space="preserve">; </w:t>
      </w:r>
    </w:p>
    <w:p w:rsidR="008539DF" w:rsidRPr="00752341" w:rsidRDefault="008539DF" w:rsidP="008539DF">
      <w:pPr>
        <w:pStyle w:val="NormalHanging12a"/>
        <w:widowControl/>
        <w:rPr>
          <w:lang w:val="fr-FR"/>
        </w:rPr>
      </w:pPr>
      <w:r w:rsidRPr="00752341">
        <w:rPr>
          <w:lang w:val="fr-FR"/>
        </w:rPr>
        <w:t>G.</w:t>
      </w:r>
      <w:r w:rsidRPr="00752341">
        <w:rPr>
          <w:lang w:val="fr-FR"/>
        </w:rPr>
        <w:tab/>
        <w:t>considérant que l’immunité parlementaire a pour objet de protéger le Parlement et ses députés contre des procédures judiciaires visant des activités menées dans l’exercice des fonctions parlementaires et indissociables de celles-ci;</w:t>
      </w:r>
    </w:p>
    <w:p w:rsidR="008539DF" w:rsidRPr="00752341" w:rsidRDefault="008539DF" w:rsidP="008539DF">
      <w:pPr>
        <w:pStyle w:val="NormalHanging12a"/>
        <w:widowControl/>
        <w:rPr>
          <w:lang w:val="fr-FR"/>
        </w:rPr>
      </w:pPr>
      <w:r w:rsidRPr="00752341">
        <w:rPr>
          <w:lang w:val="fr-FR"/>
        </w:rPr>
        <w:t>H.</w:t>
      </w:r>
      <w:r w:rsidRPr="00752341">
        <w:rPr>
          <w:lang w:val="fr-FR"/>
        </w:rPr>
        <w:tab/>
        <w:t>considérant que, conformément à l’article 5, paragraphe 2, de son règlement intérieur, l’immunité parlementaire n’est pas un privilège personnel du député, mais une garantie d’indépendance du Parlement dans son ensemble et de ses députés;</w:t>
      </w:r>
    </w:p>
    <w:p w:rsidR="008539DF" w:rsidRPr="00752341" w:rsidRDefault="008539DF" w:rsidP="008539DF">
      <w:pPr>
        <w:pStyle w:val="NormalHanging12a"/>
        <w:widowControl/>
        <w:rPr>
          <w:lang w:val="fr-FR"/>
        </w:rPr>
      </w:pPr>
      <w:r w:rsidRPr="00752341">
        <w:rPr>
          <w:lang w:val="fr-FR"/>
        </w:rPr>
        <w:t>I.</w:t>
      </w:r>
      <w:r w:rsidRPr="00752341">
        <w:rPr>
          <w:lang w:val="fr-FR"/>
        </w:rPr>
        <w:tab/>
        <w:t xml:space="preserve">considérant que, en l’espèce, le Parlement européen n’a trouvé aucun élément de preuve établissant l’existence d’un </w:t>
      </w:r>
      <w:proofErr w:type="spellStart"/>
      <w:r w:rsidRPr="00752341">
        <w:rPr>
          <w:i/>
          <w:lang w:val="fr-FR"/>
        </w:rPr>
        <w:t>fumus</w:t>
      </w:r>
      <w:proofErr w:type="spellEnd"/>
      <w:r w:rsidRPr="00752341">
        <w:rPr>
          <w:i/>
          <w:lang w:val="fr-FR"/>
        </w:rPr>
        <w:t> </w:t>
      </w:r>
      <w:proofErr w:type="spellStart"/>
      <w:r w:rsidRPr="00752341">
        <w:rPr>
          <w:i/>
          <w:lang w:val="fr-FR"/>
        </w:rPr>
        <w:t>persecutionis</w:t>
      </w:r>
      <w:proofErr w:type="spellEnd"/>
      <w:r w:rsidRPr="00752341">
        <w:rPr>
          <w:lang w:val="fr-FR"/>
        </w:rPr>
        <w:t>, c’est-à-dire des éléments de fait qui permettent de présumer que les poursuites en question ont été engagées dans l’intention de nuire à l’activité politique du député en sa qualité de député au Parlement européen;</w:t>
      </w:r>
    </w:p>
    <w:p w:rsidR="008539DF" w:rsidRPr="00752341" w:rsidRDefault="008539DF" w:rsidP="008539DF">
      <w:pPr>
        <w:pStyle w:val="NormalHanging12a"/>
        <w:widowControl/>
        <w:rPr>
          <w:lang w:val="fr-FR"/>
        </w:rPr>
      </w:pPr>
      <w:r w:rsidRPr="00752341">
        <w:rPr>
          <w:lang w:val="fr-FR"/>
        </w:rPr>
        <w:lastRenderedPageBreak/>
        <w:t>J.</w:t>
      </w:r>
      <w:r w:rsidRPr="00752341">
        <w:rPr>
          <w:lang w:val="fr-FR"/>
        </w:rPr>
        <w:tab/>
        <w:t>considérant, d’une part, que le Parlement ne saurait être assimilé à un tribunal et, d’autre part, que le député ne saurait, dans le contexte d’une procédure de levée d’immunité, être considéré comme un «accusé»</w:t>
      </w:r>
      <w:r w:rsidRPr="00752341">
        <w:rPr>
          <w:vertAlign w:val="superscript"/>
          <w:lang w:val="fr-FR"/>
        </w:rPr>
        <w:footnoteReference w:id="2"/>
      </w:r>
      <w:r w:rsidRPr="00752341">
        <w:rPr>
          <w:lang w:val="fr-FR"/>
        </w:rPr>
        <w:t>;</w:t>
      </w:r>
    </w:p>
    <w:p w:rsidR="008539DF" w:rsidRPr="00752341" w:rsidRDefault="008539DF" w:rsidP="008539DF">
      <w:pPr>
        <w:pStyle w:val="NormalHanging12a"/>
        <w:widowControl/>
        <w:rPr>
          <w:lang w:val="fr-FR"/>
        </w:rPr>
      </w:pPr>
      <w:r w:rsidRPr="00752341">
        <w:rPr>
          <w:lang w:val="fr-FR"/>
        </w:rPr>
        <w:t>1.</w:t>
      </w:r>
      <w:r w:rsidRPr="00752341">
        <w:rPr>
          <w:lang w:val="fr-FR"/>
        </w:rPr>
        <w:tab/>
        <w:t xml:space="preserve">décide de lever l’immunité de </w:t>
      </w:r>
      <w:proofErr w:type="spellStart"/>
      <w:r w:rsidRPr="00752341">
        <w:rPr>
          <w:lang w:val="fr-FR"/>
        </w:rPr>
        <w:t>Petras</w:t>
      </w:r>
      <w:proofErr w:type="spellEnd"/>
      <w:r w:rsidRPr="00752341">
        <w:rPr>
          <w:lang w:val="fr-FR"/>
        </w:rPr>
        <w:t xml:space="preserve"> </w:t>
      </w:r>
      <w:proofErr w:type="spellStart"/>
      <w:r w:rsidRPr="00752341">
        <w:rPr>
          <w:lang w:val="fr-FR"/>
        </w:rPr>
        <w:t>Gražulis</w:t>
      </w:r>
      <w:proofErr w:type="spellEnd"/>
      <w:r w:rsidRPr="00752341">
        <w:rPr>
          <w:lang w:val="fr-FR"/>
        </w:rPr>
        <w:t>;</w:t>
      </w:r>
    </w:p>
    <w:p w:rsidR="00E365E1" w:rsidRPr="00752341" w:rsidRDefault="008539DF" w:rsidP="002513AF">
      <w:pPr>
        <w:ind w:left="567" w:hanging="567"/>
      </w:pPr>
      <w:r w:rsidRPr="00752341">
        <w:t>2.</w:t>
      </w:r>
      <w:r w:rsidRPr="00752341">
        <w:tab/>
        <w:t xml:space="preserve">charge sa Présidente de transmettre immédiatement la présente décision et le rapport de sa commission compétente aux autorités compétentes de la République de Lituanie et à </w:t>
      </w:r>
      <w:proofErr w:type="spellStart"/>
      <w:r w:rsidRPr="00752341">
        <w:t>Petras</w:t>
      </w:r>
      <w:proofErr w:type="spellEnd"/>
      <w:r w:rsidRPr="00752341">
        <w:t xml:space="preserve"> </w:t>
      </w:r>
      <w:proofErr w:type="spellStart"/>
      <w:r w:rsidRPr="00752341">
        <w:t>Gražulis</w:t>
      </w:r>
      <w:proofErr w:type="spellEnd"/>
      <w:r w:rsidRPr="00752341">
        <w:t>.</w:t>
      </w:r>
    </w:p>
    <w:sectPr w:rsidR="00E365E1" w:rsidRPr="00752341" w:rsidSect="00752341">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144F" w:rsidRPr="00752341" w:rsidRDefault="0004144F">
      <w:r w:rsidRPr="00752341">
        <w:separator/>
      </w:r>
    </w:p>
  </w:endnote>
  <w:endnote w:type="continuationSeparator" w:id="0">
    <w:p w:rsidR="0004144F" w:rsidRPr="00752341" w:rsidRDefault="0004144F">
      <w:r w:rsidRPr="007523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234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234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234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144F" w:rsidRPr="00752341" w:rsidRDefault="0004144F">
      <w:r w:rsidRPr="00752341">
        <w:separator/>
      </w:r>
    </w:p>
  </w:footnote>
  <w:footnote w:type="continuationSeparator" w:id="0">
    <w:p w:rsidR="0004144F" w:rsidRPr="00752341" w:rsidRDefault="0004144F">
      <w:r w:rsidRPr="00752341">
        <w:continuationSeparator/>
      </w:r>
    </w:p>
  </w:footnote>
  <w:footnote w:id="1">
    <w:p w:rsidR="008539DF" w:rsidRPr="00752341" w:rsidRDefault="008539DF" w:rsidP="00752341">
      <w:pPr>
        <w:pStyle w:val="FootnoteText"/>
        <w:ind w:left="567" w:hanging="567"/>
        <w:rPr>
          <w:sz w:val="24"/>
        </w:rPr>
      </w:pPr>
      <w:r w:rsidRPr="00752341">
        <w:rPr>
          <w:rStyle w:val="FootnoteReference"/>
          <w:sz w:val="24"/>
        </w:rPr>
        <w:footnoteRef/>
      </w:r>
      <w:r w:rsidR="00752341" w:rsidRPr="00752341">
        <w:rPr>
          <w:sz w:val="24"/>
        </w:rPr>
        <w:t xml:space="preserve"> </w:t>
      </w:r>
      <w:r w:rsidR="00752341" w:rsidRPr="00752341">
        <w:rPr>
          <w:sz w:val="24"/>
        </w:rPr>
        <w:tab/>
      </w:r>
      <w:r w:rsidRPr="00752341">
        <w:rPr>
          <w:sz w:val="24"/>
        </w:rPr>
        <w:t xml:space="preserve">Arrêt de la Cour de justice du 21 octobre 2008, Marra/De Gregorio et </w:t>
      </w:r>
      <w:proofErr w:type="spellStart"/>
      <w:r w:rsidRPr="00752341">
        <w:rPr>
          <w:sz w:val="24"/>
        </w:rPr>
        <w:t>Clemente</w:t>
      </w:r>
      <w:proofErr w:type="spellEnd"/>
      <w:r w:rsidRPr="00752341">
        <w:rPr>
          <w:sz w:val="24"/>
        </w:rPr>
        <w:t xml:space="preserve">, C-200/07 et C-201/07, ECLI:EU:C:2008:579; arrêt du Tribunal du 19 mars 2010, </w:t>
      </w:r>
      <w:proofErr w:type="spellStart"/>
      <w:r w:rsidRPr="00752341">
        <w:rPr>
          <w:sz w:val="24"/>
        </w:rPr>
        <w:t>Gollnisch</w:t>
      </w:r>
      <w:proofErr w:type="spellEnd"/>
      <w:r w:rsidRPr="00752341">
        <w:rPr>
          <w:sz w:val="24"/>
        </w:rPr>
        <w:t xml:space="preserve">/Parlement, T-42/06, ECLI:EU:T:2010:102; arrêt de la Cour de justice du 6 septembre 2011, </w:t>
      </w:r>
      <w:proofErr w:type="spellStart"/>
      <w:r w:rsidRPr="00752341">
        <w:rPr>
          <w:sz w:val="24"/>
        </w:rPr>
        <w:t>Patriciello</w:t>
      </w:r>
      <w:proofErr w:type="spellEnd"/>
      <w:r w:rsidRPr="00752341">
        <w:rPr>
          <w:sz w:val="24"/>
        </w:rPr>
        <w:t xml:space="preserve">, C-163/10, ECLI:EU:C:2011:543; arrêt du Tribunal du 17 janvier 2013, </w:t>
      </w:r>
      <w:proofErr w:type="spellStart"/>
      <w:r w:rsidRPr="00752341">
        <w:rPr>
          <w:sz w:val="24"/>
        </w:rPr>
        <w:t>Gollnisch</w:t>
      </w:r>
      <w:proofErr w:type="spellEnd"/>
      <w:r w:rsidRPr="00752341">
        <w:rPr>
          <w:sz w:val="24"/>
        </w:rPr>
        <w:t xml:space="preserve">/Parlement, T-346/11 et T-347/11, ECLI:EU:T:2013:23; arrêt de la Cour de justice du 19 décembre 2019, </w:t>
      </w:r>
      <w:proofErr w:type="spellStart"/>
      <w:r w:rsidRPr="00752341">
        <w:rPr>
          <w:sz w:val="24"/>
        </w:rPr>
        <w:t>Junqueras</w:t>
      </w:r>
      <w:proofErr w:type="spellEnd"/>
      <w:r w:rsidRPr="00752341">
        <w:rPr>
          <w:sz w:val="24"/>
        </w:rPr>
        <w:t xml:space="preserve"> Vies, C-502/19, ECLI:EU:C:2019:1115; arrêt du Tribunal du 5 juillet 2023, </w:t>
      </w:r>
      <w:proofErr w:type="spellStart"/>
      <w:r w:rsidRPr="00752341">
        <w:rPr>
          <w:sz w:val="24"/>
        </w:rPr>
        <w:t>Puigdemont</w:t>
      </w:r>
      <w:proofErr w:type="spellEnd"/>
      <w:r w:rsidRPr="00752341">
        <w:rPr>
          <w:sz w:val="24"/>
        </w:rPr>
        <w:t xml:space="preserve"> i </w:t>
      </w:r>
      <w:proofErr w:type="spellStart"/>
      <w:r w:rsidRPr="00752341">
        <w:rPr>
          <w:sz w:val="24"/>
        </w:rPr>
        <w:t>Casamajó</w:t>
      </w:r>
      <w:proofErr w:type="spellEnd"/>
      <w:r w:rsidRPr="00752341">
        <w:rPr>
          <w:sz w:val="24"/>
        </w:rPr>
        <w:t xml:space="preserve"> </w:t>
      </w:r>
      <w:proofErr w:type="spellStart"/>
      <w:r w:rsidRPr="00752341">
        <w:rPr>
          <w:sz w:val="24"/>
        </w:rPr>
        <w:t>e.a</w:t>
      </w:r>
      <w:proofErr w:type="spellEnd"/>
      <w:r w:rsidRPr="00752341">
        <w:rPr>
          <w:sz w:val="24"/>
        </w:rPr>
        <w:t>./Parlement, T-272/21, ECLI:EU:T:2023:373.</w:t>
      </w:r>
    </w:p>
  </w:footnote>
  <w:footnote w:id="2">
    <w:p w:rsidR="008539DF" w:rsidRPr="00752341" w:rsidRDefault="008539DF" w:rsidP="00752341">
      <w:pPr>
        <w:pStyle w:val="FootnoteText"/>
        <w:ind w:left="567" w:hanging="567"/>
        <w:rPr>
          <w:sz w:val="24"/>
        </w:rPr>
      </w:pPr>
      <w:r w:rsidRPr="00752341">
        <w:rPr>
          <w:rStyle w:val="FootnoteReference"/>
          <w:sz w:val="24"/>
        </w:rPr>
        <w:footnoteRef/>
      </w:r>
      <w:r w:rsidR="00752341" w:rsidRPr="00752341">
        <w:rPr>
          <w:sz w:val="24"/>
        </w:rPr>
        <w:t xml:space="preserve"> </w:t>
      </w:r>
      <w:r w:rsidR="00752341" w:rsidRPr="00752341">
        <w:rPr>
          <w:sz w:val="24"/>
        </w:rPr>
        <w:tab/>
      </w:r>
      <w:r w:rsidRPr="00752341">
        <w:rPr>
          <w:sz w:val="24"/>
        </w:rPr>
        <w:t xml:space="preserve">Arrêt du Tribunal du 30 avril 2019, </w:t>
      </w:r>
      <w:proofErr w:type="spellStart"/>
      <w:r w:rsidRPr="00752341">
        <w:rPr>
          <w:sz w:val="24"/>
        </w:rPr>
        <w:t>Briois</w:t>
      </w:r>
      <w:proofErr w:type="spellEnd"/>
      <w:r w:rsidRPr="00752341">
        <w:rPr>
          <w:sz w:val="24"/>
        </w:rPr>
        <w:t>/Parlement, T-214/18, ECLI:</w:t>
      </w:r>
      <w:proofErr w:type="gramStart"/>
      <w:r w:rsidRPr="00752341">
        <w:rPr>
          <w:sz w:val="24"/>
        </w:rPr>
        <w:t>EU:T</w:t>
      </w:r>
      <w:proofErr w:type="gramEnd"/>
      <w:r w:rsidRPr="00752341">
        <w:rPr>
          <w:sz w:val="24"/>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234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234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234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8/2025"/>
    <w:docVar w:name="dvlangue" w:val="FR"/>
    <w:docVar w:name="dvnumam" w:val="0"/>
    <w:docVar w:name="dvpe" w:val="770.080"/>
    <w:docVar w:name="dvrapporteur" w:val="Rapporteure: "/>
    <w:docVar w:name="dvtitre" w:val="Décision du Parlement européen du ... 2025 sur la demande de levée de l’immunité de Petras Gražulis(2024/2089(IMM))"/>
  </w:docVars>
  <w:rsids>
    <w:rsidRoot w:val="0004144F"/>
    <w:rsid w:val="00002272"/>
    <w:rsid w:val="0004144F"/>
    <w:rsid w:val="00064002"/>
    <w:rsid w:val="000677B9"/>
    <w:rsid w:val="000831BA"/>
    <w:rsid w:val="000A42CC"/>
    <w:rsid w:val="000E7DD9"/>
    <w:rsid w:val="0010095E"/>
    <w:rsid w:val="00125B37"/>
    <w:rsid w:val="00187494"/>
    <w:rsid w:val="001F32AE"/>
    <w:rsid w:val="002513AF"/>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61D3"/>
    <w:rsid w:val="006631B6"/>
    <w:rsid w:val="00680577"/>
    <w:rsid w:val="006F74FA"/>
    <w:rsid w:val="00731ADD"/>
    <w:rsid w:val="00734777"/>
    <w:rsid w:val="00747932"/>
    <w:rsid w:val="00751A4A"/>
    <w:rsid w:val="00752341"/>
    <w:rsid w:val="00756632"/>
    <w:rsid w:val="00762C74"/>
    <w:rsid w:val="00786EC0"/>
    <w:rsid w:val="007D1690"/>
    <w:rsid w:val="007E22AD"/>
    <w:rsid w:val="00817416"/>
    <w:rsid w:val="00842779"/>
    <w:rsid w:val="008539DF"/>
    <w:rsid w:val="00865F67"/>
    <w:rsid w:val="00881A7B"/>
    <w:rsid w:val="008840E5"/>
    <w:rsid w:val="00887B3E"/>
    <w:rsid w:val="008C2AC6"/>
    <w:rsid w:val="00930C23"/>
    <w:rsid w:val="00931107"/>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0ABE"/>
    <w:rsid w:val="00D058B8"/>
    <w:rsid w:val="00D56C11"/>
    <w:rsid w:val="00D834A0"/>
    <w:rsid w:val="00D872DF"/>
    <w:rsid w:val="00D91E21"/>
    <w:rsid w:val="00DA7FCD"/>
    <w:rsid w:val="00DF73A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6C8F3B"/>
  <w15:chartTrackingRefBased/>
  <w15:docId w15:val="{F758CFD3-9193-4951-A4A4-700309AE8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539DF"/>
    <w:pPr>
      <w:spacing w:after="240"/>
      <w:ind w:left="567" w:hanging="567"/>
    </w:pPr>
    <w:rPr>
      <w:lang w:val="en-GB"/>
    </w:rPr>
  </w:style>
  <w:style w:type="paragraph" w:customStyle="1" w:styleId="EPComma">
    <w:name w:val="EPComma"/>
    <w:basedOn w:val="Normal"/>
    <w:rsid w:val="008539DF"/>
    <w:pPr>
      <w:spacing w:before="480" w:after="240"/>
    </w:pPr>
    <w:rPr>
      <w:lang w:val="en-GB"/>
    </w:rPr>
  </w:style>
  <w:style w:type="paragraph" w:styleId="BalloonText">
    <w:name w:val="Balloon Text"/>
    <w:basedOn w:val="Normal"/>
    <w:link w:val="BalloonTextChar"/>
    <w:rsid w:val="006361D3"/>
    <w:rPr>
      <w:rFonts w:ascii="Segoe UI" w:hAnsi="Segoe UI" w:cs="Segoe UI"/>
      <w:sz w:val="18"/>
      <w:szCs w:val="18"/>
    </w:rPr>
  </w:style>
  <w:style w:type="character" w:customStyle="1" w:styleId="BalloonTextChar">
    <w:name w:val="Balloon Text Char"/>
    <w:basedOn w:val="DefaultParagraphFont"/>
    <w:link w:val="BalloonText"/>
    <w:rsid w:val="006361D3"/>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289DD8-2106-4237-8D97-F89408894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846</Words>
  <Characters>4608</Characters>
  <Application>Microsoft Office Word</Application>
  <DocSecurity>0</DocSecurity>
  <Lines>139</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2025-05-06T10:26:00Z</dcterms:created>
  <dcterms:modified xsi:type="dcterms:W3CDTF">2025-05-06T10:26:00Z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A10-0078/2025</vt:lpwstr>
  </property>
  <property fmtid="{D5CDD505-2E9C-101B-9397-08002B2CF9AE}" pid="4" name="&lt;Type&gt;">
    <vt:lpwstr>RR</vt:lpwstr>
  </property>
</Properties>
</file>