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74E0" w14:paraId="4464BD7E" w14:textId="77777777" w:rsidTr="0010095E">
        <w:trPr>
          <w:trHeight w:hRule="exact" w:val="1418"/>
        </w:trPr>
        <w:tc>
          <w:tcPr>
            <w:tcW w:w="6804" w:type="dxa"/>
            <w:shd w:val="clear" w:color="auto" w:fill="auto"/>
            <w:vAlign w:val="center"/>
          </w:tcPr>
          <w:p w14:paraId="77C0850B" w14:textId="77777777" w:rsidR="00751A4A" w:rsidRPr="006674E0" w:rsidRDefault="005D24E2" w:rsidP="0010095E">
            <w:pPr>
              <w:pStyle w:val="EPName"/>
            </w:pPr>
            <w:bookmarkStart w:id="0" w:name="_GoBack"/>
            <w:bookmarkEnd w:id="0"/>
            <w:r w:rsidRPr="006674E0">
              <w:t>Európai Parlament</w:t>
            </w:r>
          </w:p>
          <w:p w14:paraId="2FBCDCAD" w14:textId="77777777" w:rsidR="00751A4A" w:rsidRPr="006674E0" w:rsidRDefault="005F1B17" w:rsidP="005F1B17">
            <w:pPr>
              <w:pStyle w:val="EPTerm"/>
              <w:rPr>
                <w:rStyle w:val="HideTWBExt"/>
                <w:noProof w:val="0"/>
                <w:vanish w:val="0"/>
                <w:color w:val="auto"/>
              </w:rPr>
            </w:pPr>
            <w:r w:rsidRPr="006674E0">
              <w:t>2024</w:t>
            </w:r>
            <w:r w:rsidR="00817416" w:rsidRPr="006674E0">
              <w:t>-202</w:t>
            </w:r>
            <w:r w:rsidRPr="006674E0">
              <w:t>9</w:t>
            </w:r>
          </w:p>
        </w:tc>
        <w:tc>
          <w:tcPr>
            <w:tcW w:w="2268" w:type="dxa"/>
            <w:shd w:val="clear" w:color="auto" w:fill="auto"/>
          </w:tcPr>
          <w:p w14:paraId="7B6A9F0D" w14:textId="77777777" w:rsidR="00751A4A" w:rsidRPr="006674E0" w:rsidRDefault="00187494" w:rsidP="0010095E">
            <w:pPr>
              <w:pStyle w:val="EPLogo"/>
            </w:pPr>
            <w:r w:rsidRPr="006674E0">
              <w:rPr>
                <w:noProof/>
                <w:lang w:eastAsia="hu-HU"/>
              </w:rPr>
              <w:drawing>
                <wp:inline distT="0" distB="0" distL="0" distR="0" wp14:anchorId="787BF1F3" wp14:editId="45FDFC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C669B5" w14:textId="77777777" w:rsidR="00D058B8" w:rsidRPr="006674E0" w:rsidRDefault="00D058B8" w:rsidP="004C5D52">
      <w:pPr>
        <w:pStyle w:val="LineTop"/>
      </w:pPr>
    </w:p>
    <w:p w14:paraId="41D223EA" w14:textId="77777777" w:rsidR="00680577" w:rsidRPr="006674E0" w:rsidRDefault="005D24E2" w:rsidP="00680577">
      <w:pPr>
        <w:pStyle w:val="EPBodyTA1"/>
      </w:pPr>
      <w:r w:rsidRPr="006674E0">
        <w:t>ELFOGADOTT SZÖVEGEK</w:t>
      </w:r>
    </w:p>
    <w:p w14:paraId="35B895B6" w14:textId="77777777" w:rsidR="00D058B8" w:rsidRPr="006674E0" w:rsidRDefault="00D058B8" w:rsidP="00D058B8">
      <w:pPr>
        <w:pStyle w:val="LineBottom"/>
      </w:pPr>
    </w:p>
    <w:p w14:paraId="05542875" w14:textId="2AE4138F" w:rsidR="005D24E2" w:rsidRPr="006674E0" w:rsidRDefault="005D24E2" w:rsidP="005D24E2">
      <w:pPr>
        <w:pStyle w:val="ATHeading1"/>
      </w:pPr>
      <w:bookmarkStart w:id="1" w:name="TANumber"/>
      <w:r w:rsidRPr="006674E0">
        <w:t>P10_TA(2025)00</w:t>
      </w:r>
      <w:r w:rsidR="006674E0" w:rsidRPr="006674E0">
        <w:t>68</w:t>
      </w:r>
      <w:bookmarkEnd w:id="1"/>
    </w:p>
    <w:p w14:paraId="08A0D2F8" w14:textId="77777777" w:rsidR="005D24E2" w:rsidRPr="006674E0" w:rsidRDefault="005D24E2" w:rsidP="005D24E2">
      <w:pPr>
        <w:pStyle w:val="ATHeading2"/>
      </w:pPr>
      <w:bookmarkStart w:id="2" w:name="title"/>
      <w:r w:rsidRPr="006674E0">
        <w:t>Petras Gražulis mentelmi jogának felfüggesztésére irányuló kérelem</w:t>
      </w:r>
      <w:bookmarkEnd w:id="2"/>
    </w:p>
    <w:p w14:paraId="1CCA2BFE" w14:textId="77777777" w:rsidR="005D24E2" w:rsidRPr="006674E0" w:rsidRDefault="005D24E2" w:rsidP="005D24E2">
      <w:pPr>
        <w:rPr>
          <w:i/>
          <w:vanish/>
        </w:rPr>
      </w:pPr>
      <w:r w:rsidRPr="006674E0">
        <w:rPr>
          <w:i/>
        </w:rPr>
        <w:fldChar w:fldCharType="begin"/>
      </w:r>
      <w:r w:rsidRPr="006674E0">
        <w:rPr>
          <w:i/>
        </w:rPr>
        <w:instrText xml:space="preserve"> TC"(</w:instrText>
      </w:r>
      <w:bookmarkStart w:id="3" w:name="DocNumber"/>
      <w:r w:rsidRPr="006674E0">
        <w:rPr>
          <w:i/>
        </w:rPr>
        <w:instrText>A10-0078/2025</w:instrText>
      </w:r>
      <w:bookmarkEnd w:id="3"/>
      <w:r w:rsidRPr="006674E0">
        <w:rPr>
          <w:i/>
        </w:rPr>
        <w:instrText xml:space="preserve"> - Előadó: Pascale Piera)"\l3 \n&gt; \* MERGEFORMAT </w:instrText>
      </w:r>
      <w:r w:rsidRPr="006674E0">
        <w:rPr>
          <w:i/>
        </w:rPr>
        <w:fldChar w:fldCharType="end"/>
      </w:r>
    </w:p>
    <w:p w14:paraId="13067615" w14:textId="77777777" w:rsidR="005D24E2" w:rsidRPr="006674E0" w:rsidRDefault="005D24E2" w:rsidP="005D24E2">
      <w:pPr>
        <w:rPr>
          <w:vanish/>
        </w:rPr>
      </w:pPr>
      <w:bookmarkStart w:id="4" w:name="Commission"/>
      <w:r w:rsidRPr="006674E0">
        <w:rPr>
          <w:vanish/>
        </w:rPr>
        <w:t>Jogi Bizottság</w:t>
      </w:r>
      <w:bookmarkEnd w:id="4"/>
    </w:p>
    <w:p w14:paraId="79ECD00D" w14:textId="77777777" w:rsidR="005D24E2" w:rsidRPr="006674E0" w:rsidRDefault="005D24E2" w:rsidP="005D24E2">
      <w:pPr>
        <w:rPr>
          <w:vanish/>
        </w:rPr>
      </w:pPr>
      <w:bookmarkStart w:id="5" w:name="PE"/>
      <w:r w:rsidRPr="006674E0">
        <w:rPr>
          <w:vanish/>
        </w:rPr>
        <w:t>PE770.080</w:t>
      </w:r>
      <w:bookmarkEnd w:id="5"/>
    </w:p>
    <w:p w14:paraId="0CF68D6B" w14:textId="77777777" w:rsidR="005D24E2" w:rsidRPr="006674E0" w:rsidRDefault="005D24E2" w:rsidP="005D24E2">
      <w:pPr>
        <w:pStyle w:val="ATHeading3"/>
      </w:pPr>
      <w:bookmarkStart w:id="6" w:name="Sujet"/>
      <w:r w:rsidRPr="006674E0">
        <w:t xml:space="preserve">Az Európai Parlament 2025. </w:t>
      </w:r>
      <w:r w:rsidR="00213F19" w:rsidRPr="006674E0">
        <w:t>május 6</w:t>
      </w:r>
      <w:r w:rsidRPr="006674E0">
        <w:t>-i határozata a Petras Gražulis mentelmi jogának felfüggesztésére irányuló kérelemről</w:t>
      </w:r>
      <w:bookmarkEnd w:id="6"/>
      <w:r w:rsidRPr="006674E0">
        <w:t xml:space="preserve"> </w:t>
      </w:r>
      <w:bookmarkStart w:id="7" w:name="References"/>
      <w:r w:rsidRPr="006674E0">
        <w:t>(2024/2089(IMM))</w:t>
      </w:r>
      <w:bookmarkEnd w:id="7"/>
    </w:p>
    <w:p w14:paraId="699BFDBD" w14:textId="77777777" w:rsidR="00DF30EE" w:rsidRPr="006674E0" w:rsidRDefault="00DF30EE" w:rsidP="00213F19">
      <w:pPr>
        <w:pStyle w:val="EPComma"/>
        <w:widowControl/>
        <w:spacing w:before="360"/>
        <w:ind w:left="567" w:hanging="567"/>
      </w:pPr>
      <w:bookmarkStart w:id="8" w:name="TextBodyBegin"/>
      <w:bookmarkEnd w:id="8"/>
      <w:r w:rsidRPr="006674E0">
        <w:rPr>
          <w:i/>
        </w:rPr>
        <w:t>Az Európai Parlament</w:t>
      </w:r>
      <w:r w:rsidRPr="006674E0">
        <w:t>,</w:t>
      </w:r>
    </w:p>
    <w:p w14:paraId="20621A86" w14:textId="77777777" w:rsidR="00DF30EE" w:rsidRPr="006674E0" w:rsidRDefault="00DF30EE" w:rsidP="00EC516A">
      <w:pPr>
        <w:pStyle w:val="NormalHanging12a"/>
        <w:widowControl/>
      </w:pPr>
      <w:r w:rsidRPr="006674E0">
        <w:t>–</w:t>
      </w:r>
      <w:r w:rsidRPr="006674E0">
        <w:tab/>
        <w:t>tekintettel a Litván Köztársaság főügyésze által 2024. szeptember 16-án a Petras Gražulis ellen indított büntetőeljárással összefüggésben eljuttatott és 2024. október 24-én a plenáris ülésen bejelentett, Petras Gražulis mentelmi jogának felfüggesztésére irányuló kérelemre,</w:t>
      </w:r>
    </w:p>
    <w:p w14:paraId="6EA03881" w14:textId="77777777" w:rsidR="00DF30EE" w:rsidRPr="006674E0" w:rsidRDefault="00DF30EE" w:rsidP="00EC516A">
      <w:pPr>
        <w:pStyle w:val="NormalHanging12a"/>
        <w:widowControl/>
      </w:pPr>
      <w:r w:rsidRPr="006674E0">
        <w:t>–</w:t>
      </w:r>
      <w:r w:rsidRPr="006674E0">
        <w:tab/>
        <w:t>miután eljárási szabályzata 9. cikke (6) bekezdésének megfelelően 2025. március 18-án meghallgatta Petras Gražulist,</w:t>
      </w:r>
    </w:p>
    <w:p w14:paraId="13A4A50D" w14:textId="77777777" w:rsidR="00DF30EE" w:rsidRPr="006674E0" w:rsidRDefault="00DF30EE" w:rsidP="00EC516A">
      <w:pPr>
        <w:pStyle w:val="NormalHanging12a"/>
        <w:widowControl/>
      </w:pPr>
      <w:r w:rsidRPr="006674E0">
        <w:t>–</w:t>
      </w:r>
      <w:r w:rsidRPr="006674E0">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2E5CA4B0" w14:textId="77777777" w:rsidR="00DF30EE" w:rsidRPr="006674E0" w:rsidRDefault="00DF30EE" w:rsidP="00EC516A">
      <w:pPr>
        <w:pStyle w:val="NormalHanging12a"/>
        <w:widowControl/>
      </w:pPr>
      <w:r w:rsidRPr="006674E0">
        <w:t>–</w:t>
      </w:r>
      <w:r w:rsidRPr="006674E0">
        <w:tab/>
        <w:t>tekintettel az Európai Unió Bírósága által 2008. október 21-én, 2010. március 19-én, 2011. szeptember 6-án, 2013. január 17-én, 2019. december 19-én és 2023. július 5-én hozott ítéletekre</w:t>
      </w:r>
      <w:r w:rsidRPr="006674E0">
        <w:rPr>
          <w:rStyle w:val="FootnoteReference"/>
          <w:color w:val="000000"/>
        </w:rPr>
        <w:footnoteReference w:id="1"/>
      </w:r>
      <w:r w:rsidRPr="006674E0">
        <w:t>,</w:t>
      </w:r>
    </w:p>
    <w:p w14:paraId="3326B9EC" w14:textId="77777777" w:rsidR="00DF30EE" w:rsidRPr="006674E0" w:rsidRDefault="00DF30EE" w:rsidP="00EC516A">
      <w:pPr>
        <w:pStyle w:val="NormalHanging12a"/>
        <w:widowControl/>
      </w:pPr>
      <w:r w:rsidRPr="006674E0">
        <w:t>–</w:t>
      </w:r>
      <w:r w:rsidRPr="006674E0">
        <w:tab/>
        <w:t>tekintettel a Litván Köztársaság Alkotmányának 62. cikkére,</w:t>
      </w:r>
    </w:p>
    <w:p w14:paraId="6FB75F3C" w14:textId="77777777" w:rsidR="00DF30EE" w:rsidRPr="006674E0" w:rsidRDefault="00DF30EE" w:rsidP="00EC516A">
      <w:pPr>
        <w:pStyle w:val="NormalHanging12a"/>
        <w:widowControl/>
      </w:pPr>
      <w:r w:rsidRPr="006674E0">
        <w:lastRenderedPageBreak/>
        <w:t>–</w:t>
      </w:r>
      <w:r w:rsidRPr="006674E0">
        <w:tab/>
        <w:t>tekintettel eljárási szabályzata 5. cikkének (2) bekezdésére, 6. cikkének (1) bekezdésére és 9. cikkére,</w:t>
      </w:r>
    </w:p>
    <w:p w14:paraId="68CD6C18" w14:textId="77777777" w:rsidR="00DF30EE" w:rsidRPr="006674E0" w:rsidRDefault="00DF30EE" w:rsidP="00EC516A">
      <w:pPr>
        <w:pStyle w:val="NormalHanging12a"/>
        <w:widowControl/>
      </w:pPr>
      <w:r w:rsidRPr="006674E0">
        <w:t>–</w:t>
      </w:r>
      <w:r w:rsidRPr="006674E0">
        <w:tab/>
        <w:t>tekintettel a Jogi Bizottság jelentésére (A10-0078/2025),</w:t>
      </w:r>
    </w:p>
    <w:p w14:paraId="2BB8B2C1" w14:textId="003E41D5" w:rsidR="00DF30EE" w:rsidRPr="006674E0" w:rsidRDefault="00DF30EE" w:rsidP="00EC516A">
      <w:pPr>
        <w:pStyle w:val="NormalHanging12a"/>
        <w:widowControl/>
      </w:pPr>
      <w:r w:rsidRPr="006674E0">
        <w:t>A.</w:t>
      </w:r>
      <w:r w:rsidRPr="006674E0">
        <w:tab/>
        <w:t xml:space="preserve">mivel 2024. szeptember 16-i levelében a Litván Köztársaság főügyésze </w:t>
      </w:r>
      <w:r w:rsidR="00E25BE2" w:rsidRPr="006674E0">
        <w:t>kérte</w:t>
      </w:r>
      <w:r w:rsidRPr="006674E0">
        <w:t xml:space="preserve"> Petras Gražulis mentelmi jogának felfüggesztés</w:t>
      </w:r>
      <w:r w:rsidR="00E25BE2" w:rsidRPr="006674E0">
        <w:t>ét</w:t>
      </w:r>
      <w:r w:rsidRPr="006674E0">
        <w:t xml:space="preserve"> a Litván Köztársaság büntető törvénykönyve 170. cikkének (2) bekezdése szerinti állítólagos bűncselekménnyel összefüggésben, amiért nyilvánosan nevetségessé tette személyek egy csoportját, és megvetését juttatta kifejezésre szexuális irányultságukkal kapcsolatban;</w:t>
      </w:r>
    </w:p>
    <w:p w14:paraId="67AE6E60" w14:textId="4C147A1C" w:rsidR="00DF30EE" w:rsidRPr="006674E0" w:rsidRDefault="00DF30EE" w:rsidP="00EC516A">
      <w:pPr>
        <w:pStyle w:val="NormalHanging12a"/>
        <w:widowControl/>
      </w:pPr>
      <w:r w:rsidRPr="006674E0">
        <w:rPr>
          <w:shd w:val="clear" w:color="auto" w:fill="FFFFFF"/>
        </w:rPr>
        <w:t>B.</w:t>
      </w:r>
      <w:r w:rsidRPr="006674E0">
        <w:rPr>
          <w:shd w:val="clear" w:color="auto" w:fill="FFFFFF"/>
        </w:rPr>
        <w:tab/>
      </w:r>
      <w:r w:rsidRPr="006674E0">
        <w:t>mivel a kérelem szerint Petras Gražulist azzal vádolják, hogy 2022. május 26-án, a Litván Köztársaság parlamentjének (a továbbiakban: Seimas) folyosóján, a Seimas élettársi kapcsolatok bejegyzéséről tartott ülését követően egy operatőrrel folytatott, filmre rögzített és a médiában sugárzott beszélgetés alkalmával nyilvánosan nevetségessé tette, valamint becsmérlő és megalázó szavakkal illette személyek egy csoportját, és kifejezte a szexuális irányultságuk miatt érzett megvetését; mivel Petras Gražulis – aki akkoriban a Seimas képviselője volt – állítólagos bűncselekménye 2022-re nyúlik vissza</w:t>
      </w:r>
      <w:r w:rsidR="00E25BE2" w:rsidRPr="006674E0">
        <w:t>; mivel</w:t>
      </w:r>
      <w:r w:rsidRPr="006674E0">
        <w:t xml:space="preserve"> az előkészítő eljárás 2022-ben és 2023-ban zajlott, és az ügyet 2024 januárjában a vilniusi regionális bíróság elé utalták; mivel akkoriban Petras Gražulis a Seimas </w:t>
      </w:r>
      <w:r w:rsidRPr="006674E0">
        <w:rPr>
          <w:shd w:val="clear" w:color="auto" w:fill="FFFFFF"/>
        </w:rPr>
        <w:t>képviselőjeként</w:t>
      </w:r>
      <w:r w:rsidRPr="006674E0">
        <w:t xml:space="preserve"> mentességet élvezett, de 2023. november 16-án a Seimas hozzájárulását adta ahhoz, hogy büntetőeljárást indítsanak ellene;</w:t>
      </w:r>
    </w:p>
    <w:p w14:paraId="29CD5808" w14:textId="77777777" w:rsidR="00DF30EE" w:rsidRPr="006674E0" w:rsidRDefault="00DF30EE" w:rsidP="00EC516A">
      <w:pPr>
        <w:pStyle w:val="NormalHanging12a"/>
        <w:widowControl/>
      </w:pPr>
      <w:r w:rsidRPr="006674E0">
        <w:t>C.</w:t>
      </w:r>
      <w:r w:rsidRPr="006674E0">
        <w:tab/>
        <w:t xml:space="preserve">mivel Petras Gražulist </w:t>
      </w:r>
      <w:r w:rsidRPr="006674E0">
        <w:rPr>
          <w:shd w:val="clear" w:color="auto" w:fill="FFFFFF"/>
        </w:rPr>
        <w:t>a 2024. júniusi európai választásokon választották az Európai Parlament képviselőjévé</w:t>
      </w:r>
      <w:r w:rsidRPr="006674E0">
        <w:t xml:space="preserve">, és </w:t>
      </w:r>
      <w:r w:rsidRPr="006674E0">
        <w:rPr>
          <w:shd w:val="clear" w:color="auto" w:fill="FFFFFF"/>
        </w:rPr>
        <w:t>az állítólagos bűncselekmény idején nem volt az Európai Parlament képviselője</w:t>
      </w:r>
      <w:r w:rsidRPr="006674E0">
        <w:t>;</w:t>
      </w:r>
    </w:p>
    <w:p w14:paraId="45B6E7BF" w14:textId="77777777" w:rsidR="00DF30EE" w:rsidRPr="006674E0" w:rsidRDefault="00DF30EE" w:rsidP="00EC516A">
      <w:pPr>
        <w:pStyle w:val="NormalHanging12a"/>
        <w:widowControl/>
      </w:pPr>
      <w:r w:rsidRPr="006674E0">
        <w:t>D.</w:t>
      </w:r>
      <w:r w:rsidRPr="006674E0">
        <w:tab/>
        <w:t>mivel az állítólagos bűncselekmény és a mentelmi jog azzal kapcsolatos felfüggesztésére irányuló kérelem nem függ össze az Európai Unió kiváltságairól és mentességeiről szóló 7. jegyzőkönyv 8. cikke értelmében vett feladatai ellátása során Petras Gražulis által kinyilvánított véleménnyel vagy leadott szavazattal;</w:t>
      </w:r>
    </w:p>
    <w:p w14:paraId="14E5771C" w14:textId="1F0262AB" w:rsidR="00DF30EE" w:rsidRPr="006674E0" w:rsidRDefault="00DF30EE" w:rsidP="00EC516A">
      <w:pPr>
        <w:pStyle w:val="NormalHanging12a"/>
        <w:widowControl/>
      </w:pPr>
      <w:r w:rsidRPr="006674E0">
        <w:t>E.</w:t>
      </w:r>
      <w:r w:rsidRPr="006674E0">
        <w:tab/>
        <w:t xml:space="preserve">mivel az Európai Unió kiváltságairól és mentességeiről szóló 7. jegyzőkönyv 9. cikke első bekezdésének a) pontja </w:t>
      </w:r>
      <w:r w:rsidR="003856A3" w:rsidRPr="006674E0">
        <w:t xml:space="preserve">előírja, hogy </w:t>
      </w:r>
      <w:r w:rsidRPr="006674E0">
        <w:t>az európai parlamenti képviselők saját államuk területén a parlament</w:t>
      </w:r>
      <w:r w:rsidR="003856A3" w:rsidRPr="006674E0">
        <w:t>jük</w:t>
      </w:r>
      <w:r w:rsidRPr="006674E0">
        <w:t xml:space="preserve"> </w:t>
      </w:r>
      <w:r w:rsidR="003856A3" w:rsidRPr="006674E0">
        <w:t xml:space="preserve">tagjaira </w:t>
      </w:r>
      <w:r w:rsidRPr="006674E0">
        <w:t>vonatkozó mentességet élvezik;</w:t>
      </w:r>
    </w:p>
    <w:p w14:paraId="42173627" w14:textId="62656AD8" w:rsidR="00DF30EE" w:rsidRPr="006674E0" w:rsidRDefault="00DF30EE" w:rsidP="00EC516A">
      <w:pPr>
        <w:pStyle w:val="NormalHanging12a"/>
        <w:widowControl/>
      </w:pPr>
      <w:r w:rsidRPr="006674E0">
        <w:t>F.</w:t>
      </w:r>
      <w:r w:rsidRPr="006674E0">
        <w:tab/>
        <w:t>mivel a Litván Köztársaság alkotmányának 62. cikke szerint „[a] parlament tagjának személye sérthetetlen. A parlament engedélye nélkül a parlament tagja nem vonható büntetőeljárás alá, továbbá nem vehető őrizetbe és szabadságában más módon sem korlátozható. A parlament tagj</w:t>
      </w:r>
      <w:r w:rsidR="00045368" w:rsidRPr="006674E0">
        <w:t>át</w:t>
      </w:r>
      <w:r w:rsidRPr="006674E0">
        <w:t xml:space="preserve"> a parlamentben leadott szavazata vagy ott elmondott beszéde miatt nem </w:t>
      </w:r>
      <w:r w:rsidR="00045368" w:rsidRPr="006674E0">
        <w:t>üldözhetik</w:t>
      </w:r>
      <w:r w:rsidRPr="006674E0">
        <w:t>, azonban más személy elleni becsületsértés vagy rágalmazás esetén rendes eljárás keretében felelősségre vonhat</w:t>
      </w:r>
      <w:r w:rsidR="00045368" w:rsidRPr="006674E0">
        <w:t>ják</w:t>
      </w:r>
      <w:r w:rsidRPr="006674E0">
        <w:t>”;</w:t>
      </w:r>
      <w:r w:rsidRPr="006674E0">
        <w:rPr>
          <w:sz w:val="22"/>
        </w:rPr>
        <w:t xml:space="preserve"> </w:t>
      </w:r>
    </w:p>
    <w:p w14:paraId="0F854CDD" w14:textId="77777777" w:rsidR="00DF30EE" w:rsidRPr="006674E0" w:rsidRDefault="00DF30EE" w:rsidP="00EC516A">
      <w:pPr>
        <w:pStyle w:val="NormalHanging12a"/>
        <w:widowControl/>
      </w:pPr>
      <w:r w:rsidRPr="006674E0">
        <w:t>G.</w:t>
      </w:r>
      <w:r w:rsidRPr="006674E0">
        <w:tab/>
        <w:t>mivel a képviselői mentelmi jog célja a Parlament és képviselői megóvása a parlamenti megbízatás teljesítése során végzett és e megbízatástól elválaszthatatlan tevékenységekkel összefüggésben velük szemben kezdeményezett jogi eljárásoktól;</w:t>
      </w:r>
    </w:p>
    <w:p w14:paraId="07E273D5" w14:textId="77777777" w:rsidR="00DF30EE" w:rsidRPr="006674E0" w:rsidRDefault="00DF30EE" w:rsidP="00EC516A">
      <w:pPr>
        <w:pStyle w:val="NormalHanging12a"/>
        <w:widowControl/>
      </w:pPr>
      <w:r w:rsidRPr="006674E0">
        <w:t>H.</w:t>
      </w:r>
      <w:r w:rsidRPr="006674E0">
        <w:tab/>
        <w:t>mivel az Európai Parlament eljárási szabályzata 5. cikkének (2) bekezdésével összhangban a parlamenti mentelmi jog nem a képviselők személyes kiváltsága, hanem a teljes Parlament és az egyes képviselők függetlenségének biztosítéka;</w:t>
      </w:r>
    </w:p>
    <w:p w14:paraId="1582790A" w14:textId="77777777" w:rsidR="00DF30EE" w:rsidRPr="006674E0" w:rsidRDefault="00DF30EE" w:rsidP="00EC516A">
      <w:pPr>
        <w:pStyle w:val="NormalHanging12a"/>
        <w:widowControl/>
      </w:pPr>
      <w:r w:rsidRPr="006674E0">
        <w:lastRenderedPageBreak/>
        <w:t>I.</w:t>
      </w:r>
      <w:r w:rsidRPr="006674E0">
        <w:tab/>
        <w:t>mivel a jelen esetben a Parlament nem talált bizonyítékot a fumus persecutionis esetére, azaz olyan ténybeli elemekre, amelyek arra utalnának, hogy a szóban forgó bírósági eljárást azzal a szándékkal indították, hogy aláássák a képviselőnek az Európai Parlament képviselőjeként folytatott politikai tevékenységét;</w:t>
      </w:r>
    </w:p>
    <w:p w14:paraId="496A331F" w14:textId="77777777" w:rsidR="00DF30EE" w:rsidRPr="006674E0" w:rsidRDefault="00DF30EE" w:rsidP="00EC516A">
      <w:pPr>
        <w:pStyle w:val="NormalHanging12a"/>
        <w:widowControl/>
      </w:pPr>
      <w:r w:rsidRPr="006674E0">
        <w:t>J.</w:t>
      </w:r>
      <w:r w:rsidRPr="006674E0">
        <w:tab/>
        <w:t>mivel egyrészről a Parlamentet nem lehet bírósághoz hasonlítani, másrészről pedig a mentelmi jog felfüggesztésére irányuló eljárásban az érintett képviselő nem tekinthető „vádlottnak”</w:t>
      </w:r>
      <w:r w:rsidRPr="006674E0">
        <w:rPr>
          <w:vertAlign w:val="superscript"/>
        </w:rPr>
        <w:footnoteReference w:id="2"/>
      </w:r>
      <w:r w:rsidRPr="006674E0">
        <w:t>;</w:t>
      </w:r>
    </w:p>
    <w:p w14:paraId="0A3818D6" w14:textId="77777777" w:rsidR="00DF30EE" w:rsidRPr="006674E0" w:rsidRDefault="00DF30EE" w:rsidP="00EC516A">
      <w:pPr>
        <w:pStyle w:val="NormalHanging12a"/>
        <w:widowControl/>
      </w:pPr>
      <w:r w:rsidRPr="006674E0">
        <w:t>1.</w:t>
      </w:r>
      <w:r w:rsidRPr="006674E0">
        <w:tab/>
        <w:t>úgy határoz, hogy felfüggeszti Petras Gražulis mentelmi jogát;</w:t>
      </w:r>
    </w:p>
    <w:p w14:paraId="251D84CA" w14:textId="77777777" w:rsidR="00E365E1" w:rsidRPr="00197A72" w:rsidRDefault="00DF30EE" w:rsidP="00EC516A">
      <w:pPr>
        <w:widowControl/>
        <w:spacing w:after="240"/>
        <w:ind w:left="567" w:hanging="567"/>
      </w:pPr>
      <w:r w:rsidRPr="006674E0">
        <w:t>2.</w:t>
      </w:r>
      <w:r w:rsidRPr="006674E0">
        <w:tab/>
        <w:t>utasítja elnökét, hogy haladéktalanul továbbítsa ezt a határozatot és az illetékes bizottság jelentését a Litván Köztársaság illetékes hatóságainak és Petras Gražulisnak.</w:t>
      </w:r>
    </w:p>
    <w:sectPr w:rsidR="00E365E1" w:rsidRPr="00197A72" w:rsidSect="00197A7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A1DA5" w14:textId="77777777" w:rsidR="005D24E2" w:rsidRPr="00197A72" w:rsidRDefault="005D24E2">
      <w:r w:rsidRPr="00197A72">
        <w:separator/>
      </w:r>
    </w:p>
  </w:endnote>
  <w:endnote w:type="continuationSeparator" w:id="0">
    <w:p w14:paraId="23C995D4" w14:textId="77777777" w:rsidR="005D24E2" w:rsidRPr="00197A72" w:rsidRDefault="005D24E2">
      <w:r w:rsidRPr="00197A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39891" w14:textId="77777777" w:rsidR="00064002" w:rsidRPr="00197A7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CD4C7" w14:textId="77777777" w:rsidR="00064002" w:rsidRPr="00197A7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89D84" w14:textId="77777777" w:rsidR="00064002" w:rsidRPr="00197A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5232CD" w14:textId="77777777" w:rsidR="005D24E2" w:rsidRPr="00197A72" w:rsidRDefault="005D24E2">
      <w:r w:rsidRPr="00197A72">
        <w:separator/>
      </w:r>
    </w:p>
  </w:footnote>
  <w:footnote w:type="continuationSeparator" w:id="0">
    <w:p w14:paraId="136F5DEE" w14:textId="77777777" w:rsidR="005D24E2" w:rsidRPr="00197A72" w:rsidRDefault="005D24E2">
      <w:r w:rsidRPr="00197A72">
        <w:continuationSeparator/>
      </w:r>
    </w:p>
  </w:footnote>
  <w:footnote w:id="1">
    <w:p w14:paraId="3B2D7E2F" w14:textId="77777777" w:rsidR="00DF30EE" w:rsidRPr="00197A72" w:rsidRDefault="00DF30EE" w:rsidP="00197A72">
      <w:pPr>
        <w:pStyle w:val="FootnoteText"/>
        <w:ind w:left="567" w:hanging="567"/>
        <w:rPr>
          <w:sz w:val="24"/>
          <w:lang w:val="hu-HU"/>
        </w:rPr>
      </w:pPr>
      <w:r w:rsidRPr="00197A72">
        <w:rPr>
          <w:rStyle w:val="FootnoteReference"/>
          <w:sz w:val="24"/>
          <w:lang w:val="hu-HU"/>
        </w:rPr>
        <w:footnoteRef/>
      </w:r>
      <w:r w:rsidR="00197A72" w:rsidRPr="00197A72">
        <w:rPr>
          <w:sz w:val="24"/>
          <w:lang w:val="hu-HU"/>
        </w:rPr>
        <w:t xml:space="preserve"> </w:t>
      </w:r>
      <w:r w:rsidR="00197A72" w:rsidRPr="00197A72">
        <w:rPr>
          <w:sz w:val="24"/>
          <w:lang w:val="hu-HU"/>
        </w:rPr>
        <w:tab/>
      </w:r>
      <w:r w:rsidRPr="00197A72">
        <w:rPr>
          <w:sz w:val="24"/>
          <w:lang w:val="hu-HU"/>
        </w:rPr>
        <w:t>A Bíróság 2008. október 21-i, Marra kontra De Gregorio és Clemente ügyben hozott ítélete, C-200/07 és C-201/07, ECLI:EU:C:2008:579; a Törvényszék 2010. március 19-i, Gollnisch kontra Európai Parlament ügyben hozott ítélete, T-42/06, ECLI:EU:T:2010:102; a Bíróság 2011. szeptember 6-i, Patriciello ügyben hozott ítélete, C-163/10, ECLI:EU:C:2011:543; a Törvényszék 2013. január 17-i, Gollnisch kontra Parlament ügyben hozott ítélete, T-346/11 és T-347/11, ECLI:EU:T:2013:23; a Bíróság 2019. december 19-i, Junqueras Vies ügyben hozott ítélete, C-502/19, ECLI:EU:C:2019:1115; a Törvényszék 2023. július 5-i, Puigdemont i Casamajó és társai kontra Európai Parlament ügyben hozott ítélete, T-272/21, ECLI:EU:T:2023:373.</w:t>
      </w:r>
    </w:p>
  </w:footnote>
  <w:footnote w:id="2">
    <w:p w14:paraId="5B4E9974" w14:textId="77777777" w:rsidR="00DF30EE" w:rsidRPr="00197A72" w:rsidRDefault="00DF30EE" w:rsidP="00197A72">
      <w:pPr>
        <w:pStyle w:val="FootnoteText"/>
        <w:ind w:left="567" w:hanging="567"/>
        <w:rPr>
          <w:sz w:val="24"/>
          <w:lang w:val="hu-HU"/>
        </w:rPr>
      </w:pPr>
      <w:r w:rsidRPr="00197A72">
        <w:rPr>
          <w:rStyle w:val="FootnoteReference"/>
          <w:sz w:val="24"/>
          <w:lang w:val="hu-HU"/>
        </w:rPr>
        <w:footnoteRef/>
      </w:r>
      <w:r w:rsidR="00197A72" w:rsidRPr="00197A72">
        <w:rPr>
          <w:sz w:val="24"/>
          <w:lang w:val="hu-HU"/>
        </w:rPr>
        <w:t xml:space="preserve"> </w:t>
      </w:r>
      <w:r w:rsidR="00197A72" w:rsidRPr="00197A72">
        <w:rPr>
          <w:sz w:val="24"/>
          <w:lang w:val="hu-HU"/>
        </w:rPr>
        <w:tab/>
      </w:r>
      <w:r w:rsidRPr="00197A72">
        <w:rPr>
          <w:sz w:val="24"/>
          <w:lang w:val="hu-HU"/>
        </w:rPr>
        <w:t>A Törvényszék 2019. április 30-i, Briois kontra Európai Parlament ügyben hozott ítélete,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437F3" w14:textId="77777777" w:rsidR="00064002" w:rsidRPr="00197A7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7271A" w14:textId="77777777" w:rsidR="00064002" w:rsidRPr="00197A7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BEDAD" w14:textId="77777777" w:rsidR="00064002" w:rsidRPr="00197A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8/2025"/>
    <w:docVar w:name="dvlangue" w:val="HU"/>
    <w:docVar w:name="dvnumam" w:val="0"/>
    <w:docVar w:name="dvpe" w:val="770.080"/>
    <w:docVar w:name="dvrapporteur" w:val="Előadó: "/>
    <w:docVar w:name="dvtitre" w:val="Az Európai Parlament 2025.  ...-i határozata a Petras Gražulis mentelmi jogának felfüggesztésére irányuló kérelemről(2024/2089(IMM))"/>
  </w:docVars>
  <w:rsids>
    <w:rsidRoot w:val="005D24E2"/>
    <w:rsid w:val="00002272"/>
    <w:rsid w:val="00045368"/>
    <w:rsid w:val="00064002"/>
    <w:rsid w:val="000677B9"/>
    <w:rsid w:val="000831BA"/>
    <w:rsid w:val="000A42CC"/>
    <w:rsid w:val="000E7DD9"/>
    <w:rsid w:val="0010095E"/>
    <w:rsid w:val="00125B37"/>
    <w:rsid w:val="00187494"/>
    <w:rsid w:val="00197A72"/>
    <w:rsid w:val="001F32AE"/>
    <w:rsid w:val="00213F19"/>
    <w:rsid w:val="002767FF"/>
    <w:rsid w:val="002A30DC"/>
    <w:rsid w:val="002B18FE"/>
    <w:rsid w:val="002B5493"/>
    <w:rsid w:val="00343214"/>
    <w:rsid w:val="00361C00"/>
    <w:rsid w:val="003856A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4E2"/>
    <w:rsid w:val="005F1B17"/>
    <w:rsid w:val="006037C0"/>
    <w:rsid w:val="006631B6"/>
    <w:rsid w:val="006674E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0EE"/>
    <w:rsid w:val="00E25BE2"/>
    <w:rsid w:val="00E365E1"/>
    <w:rsid w:val="00E820A4"/>
    <w:rsid w:val="00EB006A"/>
    <w:rsid w:val="00EB4772"/>
    <w:rsid w:val="00EC516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A662EC"/>
  <w15:chartTrackingRefBased/>
  <w15:docId w15:val="{B7D6289D-28A5-4511-B758-B076A46C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F30EE"/>
    <w:pPr>
      <w:spacing w:after="240"/>
      <w:ind w:left="567" w:hanging="567"/>
    </w:pPr>
  </w:style>
  <w:style w:type="paragraph" w:customStyle="1" w:styleId="EPComma">
    <w:name w:val="EPComma"/>
    <w:basedOn w:val="Normal"/>
    <w:rsid w:val="00DF30EE"/>
    <w:pPr>
      <w:spacing w:before="480" w:after="240"/>
    </w:pPr>
  </w:style>
  <w:style w:type="paragraph" w:styleId="BalloonText">
    <w:name w:val="Balloon Text"/>
    <w:basedOn w:val="Normal"/>
    <w:link w:val="BalloonTextChar"/>
    <w:rsid w:val="00E25BE2"/>
    <w:rPr>
      <w:rFonts w:ascii="Segoe UI" w:hAnsi="Segoe UI" w:cs="Segoe UI"/>
      <w:sz w:val="18"/>
      <w:szCs w:val="18"/>
    </w:rPr>
  </w:style>
  <w:style w:type="character" w:customStyle="1" w:styleId="BalloonTextChar">
    <w:name w:val="Balloon Text Char"/>
    <w:basedOn w:val="DefaultParagraphFont"/>
    <w:link w:val="BalloonText"/>
    <w:rsid w:val="00E25BE2"/>
    <w:rPr>
      <w:rFonts w:ascii="Segoe UI" w:hAnsi="Segoe UI" w:cs="Segoe UI"/>
      <w:sz w:val="18"/>
      <w:szCs w:val="18"/>
      <w:lang w:val="hu-HU"/>
    </w:rPr>
  </w:style>
  <w:style w:type="character" w:styleId="CommentReference">
    <w:name w:val="annotation reference"/>
    <w:basedOn w:val="DefaultParagraphFont"/>
    <w:rsid w:val="00E25BE2"/>
    <w:rPr>
      <w:sz w:val="16"/>
      <w:szCs w:val="16"/>
    </w:rPr>
  </w:style>
  <w:style w:type="paragraph" w:styleId="CommentText">
    <w:name w:val="annotation text"/>
    <w:basedOn w:val="Normal"/>
    <w:link w:val="CommentTextChar"/>
    <w:rsid w:val="00E25BE2"/>
    <w:rPr>
      <w:sz w:val="20"/>
    </w:rPr>
  </w:style>
  <w:style w:type="character" w:customStyle="1" w:styleId="CommentTextChar">
    <w:name w:val="Comment Text Char"/>
    <w:basedOn w:val="DefaultParagraphFont"/>
    <w:link w:val="CommentText"/>
    <w:rsid w:val="00E25BE2"/>
    <w:rPr>
      <w:lang w:val="hu-HU"/>
    </w:rPr>
  </w:style>
  <w:style w:type="paragraph" w:styleId="CommentSubject">
    <w:name w:val="annotation subject"/>
    <w:basedOn w:val="CommentText"/>
    <w:next w:val="CommentText"/>
    <w:link w:val="CommentSubjectChar"/>
    <w:rsid w:val="00E25BE2"/>
    <w:rPr>
      <w:b/>
      <w:bCs/>
    </w:rPr>
  </w:style>
  <w:style w:type="character" w:customStyle="1" w:styleId="CommentSubjectChar">
    <w:name w:val="Comment Subject Char"/>
    <w:basedOn w:val="CommentTextChar"/>
    <w:link w:val="CommentSubject"/>
    <w:rsid w:val="00E25BE2"/>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66217-C4DC-44CC-A1E8-0CC9F7259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643</Words>
  <Characters>4603</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ILLY_D</cp:lastModifiedBy>
  <cp:revision>2</cp:revision>
  <cp:lastPrinted>2004-11-19T15:42:00Z</cp:lastPrinted>
  <dcterms:created xsi:type="dcterms:W3CDTF">2025-05-06T10:30:00Z</dcterms:created>
  <dcterms:modified xsi:type="dcterms:W3CDTF">2025-05-06T10:30:00Z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A10-0078/2025</vt:lpwstr>
  </property>
  <property fmtid="{D5CDD505-2E9C-101B-9397-08002B2CF9AE}" pid="4" name="&lt;Type&gt;">
    <vt:lpwstr>RR</vt:lpwstr>
  </property>
</Properties>
</file>