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0E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0E30" w:rsidRDefault="006369CF" w:rsidP="0010095E">
            <w:pPr>
              <w:pStyle w:val="EPName"/>
            </w:pPr>
            <w:bookmarkStart w:id="0" w:name="_GoBack"/>
            <w:bookmarkEnd w:id="0"/>
            <w:r w:rsidRPr="00550E30">
              <w:t>Parlamento europeo</w:t>
            </w:r>
          </w:p>
          <w:p w:rsidR="00751A4A" w:rsidRPr="00550E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0E30">
              <w:t>2024</w:t>
            </w:r>
            <w:r w:rsidR="00817416" w:rsidRPr="00550E30">
              <w:t>-202</w:t>
            </w:r>
            <w:r w:rsidRPr="00550E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50E30" w:rsidRDefault="00187494" w:rsidP="0010095E">
            <w:pPr>
              <w:pStyle w:val="EPLogo"/>
            </w:pPr>
            <w:r w:rsidRPr="00550E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0E30" w:rsidRDefault="00D058B8" w:rsidP="004C5D52">
      <w:pPr>
        <w:pStyle w:val="LineTop"/>
      </w:pPr>
    </w:p>
    <w:p w:rsidR="00680577" w:rsidRPr="00550E30" w:rsidRDefault="006369CF" w:rsidP="00680577">
      <w:pPr>
        <w:pStyle w:val="EPBodyTA1"/>
      </w:pPr>
      <w:r w:rsidRPr="00550E30">
        <w:t>TESTI APPROVATI</w:t>
      </w:r>
    </w:p>
    <w:p w:rsidR="00D058B8" w:rsidRPr="00550E30" w:rsidRDefault="00D058B8" w:rsidP="00D058B8">
      <w:pPr>
        <w:pStyle w:val="LineBottom"/>
      </w:pPr>
    </w:p>
    <w:p w:rsidR="006369CF" w:rsidRPr="00550E30" w:rsidRDefault="006369CF" w:rsidP="006369CF">
      <w:pPr>
        <w:pStyle w:val="ATHeading1"/>
      </w:pPr>
      <w:bookmarkStart w:id="1" w:name="TANumber"/>
      <w:r w:rsidRPr="00550E30">
        <w:t>P10_</w:t>
      </w:r>
      <w:proofErr w:type="gramStart"/>
      <w:r w:rsidRPr="00550E30">
        <w:t>TA(</w:t>
      </w:r>
      <w:proofErr w:type="gramEnd"/>
      <w:r w:rsidRPr="00550E30">
        <w:t>2025)00</w:t>
      </w:r>
      <w:bookmarkEnd w:id="1"/>
      <w:r w:rsidR="005535FA" w:rsidRPr="00550E30">
        <w:t>68</w:t>
      </w:r>
    </w:p>
    <w:p w:rsidR="006369CF" w:rsidRPr="00550E30" w:rsidRDefault="006369CF" w:rsidP="006369CF">
      <w:pPr>
        <w:pStyle w:val="ATHeading2"/>
      </w:pPr>
      <w:bookmarkStart w:id="2" w:name="title"/>
      <w:r w:rsidRPr="00550E30">
        <w:t xml:space="preserve">Richiesta di revoca dell'immunità di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bookmarkEnd w:id="2"/>
      <w:proofErr w:type="spellEnd"/>
    </w:p>
    <w:p w:rsidR="006369CF" w:rsidRPr="00550E30" w:rsidRDefault="006369CF" w:rsidP="006369CF">
      <w:pPr>
        <w:rPr>
          <w:i/>
          <w:vanish/>
        </w:rPr>
      </w:pPr>
      <w:r w:rsidRPr="00550E30">
        <w:rPr>
          <w:i/>
        </w:rPr>
        <w:fldChar w:fldCharType="begin"/>
      </w:r>
      <w:r w:rsidRPr="00550E30">
        <w:rPr>
          <w:i/>
        </w:rPr>
        <w:instrText xml:space="preserve"> TC"(</w:instrText>
      </w:r>
      <w:bookmarkStart w:id="3" w:name="DocNumber"/>
      <w:r w:rsidRPr="00550E30">
        <w:rPr>
          <w:i/>
        </w:rPr>
        <w:instrText>A10-0078/2025</w:instrText>
      </w:r>
      <w:bookmarkEnd w:id="3"/>
      <w:r w:rsidRPr="00550E30">
        <w:rPr>
          <w:i/>
        </w:rPr>
        <w:instrText xml:space="preserve"> - Relatrice: Pascale Piera)"\l3 \n&gt; \* MERGEFORMAT </w:instrText>
      </w:r>
      <w:r w:rsidRPr="00550E30">
        <w:rPr>
          <w:i/>
        </w:rPr>
        <w:fldChar w:fldCharType="end"/>
      </w:r>
    </w:p>
    <w:p w:rsidR="006369CF" w:rsidRPr="00550E30" w:rsidRDefault="006369CF" w:rsidP="006369CF">
      <w:pPr>
        <w:rPr>
          <w:vanish/>
        </w:rPr>
      </w:pPr>
      <w:bookmarkStart w:id="4" w:name="Commission"/>
      <w:r w:rsidRPr="00550E30">
        <w:rPr>
          <w:vanish/>
        </w:rPr>
        <w:t>Commissione giuridica</w:t>
      </w:r>
      <w:bookmarkEnd w:id="4"/>
    </w:p>
    <w:p w:rsidR="006369CF" w:rsidRPr="00550E30" w:rsidRDefault="006369CF" w:rsidP="006369CF">
      <w:pPr>
        <w:rPr>
          <w:vanish/>
        </w:rPr>
      </w:pPr>
      <w:bookmarkStart w:id="5" w:name="PE"/>
      <w:r w:rsidRPr="00550E30">
        <w:rPr>
          <w:vanish/>
        </w:rPr>
        <w:t>PE770.080</w:t>
      </w:r>
      <w:bookmarkEnd w:id="5"/>
    </w:p>
    <w:p w:rsidR="006369CF" w:rsidRPr="00550E30" w:rsidRDefault="006369CF" w:rsidP="006E6AE2">
      <w:pPr>
        <w:pStyle w:val="ATHeading3"/>
      </w:pPr>
      <w:bookmarkStart w:id="6" w:name="Sujet"/>
      <w:r w:rsidRPr="00550E30">
        <w:t xml:space="preserve">Decisione del Parlamento europeo del 6 maggio 2025 sulla richiesta di revoca dell'immunità di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bookmarkEnd w:id="6"/>
      <w:proofErr w:type="spellEnd"/>
      <w:r w:rsidRPr="00550E30">
        <w:t xml:space="preserve"> </w:t>
      </w:r>
      <w:bookmarkStart w:id="7" w:name="References"/>
      <w:r w:rsidRPr="00550E30">
        <w:t>(2024/2089(IMM))</w:t>
      </w:r>
      <w:bookmarkEnd w:id="7"/>
    </w:p>
    <w:p w:rsidR="00CB24CC" w:rsidRPr="00550E30" w:rsidRDefault="00CB24CC" w:rsidP="00CB24CC">
      <w:pPr>
        <w:pStyle w:val="EPComma"/>
        <w:widowControl/>
      </w:pPr>
      <w:bookmarkStart w:id="8" w:name="TextBodyBegin"/>
      <w:bookmarkEnd w:id="8"/>
      <w:r w:rsidRPr="00550E30">
        <w:rPr>
          <w:i/>
        </w:rPr>
        <w:t>Il Parlamento europeo</w:t>
      </w:r>
      <w:r w:rsidRPr="00550E30">
        <w:t>,</w:t>
      </w:r>
    </w:p>
    <w:p w:rsidR="00CB24CC" w:rsidRPr="00550E30" w:rsidRDefault="00CB24CC" w:rsidP="00CB24CC">
      <w:pPr>
        <w:pStyle w:val="NormalHanging12a"/>
        <w:widowControl/>
      </w:pPr>
      <w:r w:rsidRPr="00550E30">
        <w:t>–</w:t>
      </w:r>
      <w:r w:rsidRPr="00550E30">
        <w:tab/>
        <w:t>vista la richiesta del</w:t>
      </w:r>
      <w:r w:rsidR="003970D9" w:rsidRPr="00550E30">
        <w:t>la</w:t>
      </w:r>
      <w:r w:rsidRPr="00550E30">
        <w:t xml:space="preserve"> procurat</w:t>
      </w:r>
      <w:r w:rsidR="003970D9" w:rsidRPr="00550E30">
        <w:t>rice</w:t>
      </w:r>
      <w:r w:rsidRPr="00550E30">
        <w:t xml:space="preserve"> generale della Repubblica di Lituania, del 16 settembre 2024, relativa alla revoca dell'immunità di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 xml:space="preserve"> nel quadro di un procedimento penale a suo carico e </w:t>
      </w:r>
      <w:r w:rsidR="00E2556C" w:rsidRPr="00550E30">
        <w:t xml:space="preserve">comunicata </w:t>
      </w:r>
      <w:r w:rsidRPr="00550E30">
        <w:t>in Aula il 24 ottobre 2024,</w:t>
      </w:r>
    </w:p>
    <w:p w:rsidR="00CB24CC" w:rsidRPr="00550E30" w:rsidRDefault="00CB24CC" w:rsidP="00CB24CC">
      <w:pPr>
        <w:pStyle w:val="NormalHanging12a"/>
        <w:widowControl/>
      </w:pPr>
      <w:r w:rsidRPr="00550E30">
        <w:t>–</w:t>
      </w:r>
      <w:r w:rsidRPr="00550E30">
        <w:tab/>
        <w:t xml:space="preserve">avendo ascoltato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 xml:space="preserve"> il 18 marzo 2025, a norma dell'articolo 9, paragrafo 6, del suo regolamento,</w:t>
      </w:r>
    </w:p>
    <w:p w:rsidR="00CB24CC" w:rsidRPr="00550E30" w:rsidRDefault="00CB24CC" w:rsidP="00CB24CC">
      <w:pPr>
        <w:pStyle w:val="NormalHanging12a"/>
        <w:widowControl/>
      </w:pPr>
      <w:r w:rsidRPr="00550E30">
        <w:t>–</w:t>
      </w:r>
      <w:r w:rsidRPr="00550E30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CB24CC" w:rsidRPr="00550E30" w:rsidRDefault="00CB24CC" w:rsidP="00CB24CC">
      <w:pPr>
        <w:pStyle w:val="NormalHanging12a"/>
        <w:widowControl/>
      </w:pPr>
      <w:r w:rsidRPr="00550E30">
        <w:t>–</w:t>
      </w:r>
      <w:r w:rsidRPr="00550E30">
        <w:tab/>
        <w:t>viste le sentenze pronunciate dalla Corte di giustizia dell'Unione europea il 21 ottobre 2008, 19 marzo 2010, 6 settembre 2011, 17 gennaio 2013, 19 dicembre 2019 e 5 luglio 2023</w:t>
      </w:r>
      <w:r w:rsidRPr="00550E30">
        <w:rPr>
          <w:rStyle w:val="FootnoteReference"/>
          <w:color w:val="000000"/>
        </w:rPr>
        <w:footnoteReference w:id="1"/>
      </w:r>
      <w:r w:rsidRPr="00550E30">
        <w:t>,</w:t>
      </w:r>
    </w:p>
    <w:p w:rsidR="00CB24CC" w:rsidRPr="00550E30" w:rsidRDefault="00CB24CC" w:rsidP="00CB24CC">
      <w:pPr>
        <w:pStyle w:val="NormalHanging12a"/>
        <w:widowControl/>
      </w:pPr>
      <w:r w:rsidRPr="00550E30">
        <w:t>–</w:t>
      </w:r>
      <w:r w:rsidRPr="00550E30">
        <w:tab/>
        <w:t>visto l'articolo 62 della Costituzione della Repubblica di Lituania,</w:t>
      </w:r>
    </w:p>
    <w:p w:rsidR="00CB24CC" w:rsidRPr="00550E30" w:rsidRDefault="00CB24CC" w:rsidP="00CB24CC">
      <w:pPr>
        <w:pStyle w:val="NormalHanging12a"/>
        <w:widowControl/>
      </w:pPr>
      <w:r w:rsidRPr="00550E30">
        <w:t>–</w:t>
      </w:r>
      <w:r w:rsidRPr="00550E30">
        <w:tab/>
        <w:t>visti l'articolo 5, paragrafo 2, l'articolo 6, paragrafo 1, e l'articolo 9 del suo regolamento,</w:t>
      </w:r>
    </w:p>
    <w:p w:rsidR="00CB24CC" w:rsidRPr="00550E30" w:rsidRDefault="00CB24CC" w:rsidP="00CB24CC">
      <w:pPr>
        <w:pStyle w:val="NormalHanging12a"/>
        <w:widowControl/>
      </w:pPr>
      <w:r w:rsidRPr="00550E30">
        <w:t>–</w:t>
      </w:r>
      <w:r w:rsidRPr="00550E30">
        <w:tab/>
        <w:t>vista la relazione della commissione giuridica (A10-0078/2025),</w:t>
      </w:r>
    </w:p>
    <w:p w:rsidR="00CB24CC" w:rsidRPr="00550E30" w:rsidRDefault="00CB24CC" w:rsidP="00CB24CC">
      <w:pPr>
        <w:pStyle w:val="NormalHanging12a"/>
        <w:widowControl/>
      </w:pPr>
      <w:r w:rsidRPr="00550E30">
        <w:lastRenderedPageBreak/>
        <w:t>A.</w:t>
      </w:r>
      <w:r w:rsidRPr="00550E30">
        <w:tab/>
        <w:t xml:space="preserve">considerando che, con lettera </w:t>
      </w:r>
      <w:r w:rsidR="00E2556C" w:rsidRPr="00550E30">
        <w:t>del</w:t>
      </w:r>
      <w:r w:rsidRPr="00550E30">
        <w:t xml:space="preserve"> 16 settembre 2024, l</w:t>
      </w:r>
      <w:r w:rsidR="003970D9" w:rsidRPr="00550E30">
        <w:t>a</w:t>
      </w:r>
      <w:r w:rsidRPr="00550E30">
        <w:t xml:space="preserve"> procurat</w:t>
      </w:r>
      <w:r w:rsidR="003970D9" w:rsidRPr="00550E30">
        <w:t>rice</w:t>
      </w:r>
      <w:r w:rsidRPr="00550E30">
        <w:t xml:space="preserve"> generale della Repubblica di Lituania ha trasmesso una richiesta di revoca dell'immunità di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 xml:space="preserve"> in relazione alla presunta violazione dell'articolo 170, paragrafo 2, del codice penale della Repubblica di Lituania, per aver pubblicamente schernito un gruppo di persone e aver espresso il proprio disprezzo nei loro confronti in ragione del loro orientamento sessuale;</w:t>
      </w:r>
    </w:p>
    <w:p w:rsidR="00CB24CC" w:rsidRPr="00550E30" w:rsidRDefault="00CB24CC" w:rsidP="00CB24CC">
      <w:pPr>
        <w:pStyle w:val="NormalHanging12a"/>
        <w:widowControl/>
      </w:pPr>
      <w:r w:rsidRPr="00550E30">
        <w:rPr>
          <w:shd w:val="clear" w:color="auto" w:fill="FFFFFF"/>
        </w:rPr>
        <w:t>B.</w:t>
      </w:r>
      <w:r w:rsidRPr="00550E30">
        <w:rPr>
          <w:shd w:val="clear" w:color="auto" w:fill="FFFFFF"/>
        </w:rPr>
        <w:tab/>
      </w:r>
      <w:r w:rsidRPr="00550E30">
        <w:t xml:space="preserve">considerando che, secondo quanto indicato nella richiesta,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 xml:space="preserve"> è accusato di aver espresso pubblicamente parole volte a schernire, denigrare e umiliare un gruppo di persone e di aver espresso il proprio disprezzo nei loro confronti in ragione del loro orientamento sessuale mentre si trovava nei corridoi del parlamento della Repubblica di Lituania, il </w:t>
      </w:r>
      <w:proofErr w:type="spellStart"/>
      <w:r w:rsidRPr="00550E30">
        <w:t>Seimas</w:t>
      </w:r>
      <w:proofErr w:type="spellEnd"/>
      <w:r w:rsidRPr="00550E30">
        <w:t xml:space="preserve">, il 26 maggio 2022, al termine della seduta del </w:t>
      </w:r>
      <w:proofErr w:type="spellStart"/>
      <w:r w:rsidRPr="00550E30">
        <w:t>Seimas</w:t>
      </w:r>
      <w:proofErr w:type="spellEnd"/>
      <w:r w:rsidRPr="00550E30">
        <w:t xml:space="preserve"> sulla registrazione delle unioni civili, nel corso di una discussione con un cameraman che è stata ripresa e diffusa dai media; che il presunto reato contestato a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 xml:space="preserve">, allora membro del </w:t>
      </w:r>
      <w:proofErr w:type="spellStart"/>
      <w:r w:rsidRPr="00550E30">
        <w:t>Seimas</w:t>
      </w:r>
      <w:proofErr w:type="spellEnd"/>
      <w:r w:rsidRPr="00550E30">
        <w:t>, risale al 2022</w:t>
      </w:r>
      <w:r w:rsidR="003970D9" w:rsidRPr="00550E30">
        <w:t>; considerando</w:t>
      </w:r>
      <w:r w:rsidRPr="00550E30">
        <w:t xml:space="preserve"> che le indagini preliminari si sono svolte nel 2022 e nel 2023 e che il caso è stato deferito al tribunale regionale di Vilnius nel gennaio 2024; che all'epoca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 xml:space="preserve"> godeva dell'immunità in qualità di </w:t>
      </w:r>
      <w:r w:rsidRPr="00550E30">
        <w:rPr>
          <w:shd w:val="clear" w:color="auto" w:fill="FFFFFF"/>
        </w:rPr>
        <w:t>membro</w:t>
      </w:r>
      <w:r w:rsidRPr="00550E30">
        <w:t xml:space="preserve"> del </w:t>
      </w:r>
      <w:proofErr w:type="spellStart"/>
      <w:r w:rsidRPr="00550E30">
        <w:t>Seimas</w:t>
      </w:r>
      <w:proofErr w:type="spellEnd"/>
      <w:r w:rsidRPr="00550E30">
        <w:t xml:space="preserve">, ma che il 16 novembre 2023 il </w:t>
      </w:r>
      <w:proofErr w:type="spellStart"/>
      <w:r w:rsidRPr="00550E30">
        <w:t>Seimas</w:t>
      </w:r>
      <w:proofErr w:type="spellEnd"/>
      <w:r w:rsidRPr="00550E30">
        <w:t xml:space="preserve"> aveva dato la sua approvazione all'avvio di un procedimento penale a suo carico;</w:t>
      </w:r>
    </w:p>
    <w:p w:rsidR="00CB24CC" w:rsidRPr="00550E30" w:rsidRDefault="00CB24CC" w:rsidP="00CB24CC">
      <w:pPr>
        <w:pStyle w:val="NormalHanging12a"/>
        <w:widowControl/>
      </w:pPr>
      <w:r w:rsidRPr="00550E30">
        <w:t>C.</w:t>
      </w:r>
      <w:r w:rsidRPr="00550E30">
        <w:tab/>
        <w:t xml:space="preserve">considerando che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rPr>
          <w:shd w:val="clear" w:color="auto" w:fill="FFFFFF"/>
        </w:rPr>
        <w:t xml:space="preserve"> è stato eletto al Parlamento europeo in occasione delle elezioni europee del giugno 2024</w:t>
      </w:r>
      <w:r w:rsidRPr="00550E30">
        <w:t xml:space="preserve"> e che </w:t>
      </w:r>
      <w:r w:rsidRPr="00550E30">
        <w:rPr>
          <w:shd w:val="clear" w:color="auto" w:fill="FFFFFF"/>
        </w:rPr>
        <w:t xml:space="preserve">non era deputato al Parlamento europeo </w:t>
      </w:r>
      <w:r w:rsidR="003970D9" w:rsidRPr="00550E30">
        <w:rPr>
          <w:shd w:val="clear" w:color="auto" w:fill="FFFFFF"/>
        </w:rPr>
        <w:t>al</w:t>
      </w:r>
      <w:r w:rsidR="00E2556C" w:rsidRPr="00550E30">
        <w:rPr>
          <w:shd w:val="clear" w:color="auto" w:fill="FFFFFF"/>
        </w:rPr>
        <w:t>l’epoca</w:t>
      </w:r>
      <w:r w:rsidR="003970D9" w:rsidRPr="00550E30">
        <w:rPr>
          <w:shd w:val="clear" w:color="auto" w:fill="FFFFFF"/>
        </w:rPr>
        <w:t xml:space="preserve"> dei presunti</w:t>
      </w:r>
      <w:r w:rsidRPr="00550E30">
        <w:rPr>
          <w:shd w:val="clear" w:color="auto" w:fill="FFFFFF"/>
        </w:rPr>
        <w:t xml:space="preserve"> reat</w:t>
      </w:r>
      <w:r w:rsidR="003970D9" w:rsidRPr="00550E30">
        <w:rPr>
          <w:shd w:val="clear" w:color="auto" w:fill="FFFFFF"/>
        </w:rPr>
        <w:t>i</w:t>
      </w:r>
      <w:r w:rsidRPr="00550E30">
        <w:rPr>
          <w:shd w:val="clear" w:color="auto" w:fill="FFFFFF"/>
        </w:rPr>
        <w:t>;</w:t>
      </w:r>
    </w:p>
    <w:p w:rsidR="00CB24CC" w:rsidRPr="00550E30" w:rsidRDefault="00CB24CC" w:rsidP="00CB24CC">
      <w:pPr>
        <w:pStyle w:val="NormalHanging12a"/>
        <w:widowControl/>
      </w:pPr>
      <w:r w:rsidRPr="00550E30">
        <w:t>D.</w:t>
      </w:r>
      <w:r w:rsidRPr="00550E30">
        <w:tab/>
        <w:t>considerando che i presunt</w:t>
      </w:r>
      <w:r w:rsidR="003970D9" w:rsidRPr="00550E30">
        <w:t>i</w:t>
      </w:r>
      <w:r w:rsidRPr="00550E30">
        <w:t xml:space="preserve"> reat</w:t>
      </w:r>
      <w:r w:rsidR="003970D9" w:rsidRPr="00550E30">
        <w:t>i</w:t>
      </w:r>
      <w:r w:rsidRPr="00550E30">
        <w:t xml:space="preserve"> e la successiva richiesta di revoca dell'immunità non si riferiscono a un'opinione o a un voto espressi da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 xml:space="preserve"> nell'esercizio delle sue funzioni ai sensi dell'articolo 8 del protocollo n. 7 sui privilegi e sulle immunità dell'Unione europea;</w:t>
      </w:r>
    </w:p>
    <w:p w:rsidR="00CB24CC" w:rsidRPr="00550E30" w:rsidRDefault="00CB24CC" w:rsidP="00CB24CC">
      <w:pPr>
        <w:pStyle w:val="NormalHanging12a"/>
        <w:widowControl/>
      </w:pPr>
      <w:r w:rsidRPr="00550E30">
        <w:t>E.</w:t>
      </w:r>
      <w:r w:rsidRPr="00550E30">
        <w:tab/>
        <w:t>considerando che l'articolo 9, primo comma, lettera a), del protocollo n. 7 sui privilegi e sulle immunità dell'Unione europea stabilisce che i membri del Parlamento europeo beneficiano, sul territorio nazionale, delle immunità riconosciute ai membri del parlamento del loro paese;</w:t>
      </w:r>
    </w:p>
    <w:p w:rsidR="00CB24CC" w:rsidRPr="00550E30" w:rsidRDefault="00CB24CC" w:rsidP="00CB24CC">
      <w:pPr>
        <w:pStyle w:val="NormalHanging12a"/>
        <w:widowControl/>
      </w:pPr>
      <w:r w:rsidRPr="00550E30">
        <w:t>F.</w:t>
      </w:r>
      <w:r w:rsidRPr="00550E30">
        <w:tab/>
        <w:t xml:space="preserve">considerando che, ai sensi dell'articolo 62 della Costituzione della Repubblica di Lituania, "Un membro del </w:t>
      </w:r>
      <w:proofErr w:type="spellStart"/>
      <w:r w:rsidRPr="00550E30">
        <w:t>Seimas</w:t>
      </w:r>
      <w:proofErr w:type="spellEnd"/>
      <w:r w:rsidRPr="00550E30">
        <w:t xml:space="preserve">, nella sua persona, è inviolabile. Un membro del </w:t>
      </w:r>
      <w:proofErr w:type="spellStart"/>
      <w:r w:rsidRPr="00550E30">
        <w:t>Seimas</w:t>
      </w:r>
      <w:proofErr w:type="spellEnd"/>
      <w:r w:rsidRPr="00550E30">
        <w:t xml:space="preserve"> non può, senza il consenso del </w:t>
      </w:r>
      <w:proofErr w:type="spellStart"/>
      <w:r w:rsidRPr="00550E30">
        <w:t>Seimas</w:t>
      </w:r>
      <w:proofErr w:type="spellEnd"/>
      <w:r w:rsidRPr="00550E30">
        <w:t xml:space="preserve">, né essere perseguito penalmente, né essere arrestato o subire altrimenti una limitazione della propria libertà. Un membro del </w:t>
      </w:r>
      <w:proofErr w:type="spellStart"/>
      <w:r w:rsidRPr="00550E30">
        <w:t>Seimas</w:t>
      </w:r>
      <w:proofErr w:type="spellEnd"/>
      <w:r w:rsidRPr="00550E30">
        <w:t xml:space="preserve"> non può essere perseguit</w:t>
      </w:r>
      <w:r w:rsidR="00550E30" w:rsidRPr="00550E30">
        <w:t>at</w:t>
      </w:r>
      <w:r w:rsidRPr="00550E30">
        <w:t xml:space="preserve">o per i voti espressi o i discorsi pronunciati al </w:t>
      </w:r>
      <w:proofErr w:type="spellStart"/>
      <w:r w:rsidRPr="00550E30">
        <w:t>Seimas</w:t>
      </w:r>
      <w:proofErr w:type="spellEnd"/>
      <w:r w:rsidRPr="00550E30">
        <w:t>. Può tuttavia essere perseguito, secondo il diritto comune, per ingiuria o diffamazione"</w:t>
      </w:r>
      <w:r w:rsidRPr="00550E30">
        <w:rPr>
          <w:sz w:val="22"/>
        </w:rPr>
        <w:t xml:space="preserve">; </w:t>
      </w:r>
    </w:p>
    <w:p w:rsidR="00CB24CC" w:rsidRPr="00550E30" w:rsidRDefault="00CB24CC" w:rsidP="00CB24CC">
      <w:pPr>
        <w:pStyle w:val="NormalHanging12a"/>
        <w:widowControl/>
      </w:pPr>
      <w:r w:rsidRPr="00550E30">
        <w:t>G.</w:t>
      </w:r>
      <w:r w:rsidRPr="00550E30">
        <w:tab/>
        <w:t>considerando che l'immunità parlamentare è intesa a proteggere il Parlamento e i deputati che lo compongono da procedimenti penali relativi ad attività svolte nell'esercizio del mandato parlamentare e che non possono essere disgiunte da tale mandato;</w:t>
      </w:r>
    </w:p>
    <w:p w:rsidR="00CB24CC" w:rsidRPr="00550E30" w:rsidRDefault="00CB24CC" w:rsidP="00CB24CC">
      <w:pPr>
        <w:pStyle w:val="NormalHanging12a"/>
        <w:widowControl/>
      </w:pPr>
      <w:r w:rsidRPr="00550E30">
        <w:t>H.</w:t>
      </w:r>
      <w:r w:rsidRPr="00550E30">
        <w:tab/>
        <w:t>considerando che, a norma dell'articolo 5, paragrafo 2, del regolamento, l'immunità parlamentare non è un privilegio personale del deputato ma una garanzia di indipendenza del Parlamento in quanto istituzione e dei suoi membri;</w:t>
      </w:r>
    </w:p>
    <w:p w:rsidR="00CB24CC" w:rsidRPr="00550E30" w:rsidRDefault="00CB24CC" w:rsidP="00CB24CC">
      <w:pPr>
        <w:pStyle w:val="NormalHanging12a"/>
        <w:widowControl/>
      </w:pPr>
      <w:r w:rsidRPr="00550E30">
        <w:lastRenderedPageBreak/>
        <w:t>I.</w:t>
      </w:r>
      <w:r w:rsidRPr="00550E30">
        <w:tab/>
        <w:t xml:space="preserve">considerando che, nella fattispecie, il Parlamento non ha </w:t>
      </w:r>
      <w:r w:rsidR="000C7969" w:rsidRPr="00550E30">
        <w:t xml:space="preserve">potuto constatare l’esistenza </w:t>
      </w:r>
      <w:r w:rsidRPr="00550E30">
        <w:t xml:space="preserve">di </w:t>
      </w:r>
      <w:proofErr w:type="spellStart"/>
      <w:r w:rsidRPr="00550E30">
        <w:rPr>
          <w:i/>
        </w:rPr>
        <w:t>fumus</w:t>
      </w:r>
      <w:proofErr w:type="spellEnd"/>
      <w:r w:rsidRPr="00550E30">
        <w:rPr>
          <w:i/>
        </w:rPr>
        <w:t xml:space="preserve"> </w:t>
      </w:r>
      <w:proofErr w:type="spellStart"/>
      <w:r w:rsidRPr="00550E30">
        <w:rPr>
          <w:i/>
        </w:rPr>
        <w:t>persecutionis</w:t>
      </w:r>
      <w:proofErr w:type="spellEnd"/>
      <w:r w:rsidRPr="00550E30">
        <w:t xml:space="preserve">, vale a dire </w:t>
      </w:r>
      <w:r w:rsidR="000C7969" w:rsidRPr="00550E30">
        <w:t xml:space="preserve">di </w:t>
      </w:r>
      <w:r w:rsidRPr="00550E30">
        <w:t xml:space="preserve">elementi di fatto dai quali </w:t>
      </w:r>
      <w:r w:rsidR="003970D9" w:rsidRPr="00550E30">
        <w:t>s</w:t>
      </w:r>
      <w:r w:rsidRPr="00550E30">
        <w:t xml:space="preserve">i evinca </w:t>
      </w:r>
      <w:r w:rsidR="000C7969" w:rsidRPr="00550E30">
        <w:t>l’intento alla base del procedimento giudiziario sia quello di recare</w:t>
      </w:r>
      <w:r w:rsidRPr="00550E30">
        <w:t xml:space="preserve"> pregiudizio all'attività politica del deputato in quanto membro del Parlamento europeo;</w:t>
      </w:r>
    </w:p>
    <w:p w:rsidR="00CB24CC" w:rsidRPr="00550E30" w:rsidRDefault="00CB24CC" w:rsidP="00CB24CC">
      <w:pPr>
        <w:pStyle w:val="NormalHanging12a"/>
        <w:widowControl/>
      </w:pPr>
      <w:r w:rsidRPr="00550E30">
        <w:t>J.</w:t>
      </w:r>
      <w:r w:rsidRPr="00550E30">
        <w:tab/>
        <w:t>considerando</w:t>
      </w:r>
      <w:r w:rsidR="000C7969" w:rsidRPr="00550E30">
        <w:t xml:space="preserve"> che</w:t>
      </w:r>
      <w:r w:rsidRPr="00550E30">
        <w:t>, da un lato, il Parlamento non dovrebbe essere assimilato a un tribunale e, dall'altro</w:t>
      </w:r>
      <w:r w:rsidR="000C7969" w:rsidRPr="00550E30">
        <w:t xml:space="preserve"> lato</w:t>
      </w:r>
      <w:r w:rsidRPr="00550E30">
        <w:t>, il deputato non dovrebbe, nel contesto di una procedura di revoca dell'immunità, essere considerato un "accusato"</w:t>
      </w:r>
      <w:r w:rsidRPr="00550E30">
        <w:rPr>
          <w:vertAlign w:val="superscript"/>
        </w:rPr>
        <w:footnoteReference w:id="2"/>
      </w:r>
      <w:r w:rsidRPr="00550E30">
        <w:t>;</w:t>
      </w:r>
    </w:p>
    <w:p w:rsidR="00CB24CC" w:rsidRPr="00550E30" w:rsidRDefault="00CB24CC" w:rsidP="00CB24CC">
      <w:pPr>
        <w:pStyle w:val="NormalHanging12a"/>
        <w:widowControl/>
      </w:pPr>
      <w:r w:rsidRPr="00550E30">
        <w:t>1.</w:t>
      </w:r>
      <w:r w:rsidRPr="00550E30">
        <w:tab/>
        <w:t xml:space="preserve">decide di revocare l'immunità di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>;</w:t>
      </w:r>
    </w:p>
    <w:p w:rsidR="00E365E1" w:rsidRPr="00550E30" w:rsidRDefault="00CB24CC" w:rsidP="006E6AE2">
      <w:pPr>
        <w:widowControl/>
        <w:ind w:left="567" w:hanging="567"/>
      </w:pPr>
      <w:r w:rsidRPr="00550E30">
        <w:t>2.</w:t>
      </w:r>
      <w:r w:rsidRPr="00550E30">
        <w:tab/>
        <w:t xml:space="preserve">incarica la sua Presidente di trasmettere immediatamente la presente decisione e la relazione della sua commissione competente alle autorità competenti della Repubblica di Lituania e a </w:t>
      </w:r>
      <w:proofErr w:type="spellStart"/>
      <w:r w:rsidRPr="00550E30">
        <w:t>Petras</w:t>
      </w:r>
      <w:proofErr w:type="spellEnd"/>
      <w:r w:rsidRPr="00550E30">
        <w:t xml:space="preserve"> </w:t>
      </w:r>
      <w:proofErr w:type="spellStart"/>
      <w:r w:rsidRPr="00550E30">
        <w:t>Gražulis</w:t>
      </w:r>
      <w:proofErr w:type="spellEnd"/>
      <w:r w:rsidRPr="00550E30">
        <w:t>.</w:t>
      </w:r>
    </w:p>
    <w:sectPr w:rsidR="00E365E1" w:rsidRPr="00550E30" w:rsidSect="00FB38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9CF" w:rsidRPr="00FB385F" w:rsidRDefault="006369CF">
      <w:r w:rsidRPr="00FB385F">
        <w:separator/>
      </w:r>
    </w:p>
  </w:endnote>
  <w:endnote w:type="continuationSeparator" w:id="0">
    <w:p w:rsidR="006369CF" w:rsidRPr="00FB385F" w:rsidRDefault="006369CF">
      <w:r w:rsidRPr="00FB38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8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8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8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9CF" w:rsidRPr="00FB385F" w:rsidRDefault="006369CF">
      <w:r w:rsidRPr="00FB385F">
        <w:separator/>
      </w:r>
    </w:p>
  </w:footnote>
  <w:footnote w:type="continuationSeparator" w:id="0">
    <w:p w:rsidR="006369CF" w:rsidRPr="00FB385F" w:rsidRDefault="006369CF">
      <w:r w:rsidRPr="00FB385F">
        <w:continuationSeparator/>
      </w:r>
    </w:p>
  </w:footnote>
  <w:footnote w:id="1">
    <w:p w:rsidR="00CB24CC" w:rsidRPr="00FB385F" w:rsidRDefault="00CB24CC" w:rsidP="00FB385F">
      <w:pPr>
        <w:pStyle w:val="FootnoteText"/>
        <w:ind w:left="567" w:hanging="567"/>
        <w:rPr>
          <w:sz w:val="24"/>
          <w:lang w:val="it-IT"/>
        </w:rPr>
      </w:pPr>
      <w:r w:rsidRPr="00FB385F">
        <w:rPr>
          <w:rStyle w:val="FootnoteReference"/>
          <w:sz w:val="24"/>
          <w:lang w:val="it-IT"/>
        </w:rPr>
        <w:footnoteRef/>
      </w:r>
      <w:r w:rsidR="00FB385F" w:rsidRPr="00FB385F">
        <w:rPr>
          <w:sz w:val="24"/>
          <w:lang w:val="it-IT"/>
        </w:rPr>
        <w:t xml:space="preserve"> </w:t>
      </w:r>
      <w:r w:rsidR="00FB385F" w:rsidRPr="00FB385F">
        <w:rPr>
          <w:sz w:val="24"/>
          <w:lang w:val="it-IT"/>
        </w:rPr>
        <w:tab/>
      </w:r>
      <w:r w:rsidRPr="00FB385F">
        <w:rPr>
          <w:sz w:val="24"/>
          <w:lang w:val="it-IT"/>
        </w:rPr>
        <w:t xml:space="preserve">Sentenza della Corte di giustizia del 21 ottobre 2008, </w:t>
      </w:r>
      <w:r w:rsidRPr="005535FA">
        <w:rPr>
          <w:i/>
          <w:lang w:val="it-IT"/>
        </w:rPr>
        <w:t>Marra/De Gregorio e Clemente</w:t>
      </w:r>
      <w:r w:rsidRPr="00FB385F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5535FA">
        <w:rPr>
          <w:i/>
          <w:lang w:val="it-IT"/>
        </w:rPr>
        <w:t>Gollnisch</w:t>
      </w:r>
      <w:proofErr w:type="spellEnd"/>
      <w:r w:rsidRPr="005535FA">
        <w:rPr>
          <w:i/>
          <w:lang w:val="it-IT"/>
        </w:rPr>
        <w:t>/Parlamento</w:t>
      </w:r>
      <w:r w:rsidRPr="00FB385F">
        <w:rPr>
          <w:sz w:val="24"/>
          <w:lang w:val="it-IT"/>
        </w:rPr>
        <w:t xml:space="preserve">, T-42/06, ECLI:EU:T:2010:102; sentenza della Corte di giustizia del 6 settembre 2011, </w:t>
      </w:r>
      <w:r w:rsidRPr="005535FA">
        <w:rPr>
          <w:i/>
          <w:lang w:val="it-IT"/>
        </w:rPr>
        <w:t>Patriciello</w:t>
      </w:r>
      <w:r w:rsidRPr="00FB385F">
        <w:rPr>
          <w:sz w:val="24"/>
          <w:lang w:val="it-IT"/>
        </w:rPr>
        <w:t xml:space="preserve">, C-163/10, ECLI:EU:C:2011:543; sentenza del Tribunale del 17 gennaio 2013, </w:t>
      </w:r>
      <w:proofErr w:type="spellStart"/>
      <w:r w:rsidRPr="005535FA">
        <w:rPr>
          <w:i/>
          <w:lang w:val="it-IT"/>
        </w:rPr>
        <w:t>Gollnisch</w:t>
      </w:r>
      <w:proofErr w:type="spellEnd"/>
      <w:r w:rsidRPr="005535FA">
        <w:rPr>
          <w:i/>
          <w:lang w:val="it-IT"/>
        </w:rPr>
        <w:t>/Parlamento</w:t>
      </w:r>
      <w:r w:rsidRPr="00FB385F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5535FA">
        <w:rPr>
          <w:i/>
          <w:lang w:val="it-IT"/>
        </w:rPr>
        <w:t>Junqueras</w:t>
      </w:r>
      <w:proofErr w:type="spellEnd"/>
      <w:r w:rsidRPr="005535FA">
        <w:rPr>
          <w:i/>
          <w:lang w:val="it-IT"/>
        </w:rPr>
        <w:t xml:space="preserve"> </w:t>
      </w:r>
      <w:proofErr w:type="spellStart"/>
      <w:r w:rsidRPr="005535FA">
        <w:rPr>
          <w:i/>
          <w:lang w:val="it-IT"/>
        </w:rPr>
        <w:t>Vies</w:t>
      </w:r>
      <w:proofErr w:type="spellEnd"/>
      <w:r w:rsidRPr="00FB385F">
        <w:rPr>
          <w:sz w:val="24"/>
          <w:lang w:val="it-IT"/>
        </w:rPr>
        <w:t xml:space="preserve">, C-502/19, ECLI:EU:C:2019:1115. sentenza del Tribunale del 5 luglio 2023, </w:t>
      </w:r>
      <w:proofErr w:type="spellStart"/>
      <w:r w:rsidRPr="005535FA">
        <w:rPr>
          <w:i/>
          <w:lang w:val="it-IT"/>
        </w:rPr>
        <w:t>Carles</w:t>
      </w:r>
      <w:proofErr w:type="spellEnd"/>
      <w:r w:rsidRPr="005535FA">
        <w:rPr>
          <w:i/>
          <w:lang w:val="it-IT"/>
        </w:rPr>
        <w:t xml:space="preserve"> </w:t>
      </w:r>
      <w:proofErr w:type="spellStart"/>
      <w:r w:rsidRPr="005535FA">
        <w:rPr>
          <w:i/>
          <w:lang w:val="it-IT"/>
        </w:rPr>
        <w:t>Puigdemont</w:t>
      </w:r>
      <w:proofErr w:type="spellEnd"/>
      <w:r w:rsidRPr="005535FA">
        <w:rPr>
          <w:i/>
          <w:lang w:val="it-IT"/>
        </w:rPr>
        <w:t xml:space="preserve"> i </w:t>
      </w:r>
      <w:proofErr w:type="spellStart"/>
      <w:r w:rsidRPr="005535FA">
        <w:rPr>
          <w:i/>
          <w:lang w:val="it-IT"/>
        </w:rPr>
        <w:t>Casamajó</w:t>
      </w:r>
      <w:proofErr w:type="spellEnd"/>
      <w:r w:rsidRPr="005535FA">
        <w:rPr>
          <w:i/>
          <w:lang w:val="it-IT"/>
        </w:rPr>
        <w:t xml:space="preserve"> e a./Parlamento</w:t>
      </w:r>
      <w:r w:rsidRPr="00FB385F">
        <w:rPr>
          <w:sz w:val="24"/>
          <w:lang w:val="it-IT"/>
        </w:rPr>
        <w:t>, T-272/21, ECLI:</w:t>
      </w:r>
      <w:proofErr w:type="gramStart"/>
      <w:r w:rsidRPr="00FB385F">
        <w:rPr>
          <w:sz w:val="24"/>
          <w:lang w:val="it-IT"/>
        </w:rPr>
        <w:t>EU:T</w:t>
      </w:r>
      <w:proofErr w:type="gramEnd"/>
      <w:r w:rsidRPr="00FB385F">
        <w:rPr>
          <w:sz w:val="24"/>
          <w:lang w:val="it-IT"/>
        </w:rPr>
        <w:t>:2023:373.</w:t>
      </w:r>
    </w:p>
  </w:footnote>
  <w:footnote w:id="2">
    <w:p w:rsidR="00CB24CC" w:rsidRPr="00FB385F" w:rsidRDefault="00CB24CC" w:rsidP="00FB385F">
      <w:pPr>
        <w:pStyle w:val="FootnoteText"/>
        <w:ind w:left="567" w:hanging="567"/>
        <w:rPr>
          <w:sz w:val="24"/>
          <w:lang w:val="it-IT"/>
        </w:rPr>
      </w:pPr>
      <w:r w:rsidRPr="00FB385F">
        <w:rPr>
          <w:rStyle w:val="FootnoteReference"/>
          <w:sz w:val="24"/>
          <w:lang w:val="it-IT"/>
        </w:rPr>
        <w:footnoteRef/>
      </w:r>
      <w:r w:rsidR="00FB385F" w:rsidRPr="00FB385F">
        <w:rPr>
          <w:sz w:val="24"/>
          <w:lang w:val="it-IT"/>
        </w:rPr>
        <w:t xml:space="preserve"> </w:t>
      </w:r>
      <w:r w:rsidR="00FB385F" w:rsidRPr="00FB385F">
        <w:rPr>
          <w:sz w:val="24"/>
          <w:lang w:val="it-IT"/>
        </w:rPr>
        <w:tab/>
      </w:r>
      <w:r w:rsidRPr="00FB385F">
        <w:rPr>
          <w:sz w:val="24"/>
          <w:lang w:val="it-IT"/>
        </w:rPr>
        <w:t xml:space="preserve">Sentenza del Tribunale del 30 aprile 2019, </w:t>
      </w:r>
      <w:proofErr w:type="spellStart"/>
      <w:r w:rsidRPr="005535FA">
        <w:rPr>
          <w:i/>
          <w:sz w:val="24"/>
          <w:lang w:val="it-IT"/>
        </w:rPr>
        <w:t>Briois</w:t>
      </w:r>
      <w:proofErr w:type="spellEnd"/>
      <w:r w:rsidRPr="005535FA">
        <w:rPr>
          <w:i/>
          <w:sz w:val="24"/>
          <w:lang w:val="it-IT"/>
        </w:rPr>
        <w:t>/Parlamento</w:t>
      </w:r>
      <w:r w:rsidRPr="00FB385F">
        <w:rPr>
          <w:sz w:val="24"/>
          <w:lang w:val="it-IT"/>
        </w:rPr>
        <w:t>, T-214/18, ECLI:</w:t>
      </w:r>
      <w:proofErr w:type="gramStart"/>
      <w:r w:rsidRPr="00FB385F">
        <w:rPr>
          <w:sz w:val="24"/>
          <w:lang w:val="it-IT"/>
        </w:rPr>
        <w:t>EU:T</w:t>
      </w:r>
      <w:proofErr w:type="gramEnd"/>
      <w:r w:rsidRPr="00FB385F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8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8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38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IT"/>
    <w:docVar w:name="dvnumam" w:val="0"/>
    <w:docVar w:name="dvpe" w:val="770.080"/>
    <w:docVar w:name="dvrapporteur" w:val="Relatrice: "/>
    <w:docVar w:name="dvtitre" w:val="Decisione del Parlamento europeo del 6 maggio 2025 sulla richiesta di revoca dell'immunità di Petras Gražulis(2024/2089(IMM))"/>
  </w:docVars>
  <w:rsids>
    <w:rsidRoot w:val="006369CF"/>
    <w:rsid w:val="00002272"/>
    <w:rsid w:val="00064002"/>
    <w:rsid w:val="000677B9"/>
    <w:rsid w:val="000831BA"/>
    <w:rsid w:val="000A42CC"/>
    <w:rsid w:val="000C7969"/>
    <w:rsid w:val="000E7DD9"/>
    <w:rsid w:val="0010095E"/>
    <w:rsid w:val="00125B37"/>
    <w:rsid w:val="00187494"/>
    <w:rsid w:val="001F32AE"/>
    <w:rsid w:val="002767FF"/>
    <w:rsid w:val="002B18FE"/>
    <w:rsid w:val="002B5493"/>
    <w:rsid w:val="00322EAD"/>
    <w:rsid w:val="00343214"/>
    <w:rsid w:val="00361C00"/>
    <w:rsid w:val="00395FA1"/>
    <w:rsid w:val="003970D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E30"/>
    <w:rsid w:val="005535FA"/>
    <w:rsid w:val="00560270"/>
    <w:rsid w:val="005C2568"/>
    <w:rsid w:val="005F1B17"/>
    <w:rsid w:val="006037C0"/>
    <w:rsid w:val="006369CF"/>
    <w:rsid w:val="006631B6"/>
    <w:rsid w:val="00680577"/>
    <w:rsid w:val="006E6AE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4CC"/>
    <w:rsid w:val="00CC2357"/>
    <w:rsid w:val="00CF071A"/>
    <w:rsid w:val="00D058B8"/>
    <w:rsid w:val="00D56C11"/>
    <w:rsid w:val="00D834A0"/>
    <w:rsid w:val="00D872DF"/>
    <w:rsid w:val="00D91E21"/>
    <w:rsid w:val="00DA7FCD"/>
    <w:rsid w:val="00E2556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85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CF01A"/>
  <w15:chartTrackingRefBased/>
  <w15:docId w15:val="{5F2D0D69-8699-421D-BE07-CD1C8760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B24C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CB24C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B24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B24CC"/>
    <w:rPr>
      <w:sz w:val="24"/>
      <w:lang w:val="it-IT"/>
    </w:rPr>
  </w:style>
  <w:style w:type="paragraph" w:customStyle="1" w:styleId="EPFooter">
    <w:name w:val="EPFooter"/>
    <w:basedOn w:val="Normal"/>
    <w:rsid w:val="00CB24C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B24CC"/>
    <w:pPr>
      <w:spacing w:before="480" w:after="240"/>
    </w:pPr>
  </w:style>
  <w:style w:type="paragraph" w:styleId="BalloonText">
    <w:name w:val="Balloon Text"/>
    <w:basedOn w:val="Normal"/>
    <w:link w:val="BalloonTextChar"/>
    <w:rsid w:val="003970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70D9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9040F-2210-48FA-B1A9-77380916D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801</Words>
  <Characters>4656</Characters>
  <Application>Microsoft Office Word</Application>
  <DocSecurity>0</DocSecurity>
  <Lines>87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2025-05-06T10:40:00Z</dcterms:created>
  <dcterms:modified xsi:type="dcterms:W3CDTF">2025-05-06T10:40:00Z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