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5965" w:rsidTr="0010095E">
        <w:trPr>
          <w:trHeight w:hRule="exact" w:val="1418"/>
        </w:trPr>
        <w:tc>
          <w:tcPr>
            <w:tcW w:w="6804" w:type="dxa"/>
            <w:shd w:val="clear" w:color="auto" w:fill="auto"/>
            <w:vAlign w:val="center"/>
          </w:tcPr>
          <w:p w:rsidR="00751A4A" w:rsidRPr="00945965" w:rsidRDefault="001B41FB" w:rsidP="0010095E">
            <w:pPr>
              <w:pStyle w:val="EPName"/>
            </w:pPr>
            <w:r w:rsidRPr="00945965">
              <w:t>Europos Parlamentas</w:t>
            </w:r>
          </w:p>
          <w:p w:rsidR="00751A4A" w:rsidRPr="00945965" w:rsidRDefault="005F1B17" w:rsidP="005F1B17">
            <w:pPr>
              <w:pStyle w:val="EPTerm"/>
              <w:rPr>
                <w:rStyle w:val="HideTWBExt"/>
                <w:noProof w:val="0"/>
                <w:vanish w:val="0"/>
                <w:color w:val="auto"/>
              </w:rPr>
            </w:pPr>
            <w:r w:rsidRPr="00945965">
              <w:t>2024</w:t>
            </w:r>
            <w:r w:rsidR="00817416" w:rsidRPr="00945965">
              <w:t>-202</w:t>
            </w:r>
            <w:r w:rsidRPr="00945965">
              <w:t>9</w:t>
            </w:r>
          </w:p>
        </w:tc>
        <w:tc>
          <w:tcPr>
            <w:tcW w:w="2268" w:type="dxa"/>
            <w:shd w:val="clear" w:color="auto" w:fill="auto"/>
          </w:tcPr>
          <w:p w:rsidR="00751A4A" w:rsidRPr="00945965" w:rsidRDefault="00187494" w:rsidP="0010095E">
            <w:pPr>
              <w:pStyle w:val="EPLogo"/>
            </w:pPr>
            <w:r w:rsidRPr="0094596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5965" w:rsidRDefault="00D058B8" w:rsidP="004C5D52">
      <w:pPr>
        <w:pStyle w:val="LineTop"/>
      </w:pPr>
    </w:p>
    <w:p w:rsidR="00680577" w:rsidRPr="00945965" w:rsidRDefault="001B41FB" w:rsidP="00680577">
      <w:pPr>
        <w:pStyle w:val="EPBodyTA1"/>
      </w:pPr>
      <w:r w:rsidRPr="00945965">
        <w:t>PRIIMTI TEKSTAI</w:t>
      </w:r>
    </w:p>
    <w:p w:rsidR="00D058B8" w:rsidRPr="00945965" w:rsidRDefault="00D058B8" w:rsidP="00D058B8">
      <w:pPr>
        <w:pStyle w:val="LineBottom"/>
      </w:pPr>
    </w:p>
    <w:p w:rsidR="001B41FB" w:rsidRPr="00945965" w:rsidRDefault="001B41FB" w:rsidP="001B41FB">
      <w:pPr>
        <w:pStyle w:val="ATHeading1"/>
      </w:pPr>
      <w:bookmarkStart w:id="0" w:name="TANumber"/>
      <w:r w:rsidRPr="00945965">
        <w:t>P10_TA(2025)00</w:t>
      </w:r>
      <w:r w:rsidR="00E748F2">
        <w:t>68</w:t>
      </w:r>
      <w:bookmarkEnd w:id="0"/>
    </w:p>
    <w:p w:rsidR="001B41FB" w:rsidRPr="00945965" w:rsidRDefault="001B41FB" w:rsidP="001B41FB">
      <w:pPr>
        <w:pStyle w:val="ATHeading2"/>
      </w:pPr>
      <w:bookmarkStart w:id="1" w:name="title"/>
      <w:r w:rsidRPr="00945965">
        <w:t>Prašymas atšaukti Petro Gražulio imunitetą</w:t>
      </w:r>
      <w:bookmarkEnd w:id="1"/>
    </w:p>
    <w:p w:rsidR="001B41FB" w:rsidRPr="00945965" w:rsidRDefault="001B41FB" w:rsidP="001B41FB">
      <w:pPr>
        <w:rPr>
          <w:i/>
          <w:vanish/>
        </w:rPr>
      </w:pPr>
      <w:r w:rsidRPr="00945965">
        <w:rPr>
          <w:i/>
        </w:rPr>
        <w:fldChar w:fldCharType="begin"/>
      </w:r>
      <w:r w:rsidRPr="00945965">
        <w:rPr>
          <w:i/>
        </w:rPr>
        <w:instrText xml:space="preserve"> TC"(</w:instrText>
      </w:r>
      <w:bookmarkStart w:id="2" w:name="DocNumber"/>
      <w:r w:rsidRPr="00945965">
        <w:rPr>
          <w:i/>
        </w:rPr>
        <w:instrText>A10-0078/2025</w:instrText>
      </w:r>
      <w:bookmarkEnd w:id="2"/>
      <w:r w:rsidRPr="00945965">
        <w:rPr>
          <w:i/>
        </w:rPr>
        <w:instrText xml:space="preserve"> - Pranešėja: Pascale Piera)"\l3 \n&gt; \* MERGEFORMAT </w:instrText>
      </w:r>
      <w:r w:rsidRPr="00945965">
        <w:rPr>
          <w:i/>
        </w:rPr>
        <w:fldChar w:fldCharType="end"/>
      </w:r>
    </w:p>
    <w:p w:rsidR="001B41FB" w:rsidRPr="00945965" w:rsidRDefault="001B41FB" w:rsidP="001B41FB">
      <w:pPr>
        <w:rPr>
          <w:vanish/>
        </w:rPr>
      </w:pPr>
      <w:bookmarkStart w:id="3" w:name="Commission"/>
      <w:r w:rsidRPr="00945965">
        <w:rPr>
          <w:vanish/>
        </w:rPr>
        <w:t>Teisės reikalų komitetas</w:t>
      </w:r>
      <w:bookmarkEnd w:id="3"/>
    </w:p>
    <w:p w:rsidR="001B41FB" w:rsidRPr="00945965" w:rsidRDefault="001B41FB" w:rsidP="001B41FB">
      <w:pPr>
        <w:rPr>
          <w:vanish/>
        </w:rPr>
      </w:pPr>
      <w:bookmarkStart w:id="4" w:name="PE"/>
      <w:r w:rsidRPr="00945965">
        <w:rPr>
          <w:vanish/>
        </w:rPr>
        <w:t>PE770.080</w:t>
      </w:r>
      <w:bookmarkEnd w:id="4"/>
    </w:p>
    <w:p w:rsidR="001B41FB" w:rsidRPr="00945965" w:rsidRDefault="00FC2BA2" w:rsidP="00E748F2">
      <w:pPr>
        <w:pStyle w:val="ATHeading3"/>
      </w:pPr>
      <w:bookmarkStart w:id="5" w:name="Sujet"/>
      <w:r>
        <w:t xml:space="preserve">2025 m. gegužės 6 d. </w:t>
      </w:r>
      <w:r w:rsidR="001B41FB" w:rsidRPr="00945965">
        <w:t>Europos Parlamento sprendimas dėl prašymo atšaukti Petro Gražulio imunitetą</w:t>
      </w:r>
      <w:bookmarkEnd w:id="5"/>
      <w:r w:rsidR="001B41FB" w:rsidRPr="00945965">
        <w:t xml:space="preserve"> </w:t>
      </w:r>
      <w:bookmarkStart w:id="6" w:name="References"/>
      <w:r w:rsidR="001B41FB" w:rsidRPr="00945965">
        <w:t>(2024/2089(IMM))</w:t>
      </w:r>
      <w:bookmarkEnd w:id="6"/>
    </w:p>
    <w:p w:rsidR="00A60873" w:rsidRPr="00945965" w:rsidRDefault="00A60873" w:rsidP="00A60873">
      <w:pPr>
        <w:pStyle w:val="EPComma"/>
      </w:pPr>
      <w:bookmarkStart w:id="7" w:name="TextBodyBegin"/>
      <w:bookmarkEnd w:id="7"/>
      <w:r w:rsidRPr="00945965">
        <w:rPr>
          <w:i/>
        </w:rPr>
        <w:t>Europos Parlamentas</w:t>
      </w:r>
      <w:r w:rsidRPr="00945965">
        <w:t>,</w:t>
      </w:r>
    </w:p>
    <w:p w:rsidR="00A60873" w:rsidRPr="00945965" w:rsidRDefault="00A60873" w:rsidP="00A60873">
      <w:pPr>
        <w:pStyle w:val="NormalHanging12a"/>
        <w:widowControl/>
      </w:pPr>
      <w:r w:rsidRPr="00945965">
        <w:t>–</w:t>
      </w:r>
      <w:r w:rsidRPr="00945965">
        <w:tab/>
        <w:t>atsižvelgdamas į 2024 m. rugsėjo 16 d. Lietuvos Respublikos generalinės prokurorės prašymą atšaukti Petro Gražulio imunitetą ryšium su jo atžvilgiu pradėtu baudžiamuoju procesu, apie kurį pranešta 2024 m. spalio 24 d. plenariniame posėdyje,</w:t>
      </w:r>
    </w:p>
    <w:p w:rsidR="00A60873" w:rsidRPr="00945965" w:rsidRDefault="00A60873" w:rsidP="00A60873">
      <w:pPr>
        <w:pStyle w:val="NormalHanging12a"/>
        <w:widowControl/>
      </w:pPr>
      <w:r w:rsidRPr="00945965">
        <w:t>–</w:t>
      </w:r>
      <w:r w:rsidRPr="00945965">
        <w:tab/>
        <w:t>2025 m. kovo 18 d. išklausęs Petro Gražulio paaiškinimų, kaip nurodyta Darbo tvarkos taisyklių 9 straipsnio 6 dalyje,</w:t>
      </w:r>
    </w:p>
    <w:p w:rsidR="00A60873" w:rsidRPr="00945965" w:rsidRDefault="00A60873" w:rsidP="00A60873">
      <w:pPr>
        <w:pStyle w:val="NormalHanging12a"/>
        <w:widowControl/>
      </w:pPr>
      <w:r w:rsidRPr="00945965">
        <w:t>–</w:t>
      </w:r>
      <w:r w:rsidRPr="00945965">
        <w:tab/>
        <w:t>atsižvelgdamas į Protokolo Nr. 7 dėl Europos Sąjungos privilegijų ir imunitetų 8 ir 9 straipsnius ir į 1976 m. rugsėjo 20 </w:t>
      </w:r>
      <w:bookmarkStart w:id="8" w:name="_GoBack"/>
      <w:bookmarkEnd w:id="8"/>
      <w:r w:rsidRPr="00945965">
        <w:t>d. Akto dėl Europos Parlamento narių rinkimų remiantis tiesiogine visuotine rinkimų teise 6 straipsnio 2 dalį,</w:t>
      </w:r>
    </w:p>
    <w:p w:rsidR="00A60873" w:rsidRPr="00945965" w:rsidRDefault="00A60873" w:rsidP="00A60873">
      <w:pPr>
        <w:pStyle w:val="NormalHanging12a"/>
        <w:widowControl/>
      </w:pPr>
      <w:r w:rsidRPr="00945965">
        <w:t>–</w:t>
      </w:r>
      <w:r w:rsidRPr="00945965">
        <w:tab/>
        <w:t>atsižvelgdamas į Europos Sąjungos Teisingumo Teismo 2008 m. spalio 21 d., 2010 m. kovo 19 d., 2011 m. rugsėjo 6 d., 2013 m. sausio 17 d., 2019 m. gruodžio 19 d. ir 2023 m. liepos 5 d. sprendimus</w:t>
      </w:r>
      <w:r w:rsidRPr="00945965">
        <w:rPr>
          <w:rStyle w:val="FootnoteReference"/>
          <w:color w:val="000000"/>
        </w:rPr>
        <w:footnoteReference w:id="1"/>
      </w:r>
      <w:r w:rsidRPr="00945965">
        <w:t>,</w:t>
      </w:r>
    </w:p>
    <w:p w:rsidR="00A60873" w:rsidRPr="00945965" w:rsidRDefault="00A60873" w:rsidP="00A60873">
      <w:pPr>
        <w:pStyle w:val="NormalHanging12a"/>
        <w:widowControl/>
      </w:pPr>
      <w:r w:rsidRPr="00945965">
        <w:t>–</w:t>
      </w:r>
      <w:r w:rsidRPr="00945965">
        <w:tab/>
        <w:t>atsižvelgdamas į Lietuvos Respublikos Konstitucijos 62 straipsnį,</w:t>
      </w:r>
    </w:p>
    <w:p w:rsidR="00A60873" w:rsidRPr="00945965" w:rsidRDefault="00A60873" w:rsidP="00A60873">
      <w:pPr>
        <w:pStyle w:val="NormalHanging12a"/>
        <w:widowControl/>
      </w:pPr>
      <w:r w:rsidRPr="00945965">
        <w:t>–</w:t>
      </w:r>
      <w:r w:rsidRPr="00945965">
        <w:tab/>
        <w:t>atsižvelgdamas į Darbo tvarkos taisyklių 5 straipsnio 2 dalį, 6 straipsnio 1 dalį ir 9 straipsnį,</w:t>
      </w:r>
    </w:p>
    <w:p w:rsidR="00A60873" w:rsidRPr="00945965" w:rsidRDefault="00A60873" w:rsidP="00A60873">
      <w:pPr>
        <w:pStyle w:val="NormalHanging12a"/>
        <w:widowControl/>
      </w:pPr>
      <w:r w:rsidRPr="00945965">
        <w:t>–</w:t>
      </w:r>
      <w:r w:rsidRPr="00945965">
        <w:tab/>
        <w:t>atsižvelgdamas į Teisės reikalų komiteto pranešimą (A10-0078/2025),</w:t>
      </w:r>
    </w:p>
    <w:p w:rsidR="00A60873" w:rsidRPr="00945965" w:rsidRDefault="00A60873" w:rsidP="00A60873">
      <w:pPr>
        <w:pStyle w:val="NormalHanging12a"/>
        <w:widowControl/>
      </w:pPr>
      <w:r w:rsidRPr="00945965">
        <w:t>A.</w:t>
      </w:r>
      <w:r w:rsidRPr="00945965">
        <w:tab/>
        <w:t xml:space="preserve">kadangi 2024 m. rugsėjo 16 d. raštu Lietuvos Respublikos generalinė prokurorė </w:t>
      </w:r>
      <w:r w:rsidR="00FC2BA2">
        <w:t>paprašė</w:t>
      </w:r>
      <w:r w:rsidRPr="00945965">
        <w:t xml:space="preserve"> atšaukti Petro Gražulio imunitetą ryšium su įtariama nusikalstama veika pagal Lietuvos </w:t>
      </w:r>
      <w:r w:rsidRPr="00945965">
        <w:lastRenderedPageBreak/>
        <w:t>Respublikos baudžiamojo kodekso 170 straipsnio 2 dalį dėl to, kad jis viešai tyčiojosi iš asmenų grupės ir šiuos asmenis niekino dėl jų seksualinės orientacijos;</w:t>
      </w:r>
    </w:p>
    <w:p w:rsidR="00A60873" w:rsidRPr="00945965" w:rsidRDefault="00A60873" w:rsidP="00A60873">
      <w:pPr>
        <w:pStyle w:val="NormalHanging12a"/>
        <w:widowControl/>
      </w:pPr>
      <w:r w:rsidRPr="00945965">
        <w:rPr>
          <w:shd w:val="clear" w:color="auto" w:fill="FFFFFF"/>
        </w:rPr>
        <w:t>B.</w:t>
      </w:r>
      <w:r w:rsidRPr="00945965">
        <w:rPr>
          <w:shd w:val="clear" w:color="auto" w:fill="FFFFFF"/>
        </w:rPr>
        <w:tab/>
      </w:r>
      <w:r w:rsidRPr="00945965">
        <w:t>kadangi prašyme nurodoma, kad Petras Gražulis kaltinamas tuo, kad 2022 m. gegužės 26 d. Lietuvos Respublikos Seimo (toliau – Seimas) patalpose pasibaigus Seimo posėdžiui dėl civilinės sąjungos įregistravimo, filmuojant ir transliuojant žiniasklaidos priemonėms, diskusijos su operatoriumi metu viešai tyčiojosi, niekino ir žemino žmonių grupę ir juos menkino dėl jų seksualinės orientacijos; kadangi nusikalstama veika, kurios padarymu įtariamas tuo metu Seimo nariu buvęs Petras Gražulis, buvo padaryta 2022 metais</w:t>
      </w:r>
      <w:r w:rsidR="00FC2BA2">
        <w:t>; kadangi</w:t>
      </w:r>
      <w:r w:rsidRPr="00945965">
        <w:t xml:space="preserve"> ikiteisminis tyrimas vyko 2022–2023 metais, o byla buvo perduota Vilniaus apygardos teismui 2024 m. sausio mėn.; kadangi tuo metu Petras Gražulis turėjo Seimo </w:t>
      </w:r>
      <w:r w:rsidRPr="00945965">
        <w:rPr>
          <w:shd w:val="clear" w:color="auto" w:fill="FFFFFF"/>
        </w:rPr>
        <w:t>nario</w:t>
      </w:r>
      <w:r w:rsidRPr="00945965">
        <w:t xml:space="preserve"> imunitetą, tačiau 2023 m. lapkričio 16 d. Seimas davė sutikimą jį patraukti baudžiamojon atsakomybėn;</w:t>
      </w:r>
    </w:p>
    <w:p w:rsidR="00A60873" w:rsidRPr="00945965" w:rsidRDefault="00A60873" w:rsidP="00A60873">
      <w:pPr>
        <w:pStyle w:val="NormalHanging12a"/>
        <w:widowControl/>
      </w:pPr>
      <w:r w:rsidRPr="00945965">
        <w:t>C.</w:t>
      </w:r>
      <w:r w:rsidRPr="00945965">
        <w:tab/>
        <w:t xml:space="preserve">kadangi </w:t>
      </w:r>
      <w:r w:rsidRPr="00945965">
        <w:rPr>
          <w:shd w:val="clear" w:color="auto" w:fill="FFFFFF"/>
        </w:rPr>
        <w:t>2024 m. Europos Parlamento rinkimuose</w:t>
      </w:r>
      <w:r w:rsidRPr="00945965">
        <w:t xml:space="preserve"> Petras Gražulis buvo išrinktas į Europos Parlamentą ir </w:t>
      </w:r>
      <w:r w:rsidRPr="00945965">
        <w:rPr>
          <w:shd w:val="clear" w:color="auto" w:fill="FFFFFF"/>
        </w:rPr>
        <w:t>nusikalstamos veikos, kuria jis įtariamas, padarymo momentu jis nebuvo Europos Parlamento narys;</w:t>
      </w:r>
    </w:p>
    <w:p w:rsidR="00A60873" w:rsidRPr="00945965" w:rsidRDefault="00A60873" w:rsidP="00A60873">
      <w:pPr>
        <w:pStyle w:val="NormalHanging12a"/>
        <w:widowControl/>
      </w:pPr>
      <w:r w:rsidRPr="00945965">
        <w:t>D.</w:t>
      </w:r>
      <w:r w:rsidRPr="00945965">
        <w:tab/>
        <w:t>kadangi galima nusikalstama veika ir dėl jos pateiktas prašymas panaikinti Petro Gražulio imunitetą nėra susiję su jam einant pareigas pareikšta nuomone ar balsavimu, kaip numatyta Protokolo Nr. 7 dėl Europos Sąjungos privilegijų ir imunitetų 8 straipsnyje;</w:t>
      </w:r>
    </w:p>
    <w:p w:rsidR="00A60873" w:rsidRPr="00945965" w:rsidRDefault="00A60873" w:rsidP="00A60873">
      <w:pPr>
        <w:pStyle w:val="NormalHanging12a"/>
        <w:widowControl/>
      </w:pPr>
      <w:r w:rsidRPr="00945965">
        <w:t>E.</w:t>
      </w:r>
      <w:r w:rsidRPr="00945965">
        <w:tab/>
        <w:t xml:space="preserve">kadangi Protokolo Nr. 7 dėl Europos Sąjungos privilegijų ir imunitetų 9 straipsnio pirmos pastraipos a punkte </w:t>
      </w:r>
      <w:r w:rsidR="00CB59AC">
        <w:t>numatyta</w:t>
      </w:r>
      <w:r w:rsidRPr="00945965">
        <w:t>, kad Europos Parlamento nariai savo valstybės narės teritorijoje naudojasi imunitetais, kurie toje valstybėje narėje yra suteikiami parlamento nariams;</w:t>
      </w:r>
    </w:p>
    <w:p w:rsidR="00A60873" w:rsidRPr="00945965" w:rsidRDefault="00A60873" w:rsidP="00A60873">
      <w:pPr>
        <w:pStyle w:val="NormalHanging12a"/>
        <w:widowControl/>
      </w:pPr>
      <w:r w:rsidRPr="00945965">
        <w:t>F.</w:t>
      </w:r>
      <w:r w:rsidRPr="00945965">
        <w:tab/>
        <w:t xml:space="preserve">kadangi Lietuvos Respublikos Konstitucijos 62 straipsnyje nustatyta: „Seimo nario asmuo neliečiamas. Seimo narys be Seimo sutikimo negali būti traukiamas baudžiamojon atsakomybėn, suimamas, negali būti kitaip suvaržoma jo laisvė. Seimo narys už </w:t>
      </w:r>
      <w:proofErr w:type="spellStart"/>
      <w:r w:rsidRPr="00945965">
        <w:t>balsavimus</w:t>
      </w:r>
      <w:proofErr w:type="spellEnd"/>
      <w:r w:rsidRPr="00945965">
        <w:t xml:space="preserve"> ar kalbas Seime negali būti persekiojamas. Tačiau už asmens įžeidimą ar šmeižtą jis gali būti traukiamas atsakomybėn bendrąja tvarka.“;</w:t>
      </w:r>
      <w:r w:rsidRPr="00945965">
        <w:rPr>
          <w:sz w:val="22"/>
        </w:rPr>
        <w:t xml:space="preserve"> </w:t>
      </w:r>
    </w:p>
    <w:p w:rsidR="00A60873" w:rsidRPr="00945965" w:rsidRDefault="00A60873" w:rsidP="00A60873">
      <w:pPr>
        <w:pStyle w:val="NormalHanging12a"/>
        <w:widowControl/>
      </w:pPr>
      <w:r w:rsidRPr="00945965">
        <w:t>G.</w:t>
      </w:r>
      <w:r w:rsidRPr="00945965">
        <w:tab/>
        <w:t>kadangi Parlamento nario imuniteto paskirtis – apsaugoti Parlamentą ir jo narius nuo patraukimo atsakomybėn už veiksmus, kurie yra padaryti vykdant Parlamento nario įgaliojimus ir kurių negalima atskirti nuo tų įgaliojimų;</w:t>
      </w:r>
    </w:p>
    <w:p w:rsidR="00A60873" w:rsidRPr="00945965" w:rsidRDefault="00A60873" w:rsidP="00A60873">
      <w:pPr>
        <w:pStyle w:val="NormalHanging12a"/>
        <w:widowControl/>
      </w:pPr>
      <w:r w:rsidRPr="00945965">
        <w:t>H.</w:t>
      </w:r>
      <w:r w:rsidRPr="00945965">
        <w:tab/>
        <w:t>kadangi Parlamento Darbo tvarkos taisyklių 5 straipsnio 2 dalyje numatyta, kad Parlamento nario imunitetas yra ne jo asmeninė privilegija, bet viso Parlamento ir jo narių nepriklausomumo garantija;</w:t>
      </w:r>
    </w:p>
    <w:p w:rsidR="00A60873" w:rsidRPr="00945965" w:rsidRDefault="00A60873" w:rsidP="00A60873">
      <w:pPr>
        <w:pStyle w:val="NormalHanging12a"/>
        <w:widowControl/>
      </w:pPr>
      <w:r w:rsidRPr="00945965">
        <w:t>I.</w:t>
      </w:r>
      <w:r w:rsidRPr="00945965">
        <w:tab/>
        <w:t xml:space="preserve">kadangi šiuo atveju Parlamentas nenustatė esant </w:t>
      </w:r>
      <w:proofErr w:type="spellStart"/>
      <w:r w:rsidRPr="00945965">
        <w:rPr>
          <w:i/>
        </w:rPr>
        <w:t>fumus</w:t>
      </w:r>
      <w:proofErr w:type="spellEnd"/>
      <w:r w:rsidRPr="00945965">
        <w:rPr>
          <w:i/>
        </w:rPr>
        <w:t xml:space="preserve"> </w:t>
      </w:r>
      <w:proofErr w:type="spellStart"/>
      <w:r w:rsidRPr="00945965">
        <w:rPr>
          <w:i/>
        </w:rPr>
        <w:t>persecutionis</w:t>
      </w:r>
      <w:proofErr w:type="spellEnd"/>
      <w:r w:rsidRPr="00945965">
        <w:t>, t. y. faktinių aplinkybių, kurios leistų daryti prielaidą, kad šis procesas buvo pradėtas siekiant pakenkti Europos Parlamento nario politinei veiklai;</w:t>
      </w:r>
    </w:p>
    <w:p w:rsidR="00A60873" w:rsidRPr="00945965" w:rsidRDefault="00A60873" w:rsidP="00A60873">
      <w:pPr>
        <w:pStyle w:val="NormalHanging12a"/>
        <w:widowControl/>
      </w:pPr>
      <w:r w:rsidRPr="00945965">
        <w:t>J.</w:t>
      </w:r>
      <w:r w:rsidRPr="00945965">
        <w:tab/>
        <w:t>kadangi, pirma, Parlamentas negali būti prilyginamas teismui ir, antra, vykstant imuniteto atšaukimo procedūrai Parlamento narys negali būti laikomas kaltinamuoju</w:t>
      </w:r>
      <w:r w:rsidRPr="00945965">
        <w:rPr>
          <w:vertAlign w:val="superscript"/>
        </w:rPr>
        <w:footnoteReference w:id="2"/>
      </w:r>
      <w:r w:rsidRPr="00945965">
        <w:t>;</w:t>
      </w:r>
    </w:p>
    <w:p w:rsidR="00A60873" w:rsidRPr="00945965" w:rsidRDefault="00A60873" w:rsidP="00A60873">
      <w:pPr>
        <w:pStyle w:val="NormalHanging12a"/>
        <w:widowControl/>
      </w:pPr>
      <w:r w:rsidRPr="00945965">
        <w:lastRenderedPageBreak/>
        <w:t>1.</w:t>
      </w:r>
      <w:r w:rsidRPr="00945965">
        <w:tab/>
        <w:t>nusprendžia atšaukti Petro Gražulio imunitetą;</w:t>
      </w:r>
    </w:p>
    <w:p w:rsidR="00945965" w:rsidRPr="00945965" w:rsidRDefault="00A60873" w:rsidP="00945965">
      <w:pPr>
        <w:pStyle w:val="NormalHanging12a"/>
      </w:pPr>
      <w:r w:rsidRPr="00945965">
        <w:t>2.</w:t>
      </w:r>
      <w:r w:rsidRPr="00945965">
        <w:tab/>
        <w:t xml:space="preserve">paveda Pirmininkei nedelsiant perduoti šį sprendimą ir atsakingo komiteto pranešimą Lietuvos Respublikos kompetentingoms institucijoms ir Petrui </w:t>
      </w:r>
      <w:proofErr w:type="spellStart"/>
      <w:r w:rsidRPr="00945965">
        <w:t>Gražuliui</w:t>
      </w:r>
      <w:proofErr w:type="spellEnd"/>
      <w:r w:rsidRPr="00945965">
        <w:t>.</w:t>
      </w:r>
    </w:p>
    <w:p w:rsidR="00E365E1" w:rsidRPr="00945965" w:rsidRDefault="00E365E1" w:rsidP="001B41FB"/>
    <w:sectPr w:rsidR="00E365E1" w:rsidRPr="00945965" w:rsidSect="0094596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1FB" w:rsidRPr="00945965" w:rsidRDefault="001B41FB">
      <w:r w:rsidRPr="00945965">
        <w:separator/>
      </w:r>
    </w:p>
  </w:endnote>
  <w:endnote w:type="continuationSeparator" w:id="0">
    <w:p w:rsidR="001B41FB" w:rsidRPr="00945965" w:rsidRDefault="001B41FB">
      <w:r w:rsidRPr="009459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9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9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9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1FB" w:rsidRPr="00945965" w:rsidRDefault="001B41FB">
      <w:r w:rsidRPr="00945965">
        <w:separator/>
      </w:r>
    </w:p>
  </w:footnote>
  <w:footnote w:type="continuationSeparator" w:id="0">
    <w:p w:rsidR="001B41FB" w:rsidRPr="00945965" w:rsidRDefault="001B41FB">
      <w:r w:rsidRPr="00945965">
        <w:continuationSeparator/>
      </w:r>
    </w:p>
  </w:footnote>
  <w:footnote w:id="1">
    <w:p w:rsidR="00A60873" w:rsidRPr="00945965" w:rsidRDefault="00A60873" w:rsidP="00945965">
      <w:pPr>
        <w:pStyle w:val="FootnoteText"/>
        <w:ind w:left="567" w:hanging="567"/>
        <w:rPr>
          <w:sz w:val="24"/>
          <w:lang w:val="lt-LT"/>
        </w:rPr>
      </w:pPr>
      <w:r w:rsidRPr="00945965">
        <w:rPr>
          <w:rStyle w:val="FootnoteReference"/>
          <w:sz w:val="24"/>
          <w:lang w:val="lt-LT"/>
        </w:rPr>
        <w:footnoteRef/>
      </w:r>
      <w:r w:rsidR="00945965" w:rsidRPr="00945965">
        <w:rPr>
          <w:sz w:val="24"/>
          <w:lang w:val="lt-LT"/>
        </w:rPr>
        <w:t xml:space="preserve"> </w:t>
      </w:r>
      <w:r w:rsidR="00945965" w:rsidRPr="00945965">
        <w:rPr>
          <w:sz w:val="24"/>
          <w:lang w:val="lt-LT"/>
        </w:rPr>
        <w:tab/>
      </w:r>
      <w:r w:rsidRPr="00945965">
        <w:rPr>
          <w:sz w:val="24"/>
          <w:lang w:val="lt-LT"/>
        </w:rPr>
        <w:t xml:space="preserve">2008 m. spalio 21 d. Teisingumo Teismo sprendimas </w:t>
      </w:r>
      <w:proofErr w:type="spellStart"/>
      <w:r w:rsidRPr="00945965">
        <w:rPr>
          <w:i/>
          <w:iCs/>
          <w:sz w:val="24"/>
          <w:lang w:val="lt-LT"/>
        </w:rPr>
        <w:t>Marra</w:t>
      </w:r>
      <w:proofErr w:type="spellEnd"/>
      <w:r w:rsidRPr="00945965">
        <w:rPr>
          <w:i/>
          <w:iCs/>
          <w:sz w:val="24"/>
          <w:lang w:val="lt-LT"/>
        </w:rPr>
        <w:t xml:space="preserve"> / De </w:t>
      </w:r>
      <w:proofErr w:type="spellStart"/>
      <w:r w:rsidRPr="00945965">
        <w:rPr>
          <w:i/>
          <w:iCs/>
          <w:sz w:val="24"/>
          <w:lang w:val="lt-LT"/>
        </w:rPr>
        <w:t>Gregorio</w:t>
      </w:r>
      <w:proofErr w:type="spellEnd"/>
      <w:r w:rsidRPr="00945965">
        <w:rPr>
          <w:i/>
          <w:iCs/>
          <w:sz w:val="24"/>
          <w:lang w:val="lt-LT"/>
        </w:rPr>
        <w:t xml:space="preserve"> ir </w:t>
      </w:r>
      <w:proofErr w:type="spellStart"/>
      <w:r w:rsidRPr="00945965">
        <w:rPr>
          <w:i/>
          <w:iCs/>
          <w:sz w:val="24"/>
          <w:lang w:val="lt-LT"/>
        </w:rPr>
        <w:t>Clemente</w:t>
      </w:r>
      <w:proofErr w:type="spellEnd"/>
      <w:r w:rsidRPr="00945965">
        <w:rPr>
          <w:sz w:val="24"/>
          <w:lang w:val="lt-LT"/>
        </w:rPr>
        <w:t xml:space="preserve">, C-200/07 ir C-201/07, ECLI:EU:C:2008:579; 2010 m. kovo 19 d. Bendrojo Teismo sprendimas </w:t>
      </w:r>
      <w:proofErr w:type="spellStart"/>
      <w:r w:rsidRPr="00945965">
        <w:rPr>
          <w:i/>
          <w:iCs/>
          <w:sz w:val="24"/>
          <w:lang w:val="lt-LT"/>
        </w:rPr>
        <w:t>Gollnisch</w:t>
      </w:r>
      <w:proofErr w:type="spellEnd"/>
      <w:r w:rsidRPr="00945965">
        <w:rPr>
          <w:i/>
          <w:iCs/>
          <w:sz w:val="24"/>
          <w:lang w:val="lt-LT"/>
        </w:rPr>
        <w:t xml:space="preserve"> / Parlamentas</w:t>
      </w:r>
      <w:r w:rsidRPr="00945965">
        <w:rPr>
          <w:sz w:val="24"/>
          <w:lang w:val="lt-LT"/>
        </w:rPr>
        <w:t xml:space="preserve">, T-42/06, ECLI:EU:T:2010:102; 2011 m. rugsėjo 6 d. Teisingumo Teismo sprendimas </w:t>
      </w:r>
      <w:proofErr w:type="spellStart"/>
      <w:r w:rsidRPr="00945965">
        <w:rPr>
          <w:i/>
          <w:iCs/>
          <w:sz w:val="24"/>
          <w:lang w:val="lt-LT"/>
        </w:rPr>
        <w:t>Patriciello</w:t>
      </w:r>
      <w:proofErr w:type="spellEnd"/>
      <w:r w:rsidRPr="00945965">
        <w:rPr>
          <w:sz w:val="24"/>
          <w:lang w:val="lt-LT"/>
        </w:rPr>
        <w:t xml:space="preserve">, C-163/10, ECLI: EU:C:2011:543; 2013 m. sausio 17 d. Bendrojo Teismo sprendimas </w:t>
      </w:r>
      <w:proofErr w:type="spellStart"/>
      <w:r w:rsidRPr="00945965">
        <w:rPr>
          <w:i/>
          <w:iCs/>
          <w:sz w:val="24"/>
          <w:lang w:val="lt-LT"/>
        </w:rPr>
        <w:t>Gollnisch</w:t>
      </w:r>
      <w:proofErr w:type="spellEnd"/>
      <w:r w:rsidRPr="00945965">
        <w:rPr>
          <w:i/>
          <w:iCs/>
          <w:sz w:val="24"/>
          <w:lang w:val="lt-LT"/>
        </w:rPr>
        <w:t xml:space="preserve"> / Parlamentas</w:t>
      </w:r>
      <w:r w:rsidRPr="00945965">
        <w:rPr>
          <w:sz w:val="24"/>
          <w:lang w:val="lt-LT"/>
        </w:rPr>
        <w:t xml:space="preserve">, T-346/11 ir T-347/11, ECLI:EU:T:2013:23; 2019 m. gruodžio 19 d. Teisingumo Teismo sprendimas </w:t>
      </w:r>
      <w:proofErr w:type="spellStart"/>
      <w:r w:rsidRPr="00945965">
        <w:rPr>
          <w:i/>
          <w:iCs/>
          <w:sz w:val="24"/>
          <w:lang w:val="lt-LT"/>
        </w:rPr>
        <w:t>Junqueras</w:t>
      </w:r>
      <w:proofErr w:type="spellEnd"/>
      <w:r w:rsidRPr="00945965">
        <w:rPr>
          <w:i/>
          <w:iCs/>
          <w:sz w:val="24"/>
          <w:lang w:val="lt-LT"/>
        </w:rPr>
        <w:t xml:space="preserve"> </w:t>
      </w:r>
      <w:proofErr w:type="spellStart"/>
      <w:r w:rsidRPr="00945965">
        <w:rPr>
          <w:i/>
          <w:iCs/>
          <w:sz w:val="24"/>
          <w:lang w:val="lt-LT"/>
        </w:rPr>
        <w:t>Vies</w:t>
      </w:r>
      <w:proofErr w:type="spellEnd"/>
      <w:r w:rsidRPr="00945965">
        <w:rPr>
          <w:sz w:val="24"/>
          <w:lang w:val="lt-LT"/>
        </w:rPr>
        <w:t xml:space="preserve">, C-502/19, ECLI:EU:C:2019:1115; 2023 m. liepos 5 d. Bendrojo Teismo sprendimas </w:t>
      </w:r>
      <w:proofErr w:type="spellStart"/>
      <w:r w:rsidRPr="00945965">
        <w:rPr>
          <w:i/>
          <w:iCs/>
          <w:sz w:val="24"/>
          <w:lang w:val="lt-LT"/>
        </w:rPr>
        <w:t>Puigdemont</w:t>
      </w:r>
      <w:proofErr w:type="spellEnd"/>
      <w:r w:rsidRPr="00945965">
        <w:rPr>
          <w:i/>
          <w:iCs/>
          <w:sz w:val="24"/>
          <w:lang w:val="lt-LT"/>
        </w:rPr>
        <w:t xml:space="preserve"> i </w:t>
      </w:r>
      <w:proofErr w:type="spellStart"/>
      <w:r w:rsidRPr="00945965">
        <w:rPr>
          <w:i/>
          <w:iCs/>
          <w:sz w:val="24"/>
          <w:lang w:val="lt-LT"/>
        </w:rPr>
        <w:t>Casamajó</w:t>
      </w:r>
      <w:proofErr w:type="spellEnd"/>
      <w:r w:rsidRPr="00945965">
        <w:rPr>
          <w:i/>
          <w:iCs/>
          <w:sz w:val="24"/>
          <w:lang w:val="lt-LT"/>
        </w:rPr>
        <w:t xml:space="preserve"> ir kt. / Parlamentas</w:t>
      </w:r>
      <w:r w:rsidRPr="00945965">
        <w:rPr>
          <w:sz w:val="24"/>
          <w:lang w:val="lt-LT"/>
        </w:rPr>
        <w:t>, T-272/21, ECLI:EU:T:2023:373.</w:t>
      </w:r>
    </w:p>
  </w:footnote>
  <w:footnote w:id="2">
    <w:p w:rsidR="00A60873" w:rsidRPr="00945965" w:rsidRDefault="00A60873" w:rsidP="00945965">
      <w:pPr>
        <w:pStyle w:val="FootnoteText"/>
        <w:ind w:left="567" w:hanging="567"/>
        <w:rPr>
          <w:sz w:val="24"/>
          <w:lang w:val="lt-LT"/>
        </w:rPr>
      </w:pPr>
      <w:r w:rsidRPr="00945965">
        <w:rPr>
          <w:rStyle w:val="FootnoteReference"/>
          <w:sz w:val="24"/>
          <w:lang w:val="lt-LT"/>
        </w:rPr>
        <w:footnoteRef/>
      </w:r>
      <w:r w:rsidR="00945965" w:rsidRPr="00945965">
        <w:rPr>
          <w:sz w:val="24"/>
          <w:lang w:val="lt-LT"/>
        </w:rPr>
        <w:t xml:space="preserve"> </w:t>
      </w:r>
      <w:r w:rsidR="00945965" w:rsidRPr="00945965">
        <w:rPr>
          <w:sz w:val="24"/>
          <w:lang w:val="lt-LT"/>
        </w:rPr>
        <w:tab/>
      </w:r>
      <w:r w:rsidRPr="00945965">
        <w:rPr>
          <w:sz w:val="24"/>
          <w:lang w:val="lt-LT"/>
        </w:rPr>
        <w:t xml:space="preserve">2019 m. balandžio 30 d. Bendrojo Teismo sprendimas </w:t>
      </w:r>
      <w:proofErr w:type="spellStart"/>
      <w:r w:rsidRPr="00945965">
        <w:rPr>
          <w:i/>
          <w:iCs/>
          <w:sz w:val="24"/>
          <w:lang w:val="lt-LT"/>
        </w:rPr>
        <w:t>Briois</w:t>
      </w:r>
      <w:proofErr w:type="spellEnd"/>
      <w:r w:rsidRPr="00945965">
        <w:rPr>
          <w:i/>
          <w:iCs/>
          <w:sz w:val="24"/>
          <w:lang w:val="lt-LT"/>
        </w:rPr>
        <w:t xml:space="preserve"> / Parlamentas</w:t>
      </w:r>
      <w:r w:rsidRPr="00945965">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9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9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9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LT"/>
    <w:docVar w:name="dvnumam" w:val="0"/>
    <w:docVar w:name="dvpe" w:val="770.080"/>
    <w:docVar w:name="dvrapporteur" w:val="Pranešėja: "/>
    <w:docVar w:name="dvtitre" w:val="Europos Parlamento sprendimas dėl prašymo atšaukti Petro Gražulio imunitetą(2024/2089(IMM))"/>
  </w:docVars>
  <w:rsids>
    <w:rsidRoot w:val="001B41FB"/>
    <w:rsid w:val="00002272"/>
    <w:rsid w:val="00064002"/>
    <w:rsid w:val="000677B9"/>
    <w:rsid w:val="000831BA"/>
    <w:rsid w:val="000A42CC"/>
    <w:rsid w:val="000E7DD9"/>
    <w:rsid w:val="0010095E"/>
    <w:rsid w:val="00125B37"/>
    <w:rsid w:val="00187494"/>
    <w:rsid w:val="001B41F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965"/>
    <w:rsid w:val="009509D8"/>
    <w:rsid w:val="00950B64"/>
    <w:rsid w:val="00981893"/>
    <w:rsid w:val="00A1687D"/>
    <w:rsid w:val="00A43E52"/>
    <w:rsid w:val="00A4678D"/>
    <w:rsid w:val="00A6087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9AC"/>
    <w:rsid w:val="00CC2357"/>
    <w:rsid w:val="00CF071A"/>
    <w:rsid w:val="00D058B8"/>
    <w:rsid w:val="00D56C11"/>
    <w:rsid w:val="00D834A0"/>
    <w:rsid w:val="00D872DF"/>
    <w:rsid w:val="00D91E21"/>
    <w:rsid w:val="00DA7FCD"/>
    <w:rsid w:val="00E365E1"/>
    <w:rsid w:val="00E748F2"/>
    <w:rsid w:val="00E820A4"/>
    <w:rsid w:val="00EB006A"/>
    <w:rsid w:val="00EB4772"/>
    <w:rsid w:val="00ED169E"/>
    <w:rsid w:val="00ED4235"/>
    <w:rsid w:val="00F04346"/>
    <w:rsid w:val="00F075DC"/>
    <w:rsid w:val="00F149E9"/>
    <w:rsid w:val="00F5134D"/>
    <w:rsid w:val="00F74202"/>
    <w:rsid w:val="00F87713"/>
    <w:rsid w:val="00FB4360"/>
    <w:rsid w:val="00FC2BA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C8541"/>
  <w15:chartTrackingRefBased/>
  <w15:docId w15:val="{456CBAE9-2EE4-40B9-A86B-84B0A61F9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60873"/>
    <w:pPr>
      <w:spacing w:after="240"/>
      <w:ind w:left="567" w:hanging="567"/>
    </w:pPr>
  </w:style>
  <w:style w:type="paragraph" w:customStyle="1" w:styleId="EPComma">
    <w:name w:val="EPComma"/>
    <w:basedOn w:val="Normal"/>
    <w:rsid w:val="00A60873"/>
    <w:pPr>
      <w:spacing w:before="480" w:after="240"/>
    </w:pPr>
  </w:style>
  <w:style w:type="paragraph" w:styleId="BalloonText">
    <w:name w:val="Balloon Text"/>
    <w:basedOn w:val="Normal"/>
    <w:link w:val="BalloonTextChar"/>
    <w:rsid w:val="00FC2BA2"/>
    <w:rPr>
      <w:rFonts w:ascii="Segoe UI" w:hAnsi="Segoe UI" w:cs="Segoe UI"/>
      <w:sz w:val="18"/>
      <w:szCs w:val="18"/>
    </w:rPr>
  </w:style>
  <w:style w:type="character" w:customStyle="1" w:styleId="BalloonTextChar">
    <w:name w:val="Balloon Text Char"/>
    <w:basedOn w:val="DefaultParagraphFont"/>
    <w:link w:val="BalloonText"/>
    <w:rsid w:val="00FC2BA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5F796-0107-4C86-B589-FC1B8D727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625</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2025-05-06T08:43:00Z</dcterms:created>
  <dcterms:modified xsi:type="dcterms:W3CDTF">2025-05-06T09:12:00Z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A10-0078/2025</vt:lpwstr>
  </property>
  <property fmtid="{D5CDD505-2E9C-101B-9397-08002B2CF9AE}" pid="4" name="&lt;Type&gt;">
    <vt:lpwstr>RR</vt:lpwstr>
  </property>
</Properties>
</file>