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0505" w:rsidTr="0010095E">
        <w:trPr>
          <w:trHeight w:hRule="exact" w:val="1418"/>
        </w:trPr>
        <w:tc>
          <w:tcPr>
            <w:tcW w:w="6804" w:type="dxa"/>
            <w:shd w:val="clear" w:color="auto" w:fill="auto"/>
            <w:vAlign w:val="center"/>
          </w:tcPr>
          <w:p w:rsidR="00751A4A" w:rsidRPr="009F0505" w:rsidRDefault="00D67C80" w:rsidP="0010095E">
            <w:pPr>
              <w:pStyle w:val="EPName"/>
            </w:pPr>
            <w:bookmarkStart w:id="0" w:name="_GoBack"/>
            <w:bookmarkEnd w:id="0"/>
            <w:r w:rsidRPr="009F0505">
              <w:t>Eiropas Parlaments</w:t>
            </w:r>
          </w:p>
          <w:p w:rsidR="00751A4A" w:rsidRPr="009F0505" w:rsidRDefault="005F1B17" w:rsidP="005F1B17">
            <w:pPr>
              <w:pStyle w:val="EPTerm"/>
              <w:rPr>
                <w:rStyle w:val="HideTWBExt"/>
                <w:noProof w:val="0"/>
                <w:vanish w:val="0"/>
                <w:color w:val="auto"/>
              </w:rPr>
            </w:pPr>
            <w:r w:rsidRPr="009F0505">
              <w:t>2024</w:t>
            </w:r>
            <w:r w:rsidR="00817416" w:rsidRPr="009F0505">
              <w:t>-202</w:t>
            </w:r>
            <w:r w:rsidRPr="009F0505">
              <w:t>9</w:t>
            </w:r>
          </w:p>
        </w:tc>
        <w:tc>
          <w:tcPr>
            <w:tcW w:w="2268" w:type="dxa"/>
            <w:shd w:val="clear" w:color="auto" w:fill="auto"/>
          </w:tcPr>
          <w:p w:rsidR="00751A4A" w:rsidRPr="009F0505" w:rsidRDefault="00187494" w:rsidP="0010095E">
            <w:pPr>
              <w:pStyle w:val="EPLogo"/>
            </w:pPr>
            <w:r w:rsidRPr="009F05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0505" w:rsidRDefault="00D058B8" w:rsidP="004C5D52">
      <w:pPr>
        <w:pStyle w:val="LineTop"/>
      </w:pPr>
    </w:p>
    <w:p w:rsidR="00680577" w:rsidRPr="009F0505" w:rsidRDefault="00D67C80" w:rsidP="00680577">
      <w:pPr>
        <w:pStyle w:val="EPBodyTA1"/>
      </w:pPr>
      <w:r w:rsidRPr="009F0505">
        <w:t>PIEŅEMTIE TEKSTI</w:t>
      </w:r>
    </w:p>
    <w:p w:rsidR="00D058B8" w:rsidRPr="009F0505" w:rsidRDefault="00D058B8" w:rsidP="00D058B8">
      <w:pPr>
        <w:pStyle w:val="LineBottom"/>
      </w:pPr>
    </w:p>
    <w:p w:rsidR="00D67C80" w:rsidRPr="009F0505" w:rsidRDefault="00D67C80" w:rsidP="00D67C80">
      <w:pPr>
        <w:pStyle w:val="ATHeading1"/>
      </w:pPr>
      <w:bookmarkStart w:id="1" w:name="TANumber"/>
      <w:r w:rsidRPr="009F0505">
        <w:t>P10_TA(2025)00</w:t>
      </w:r>
      <w:r w:rsidR="009F0505" w:rsidRPr="009F0505">
        <w:t>68</w:t>
      </w:r>
      <w:bookmarkEnd w:id="1"/>
    </w:p>
    <w:p w:rsidR="00D67C80" w:rsidRPr="009F0505" w:rsidRDefault="002F076C" w:rsidP="00D67C80">
      <w:pPr>
        <w:pStyle w:val="ATHeading2"/>
      </w:pPr>
      <w:bookmarkStart w:id="2" w:name="title"/>
      <w:r w:rsidRPr="009F0505">
        <w:t xml:space="preserve">Pieprasījums atcelt </w:t>
      </w:r>
      <w:r w:rsidRPr="009F0505">
        <w:rPr>
          <w:i/>
        </w:rPr>
        <w:t xml:space="preserve">Petras </w:t>
      </w:r>
      <w:proofErr w:type="spellStart"/>
      <w:r w:rsidRPr="009F0505">
        <w:rPr>
          <w:i/>
        </w:rPr>
        <w:t>Gražulis</w:t>
      </w:r>
      <w:proofErr w:type="spellEnd"/>
      <w:r w:rsidRPr="009F0505">
        <w:t xml:space="preserve"> imunitāti</w:t>
      </w:r>
      <w:bookmarkEnd w:id="2"/>
    </w:p>
    <w:p w:rsidR="00D67C80" w:rsidRPr="009F0505" w:rsidRDefault="00D67C80" w:rsidP="00D67C80">
      <w:pPr>
        <w:rPr>
          <w:i/>
          <w:vanish/>
        </w:rPr>
      </w:pPr>
      <w:r w:rsidRPr="009F0505">
        <w:rPr>
          <w:i/>
        </w:rPr>
        <w:fldChar w:fldCharType="begin"/>
      </w:r>
      <w:r w:rsidRPr="009F0505">
        <w:rPr>
          <w:i/>
        </w:rPr>
        <w:instrText xml:space="preserve"> TC"(</w:instrText>
      </w:r>
      <w:bookmarkStart w:id="3" w:name="DocNumber"/>
      <w:r w:rsidRPr="009F0505">
        <w:rPr>
          <w:i/>
        </w:rPr>
        <w:instrText>A10-0078/2025</w:instrText>
      </w:r>
      <w:bookmarkEnd w:id="3"/>
      <w:r w:rsidRPr="009F0505">
        <w:rPr>
          <w:i/>
        </w:rPr>
        <w:instrText xml:space="preserve"> - Referente: Pascale Piera)"\l3 \n&gt; \* MERGEFORMAT </w:instrText>
      </w:r>
      <w:r w:rsidRPr="009F0505">
        <w:rPr>
          <w:i/>
        </w:rPr>
        <w:fldChar w:fldCharType="end"/>
      </w:r>
    </w:p>
    <w:p w:rsidR="00D67C80" w:rsidRPr="009F0505" w:rsidRDefault="00D67C80" w:rsidP="00D67C80">
      <w:pPr>
        <w:rPr>
          <w:vanish/>
        </w:rPr>
      </w:pPr>
      <w:bookmarkStart w:id="4" w:name="Commission"/>
      <w:r w:rsidRPr="009F0505">
        <w:rPr>
          <w:vanish/>
        </w:rPr>
        <w:t>Juridiskā komiteja</w:t>
      </w:r>
      <w:bookmarkEnd w:id="4"/>
    </w:p>
    <w:p w:rsidR="00D67C80" w:rsidRPr="009F0505" w:rsidRDefault="00D67C80" w:rsidP="00D67C80">
      <w:pPr>
        <w:rPr>
          <w:vanish/>
        </w:rPr>
      </w:pPr>
      <w:bookmarkStart w:id="5" w:name="PE"/>
      <w:r w:rsidRPr="009F0505">
        <w:rPr>
          <w:vanish/>
        </w:rPr>
        <w:t>PE770.080</w:t>
      </w:r>
      <w:bookmarkEnd w:id="5"/>
    </w:p>
    <w:p w:rsidR="00D67C80" w:rsidRPr="009F0505" w:rsidRDefault="00D67C80" w:rsidP="00D67C80">
      <w:pPr>
        <w:pStyle w:val="ATHeading3"/>
      </w:pPr>
      <w:bookmarkStart w:id="6" w:name="Sujet"/>
      <w:r w:rsidRPr="009F0505">
        <w:t xml:space="preserve">Eiropas Parlamenta 2025. gada </w:t>
      </w:r>
      <w:r w:rsidR="002F076C" w:rsidRPr="009F0505">
        <w:t>6. maija</w:t>
      </w:r>
      <w:r w:rsidRPr="009F0505">
        <w:t xml:space="preserve"> lēmums par pieprasījumu atcelt </w:t>
      </w:r>
      <w:r w:rsidRPr="009F0505">
        <w:rPr>
          <w:i/>
        </w:rPr>
        <w:t xml:space="preserve">Petras </w:t>
      </w:r>
      <w:proofErr w:type="spellStart"/>
      <w:r w:rsidRPr="009F0505">
        <w:rPr>
          <w:i/>
        </w:rPr>
        <w:t>Gražulis</w:t>
      </w:r>
      <w:proofErr w:type="spellEnd"/>
      <w:r w:rsidRPr="009F0505">
        <w:t xml:space="preserve"> imunitāti</w:t>
      </w:r>
      <w:bookmarkEnd w:id="6"/>
      <w:r w:rsidRPr="009F0505">
        <w:t xml:space="preserve"> </w:t>
      </w:r>
      <w:bookmarkStart w:id="7" w:name="References"/>
      <w:r w:rsidRPr="009F0505">
        <w:t>(2024/2089(IMM))</w:t>
      </w:r>
      <w:bookmarkEnd w:id="7"/>
    </w:p>
    <w:p w:rsidR="00D67C80" w:rsidRPr="009F0505" w:rsidRDefault="00D67C80" w:rsidP="00D67C80"/>
    <w:p w:rsidR="003C67FC" w:rsidRPr="009F0505" w:rsidRDefault="003C67FC" w:rsidP="003C67FC">
      <w:pPr>
        <w:pStyle w:val="EPComma"/>
        <w:widowControl/>
      </w:pPr>
      <w:bookmarkStart w:id="8" w:name="TextBodyBegin"/>
      <w:bookmarkEnd w:id="8"/>
      <w:r w:rsidRPr="009F0505">
        <w:rPr>
          <w:i/>
        </w:rPr>
        <w:t>Eiropas Parlaments</w:t>
      </w:r>
      <w:r w:rsidRPr="009F0505">
        <w:t>,</w:t>
      </w:r>
    </w:p>
    <w:p w:rsidR="002F076C" w:rsidRPr="009F0505" w:rsidRDefault="003C67FC" w:rsidP="003C67FC">
      <w:pPr>
        <w:pStyle w:val="NormalHanging12a"/>
        <w:widowControl/>
      </w:pPr>
      <w:r w:rsidRPr="009F0505">
        <w:t>–</w:t>
      </w:r>
      <w:r w:rsidRPr="009F0505">
        <w:tab/>
        <w:t xml:space="preserve">ņemot vērā pieprasījumu atcelt </w:t>
      </w:r>
      <w:r w:rsidRPr="009F0505">
        <w:rPr>
          <w:i/>
          <w:iCs/>
        </w:rPr>
        <w:t xml:space="preserve">Petras </w:t>
      </w:r>
      <w:proofErr w:type="spellStart"/>
      <w:r w:rsidRPr="009F0505">
        <w:rPr>
          <w:i/>
          <w:iCs/>
        </w:rPr>
        <w:t>Gražulis</w:t>
      </w:r>
      <w:proofErr w:type="spellEnd"/>
      <w:r w:rsidRPr="009F0505">
        <w:t xml:space="preserve"> imunitāti, kuru Lietuvas Republikas ģenerālprokurors saistībā ar </w:t>
      </w:r>
      <w:r w:rsidR="002F076C" w:rsidRPr="009F0505">
        <w:t xml:space="preserve">notiekošo </w:t>
      </w:r>
      <w:r w:rsidRPr="009F0505">
        <w:t>kriminālprocesu nosūtījis 2024. gada 16. septembrī un par ko paziņots 2024. gada 24. oktobra plenārsēdē,</w:t>
      </w:r>
      <w:r w:rsidR="002F076C" w:rsidRPr="009F0505">
        <w:t xml:space="preserve"> ] </w:t>
      </w:r>
    </w:p>
    <w:p w:rsidR="003C67FC" w:rsidRPr="009F0505" w:rsidRDefault="003C67FC" w:rsidP="003C67FC">
      <w:pPr>
        <w:pStyle w:val="NormalHanging12a"/>
        <w:widowControl/>
      </w:pPr>
      <w:r w:rsidRPr="009F0505">
        <w:t>–</w:t>
      </w:r>
      <w:r w:rsidRPr="009F0505">
        <w:tab/>
        <w:t xml:space="preserve">pēc </w:t>
      </w:r>
      <w:r w:rsidRPr="009F0505">
        <w:rPr>
          <w:i/>
          <w:iCs/>
        </w:rPr>
        <w:t xml:space="preserve">Petras </w:t>
      </w:r>
      <w:proofErr w:type="spellStart"/>
      <w:r w:rsidRPr="009F0505">
        <w:rPr>
          <w:i/>
          <w:iCs/>
        </w:rPr>
        <w:t>Gražulis</w:t>
      </w:r>
      <w:proofErr w:type="spellEnd"/>
      <w:r w:rsidRPr="009F0505">
        <w:t xml:space="preserve"> uzklausīšanas 2025. gada 18. martā saskaņā ar Reglamenta 9. panta 6. punktu,</w:t>
      </w:r>
    </w:p>
    <w:p w:rsidR="003C67FC" w:rsidRPr="009F0505" w:rsidRDefault="003C67FC" w:rsidP="003C67FC">
      <w:pPr>
        <w:pStyle w:val="NormalHanging12a"/>
        <w:widowControl/>
      </w:pPr>
      <w:r w:rsidRPr="009F0505">
        <w:t>–</w:t>
      </w:r>
      <w:r w:rsidRPr="009F0505">
        <w:tab/>
        <w:t>ņemot vērā Protokola Nr. 7 par privilēģijām un imunitāti Eiropas Savienībā 8. un 9. pantu, kā arī 1976. gada 20. septembra Akta par Eiropas Parlamenta deputātu ievēlēšanu tiešās vispārējās vēlēšanās 6. panta 2. punktu,</w:t>
      </w:r>
    </w:p>
    <w:p w:rsidR="003C67FC" w:rsidRPr="009F0505" w:rsidRDefault="003C67FC" w:rsidP="003C67FC">
      <w:pPr>
        <w:pStyle w:val="NormalHanging12a"/>
        <w:widowControl/>
      </w:pPr>
      <w:r w:rsidRPr="009F0505">
        <w:t>–</w:t>
      </w:r>
      <w:r w:rsidRPr="009F0505">
        <w:tab/>
        <w:t>ņemot vērā Eiropas Savienības Tiesas 2008. gada 21. oktobra, 2010. gada 19. marta, 2011. gada 6. septembra, 2013. gada 17. janvāra, 2019. gada 19. decembra un 2023. gada 5. jūlija spriedumu</w:t>
      </w:r>
      <w:r w:rsidRPr="009F0505">
        <w:rPr>
          <w:rStyle w:val="FootnoteReference"/>
          <w:color w:val="000000"/>
        </w:rPr>
        <w:footnoteReference w:id="1"/>
      </w:r>
      <w:r w:rsidRPr="009F0505">
        <w:t>,</w:t>
      </w:r>
    </w:p>
    <w:p w:rsidR="003C67FC" w:rsidRPr="009F0505" w:rsidRDefault="003C67FC" w:rsidP="003C67FC">
      <w:pPr>
        <w:pStyle w:val="NormalHanging12a"/>
        <w:widowControl/>
      </w:pPr>
      <w:r w:rsidRPr="009F0505">
        <w:t>–</w:t>
      </w:r>
      <w:r w:rsidRPr="009F0505">
        <w:tab/>
        <w:t>ņemot vērā Lietuvas Republikas Konstitūcijas 62. pantu,</w:t>
      </w:r>
    </w:p>
    <w:p w:rsidR="003C67FC" w:rsidRPr="009F0505" w:rsidRDefault="003C67FC" w:rsidP="003C67FC">
      <w:pPr>
        <w:pStyle w:val="NormalHanging12a"/>
        <w:widowControl/>
      </w:pPr>
      <w:r w:rsidRPr="009F0505">
        <w:t>–</w:t>
      </w:r>
      <w:r w:rsidRPr="009F0505">
        <w:tab/>
        <w:t>ņemot vērā Reglamenta 5. panta 2. punktu, 6. panta 1. punktu un 9. pantu,</w:t>
      </w:r>
    </w:p>
    <w:p w:rsidR="003C67FC" w:rsidRPr="009F0505" w:rsidRDefault="003C67FC" w:rsidP="003C67FC">
      <w:pPr>
        <w:pStyle w:val="NormalHanging12a"/>
        <w:widowControl/>
      </w:pPr>
      <w:r w:rsidRPr="009F0505">
        <w:lastRenderedPageBreak/>
        <w:t>–</w:t>
      </w:r>
      <w:r w:rsidRPr="009F0505">
        <w:tab/>
        <w:t>ņemot vērā Juridiskās komitejas ziņojumu (A10</w:t>
      </w:r>
      <w:r w:rsidRPr="009F0505">
        <w:noBreakHyphen/>
        <w:t>0078/2025),</w:t>
      </w:r>
    </w:p>
    <w:p w:rsidR="003C67FC" w:rsidRPr="009F0505" w:rsidRDefault="003C67FC" w:rsidP="003C67FC">
      <w:pPr>
        <w:pStyle w:val="NormalHanging12a"/>
        <w:widowControl/>
      </w:pPr>
      <w:r w:rsidRPr="009F0505">
        <w:t>A.</w:t>
      </w:r>
      <w:r w:rsidRPr="009F0505">
        <w:tab/>
        <w:t xml:space="preserve">tā kā Lietuvas Republikas ģenerālprokurors 2024. gada 16. septembra vēstulē nosūtīja pieprasījumu atcelt </w:t>
      </w:r>
      <w:r w:rsidRPr="009F0505">
        <w:rPr>
          <w:i/>
          <w:iCs/>
        </w:rPr>
        <w:t xml:space="preserve">Petras </w:t>
      </w:r>
      <w:proofErr w:type="spellStart"/>
      <w:r w:rsidRPr="009F0505">
        <w:rPr>
          <w:i/>
          <w:iCs/>
        </w:rPr>
        <w:t>Gražulis</w:t>
      </w:r>
      <w:proofErr w:type="spellEnd"/>
      <w:r w:rsidRPr="009F0505">
        <w:t xml:space="preserve"> imunitāti saistībā ar iespējamu noziedzīgu nodarījumu, kas ir paredzēts Lietuvas Republikas Kriminālkodeksa 170. panta 2. punktā, proti, par to, ka viņš publiski ir izsmējis konkrētu personu grupu un paudis </w:t>
      </w:r>
      <w:r w:rsidR="00604779" w:rsidRPr="009F0505">
        <w:t xml:space="preserve">nicinājumu </w:t>
      </w:r>
      <w:r w:rsidRPr="009F0505">
        <w:t>minētās grupas seksuālās orientācijas dēļ;</w:t>
      </w:r>
    </w:p>
    <w:p w:rsidR="003C67FC" w:rsidRPr="009F0505" w:rsidRDefault="003C67FC" w:rsidP="003C67FC">
      <w:pPr>
        <w:pStyle w:val="NormalHanging12a"/>
        <w:widowControl/>
      </w:pPr>
      <w:r w:rsidRPr="009F0505">
        <w:rPr>
          <w:shd w:val="clear" w:color="auto" w:fill="FFFFFF"/>
        </w:rPr>
        <w:t>B.</w:t>
      </w:r>
      <w:r w:rsidRPr="009F0505">
        <w:rPr>
          <w:shd w:val="clear" w:color="auto" w:fill="FFFFFF"/>
        </w:rPr>
        <w:tab/>
      </w:r>
      <w:r w:rsidRPr="009F0505">
        <w:t xml:space="preserve">tā kā pieprasījumā ir norādīts, ka </w:t>
      </w:r>
      <w:r w:rsidRPr="009F0505">
        <w:rPr>
          <w:i/>
          <w:iCs/>
        </w:rPr>
        <w:t xml:space="preserve">Petras </w:t>
      </w:r>
      <w:proofErr w:type="spellStart"/>
      <w:r w:rsidRPr="009F0505">
        <w:rPr>
          <w:i/>
          <w:iCs/>
        </w:rPr>
        <w:t>Gražulis</w:t>
      </w:r>
      <w:proofErr w:type="spellEnd"/>
      <w:r w:rsidRPr="009F0505">
        <w:t xml:space="preserve"> tiek apsūdzēts par to, ka viņš publiski esot izsmējis, nomelnojis un pazemojis konkrētu cilvēku grupu un paudis savu nicinājumu pret viņiem viņu seksuālās orientācijas dēļ, kamēr viņš 2022. gada 26. maijā atradās Lietuvas Republikas Seima (“Seima”) koridoros, kad noslēdzās Seima sēde par civilo partnerību un kad viņš diskutēja ar kādu operatoru, pie kam šī diskusija tika filmēta un pārraidīta plašsaziņas līdzekļos; tā kā iespējamais toreizējam Seima deputātam </w:t>
      </w:r>
      <w:r w:rsidRPr="009F0505">
        <w:rPr>
          <w:i/>
          <w:iCs/>
        </w:rPr>
        <w:t xml:space="preserve">Petras </w:t>
      </w:r>
      <w:proofErr w:type="spellStart"/>
      <w:r w:rsidRPr="009F0505">
        <w:rPr>
          <w:i/>
          <w:iCs/>
        </w:rPr>
        <w:t>Gražulis</w:t>
      </w:r>
      <w:proofErr w:type="spellEnd"/>
      <w:r w:rsidRPr="009F0505">
        <w:t xml:space="preserve"> inkriminētais noziedzīgais nodarījums notika 2022. gadā</w:t>
      </w:r>
      <w:r w:rsidR="00604779" w:rsidRPr="009F0505">
        <w:t>;</w:t>
      </w:r>
      <w:r w:rsidRPr="009F0505">
        <w:t xml:space="preserve"> </w:t>
      </w:r>
      <w:r w:rsidR="00604779" w:rsidRPr="009F0505">
        <w:t xml:space="preserve">tā kā </w:t>
      </w:r>
      <w:proofErr w:type="spellStart"/>
      <w:r w:rsidRPr="009F0505">
        <w:t>pirmstiesas</w:t>
      </w:r>
      <w:proofErr w:type="spellEnd"/>
      <w:r w:rsidRPr="009F0505">
        <w:t xml:space="preserve"> izmeklēšana notika 2022. un 2023. gadā un lieta tika nodota Viļņas apgabaltiesai 2024. gada janvārī; tā kā tolaik </w:t>
      </w:r>
      <w:r w:rsidRPr="009F0505">
        <w:rPr>
          <w:i/>
          <w:iCs/>
        </w:rPr>
        <w:t xml:space="preserve">Petras </w:t>
      </w:r>
      <w:proofErr w:type="spellStart"/>
      <w:r w:rsidRPr="009F0505">
        <w:rPr>
          <w:i/>
          <w:iCs/>
        </w:rPr>
        <w:t>Gražulis</w:t>
      </w:r>
      <w:proofErr w:type="spellEnd"/>
      <w:r w:rsidRPr="009F0505">
        <w:t xml:space="preserve"> bija Seima deputāta imunitāte, bet 2023. gada 16. novembrī Seims bija devis piekrišanu kriminālprocesa pret viņu ierosināšanai;</w:t>
      </w:r>
    </w:p>
    <w:p w:rsidR="003C67FC" w:rsidRPr="009F0505" w:rsidRDefault="003C67FC" w:rsidP="003C67FC">
      <w:pPr>
        <w:pStyle w:val="NormalHanging12a"/>
        <w:widowControl/>
      </w:pPr>
      <w:r w:rsidRPr="009F0505">
        <w:t>C.</w:t>
      </w:r>
      <w:r w:rsidRPr="009F0505">
        <w:tab/>
        <w:t xml:space="preserve">tā kā 2024. gada jūnija Eiropas vēlēšanās </w:t>
      </w:r>
      <w:r w:rsidRPr="009F0505">
        <w:rPr>
          <w:i/>
          <w:iCs/>
        </w:rPr>
        <w:t xml:space="preserve">Petras </w:t>
      </w:r>
      <w:proofErr w:type="spellStart"/>
      <w:r w:rsidRPr="009F0505">
        <w:rPr>
          <w:i/>
          <w:iCs/>
        </w:rPr>
        <w:t>Gražulis</w:t>
      </w:r>
      <w:proofErr w:type="spellEnd"/>
      <w:r w:rsidRPr="009F0505">
        <w:t xml:space="preserve"> tika ievēlēts Eiropas Parlamentā un tā kā iespējamā noziedzīgā nodarījuma izdarīšanas laikā viņš </w:t>
      </w:r>
      <w:r w:rsidR="00604779" w:rsidRPr="009F0505">
        <w:t xml:space="preserve">nebija </w:t>
      </w:r>
      <w:r w:rsidRPr="009F0505">
        <w:t>Eiropas Parlamenta deputāts;</w:t>
      </w:r>
    </w:p>
    <w:p w:rsidR="003C67FC" w:rsidRPr="009F0505" w:rsidRDefault="003C67FC" w:rsidP="003C67FC">
      <w:pPr>
        <w:pStyle w:val="NormalHanging12a"/>
        <w:widowControl/>
      </w:pPr>
      <w:r w:rsidRPr="009F0505">
        <w:t>D.</w:t>
      </w:r>
      <w:r w:rsidRPr="009F0505">
        <w:tab/>
        <w:t xml:space="preserve">tā kā iespējamais noziedzīgais nodarījums un no tā izrietošais pieprasījums atcelt </w:t>
      </w:r>
      <w:r w:rsidRPr="009F0505">
        <w:rPr>
          <w:i/>
          <w:iCs/>
        </w:rPr>
        <w:t xml:space="preserve">Petras </w:t>
      </w:r>
      <w:proofErr w:type="spellStart"/>
      <w:r w:rsidRPr="009F0505">
        <w:rPr>
          <w:i/>
          <w:iCs/>
        </w:rPr>
        <w:t>Gražulis</w:t>
      </w:r>
      <w:proofErr w:type="spellEnd"/>
      <w:r w:rsidRPr="009F0505">
        <w:t xml:space="preserve"> imunitāti nav saistīti nedz ar viedokli, ko viņš kā Eiropas Parlamenta deputāts ir paudis, nedz balsojumu, ko viņš ir veicis, pildot savus pienākumus saskaņā ar Protokola Nr. 7 par privilēģijām un imunitāti Eiropas Savienībā 8. pantu;</w:t>
      </w:r>
    </w:p>
    <w:p w:rsidR="003C67FC" w:rsidRPr="009F0505" w:rsidRDefault="003C67FC" w:rsidP="003C67FC">
      <w:pPr>
        <w:pStyle w:val="NormalHanging12a"/>
        <w:widowControl/>
      </w:pPr>
      <w:r w:rsidRPr="009F0505">
        <w:t>E.</w:t>
      </w:r>
      <w:r w:rsidRPr="009F0505">
        <w:tab/>
        <w:t>tā kā Protokola Nr. 7 par privilēģijām un imunitāti Eiropas Savienībā 9. panta pirmās daļas a) punkt</w:t>
      </w:r>
      <w:r w:rsidR="00604779" w:rsidRPr="009F0505">
        <w:t>s paredz, ka</w:t>
      </w:r>
      <w:r w:rsidRPr="009F0505">
        <w:t xml:space="preserve"> Eiropas Parlamenta locekļiem savā valstī ir imunitāte, ko piešķir attiecīgās valsts parlamenta locekļiem;</w:t>
      </w:r>
    </w:p>
    <w:p w:rsidR="003C67FC" w:rsidRPr="009F0505" w:rsidRDefault="003C67FC" w:rsidP="003C67FC">
      <w:pPr>
        <w:pStyle w:val="NormalHanging12a"/>
        <w:widowControl/>
      </w:pPr>
      <w:r w:rsidRPr="009F0505">
        <w:t>F.</w:t>
      </w:r>
      <w:r w:rsidRPr="009F0505">
        <w:tab/>
        <w:t>tā kā saskaņā ar Lietuvas Republikas Konstitūcijas 62. pantu “Seima loceklis ir neaizskarams. Seima deputātu par izdarītu noziedzīgu nodarījumu nevar ne tiesāt, ne apcietināt, ne kā citādi ierobežot viņa brīvību, ja tam nepiekrīt Seims. Seima deputātu ne par Seimā veiktu balsošanu, ne par tajā izdarītiem izteikumiem pie atbildības saukt nevar. Tomēr saskaņā ar spēkā esošajām tiesībām pret viņu var celt apsūdzību par personas aizskaršanu vai neslavas celšanu”;</w:t>
      </w:r>
      <w:r w:rsidRPr="009F0505">
        <w:rPr>
          <w:sz w:val="22"/>
        </w:rPr>
        <w:t xml:space="preserve"> </w:t>
      </w:r>
    </w:p>
    <w:p w:rsidR="003C67FC" w:rsidRPr="009F0505" w:rsidRDefault="003C67FC" w:rsidP="003C67FC">
      <w:pPr>
        <w:pStyle w:val="NormalHanging12a"/>
        <w:widowControl/>
      </w:pPr>
      <w:r w:rsidRPr="009F0505">
        <w:t>G.</w:t>
      </w:r>
      <w:r w:rsidRPr="009F0505">
        <w:tab/>
        <w:t>tā kā parlamentārās imunitātes mērķis ir aizsargāt Parlamentu un tā deputātus pret juridiskiem procesiem, kas tiek ierosināti, pamatojoties uz darbībām, kuras ir veiktas, pildot deputāta pienākumus, un kuras atrauti no šiem pienākumiem skatīt nevar;</w:t>
      </w:r>
    </w:p>
    <w:p w:rsidR="003C67FC" w:rsidRPr="009F0505" w:rsidRDefault="003C67FC" w:rsidP="003C67FC">
      <w:pPr>
        <w:pStyle w:val="NormalHanging12a"/>
        <w:widowControl/>
      </w:pPr>
      <w:r w:rsidRPr="009F0505">
        <w:t>H.</w:t>
      </w:r>
      <w:r w:rsidRPr="009F0505">
        <w:tab/>
        <w:t>tā kā saskaņā ar Parlamenta Reglamenta 5. panta 2. punktu deputāta imunitāte nav deputāta personiska privilēģija, bet gan visa Parlamenta un tā deputātu neatkarības garantija;</w:t>
      </w:r>
    </w:p>
    <w:p w:rsidR="003C67FC" w:rsidRPr="009F0505" w:rsidRDefault="003C67FC" w:rsidP="003C67FC">
      <w:pPr>
        <w:pStyle w:val="NormalHanging12a"/>
        <w:widowControl/>
      </w:pPr>
      <w:r w:rsidRPr="009F0505">
        <w:t>I.</w:t>
      </w:r>
      <w:r w:rsidRPr="009F0505">
        <w:tab/>
        <w:t xml:space="preserve">tā kā šajā lietā Parlamentam nav pierādījumu par </w:t>
      </w:r>
      <w:proofErr w:type="spellStart"/>
      <w:r w:rsidRPr="009F0505">
        <w:rPr>
          <w:i/>
          <w:iCs/>
        </w:rPr>
        <w:t>fumus</w:t>
      </w:r>
      <w:proofErr w:type="spellEnd"/>
      <w:r w:rsidRPr="009F0505">
        <w:rPr>
          <w:i/>
          <w:iCs/>
        </w:rPr>
        <w:t xml:space="preserve"> </w:t>
      </w:r>
      <w:proofErr w:type="spellStart"/>
      <w:r w:rsidRPr="009F0505">
        <w:rPr>
          <w:i/>
          <w:iCs/>
        </w:rPr>
        <w:t>persecutionis</w:t>
      </w:r>
      <w:proofErr w:type="spellEnd"/>
      <w:r w:rsidRPr="009F0505">
        <w:t xml:space="preserve">, proti, par faktiskiem apstākļiem, kas </w:t>
      </w:r>
      <w:r w:rsidR="002F076C" w:rsidRPr="009F0505">
        <w:t>norādītu uz to</w:t>
      </w:r>
      <w:r w:rsidRPr="009F0505">
        <w:t>, ka attiecīgā krimināllieta ir ierosināta, lai kaitētu attiecīgā Eiropas Parlamenta deputāta politiskajai darbībai;</w:t>
      </w:r>
    </w:p>
    <w:p w:rsidR="003C67FC" w:rsidRPr="009F0505" w:rsidRDefault="003C67FC" w:rsidP="003C67FC">
      <w:pPr>
        <w:pStyle w:val="NormalHanging12a"/>
        <w:widowControl/>
      </w:pPr>
      <w:r w:rsidRPr="009F0505">
        <w:lastRenderedPageBreak/>
        <w:t>J.</w:t>
      </w:r>
      <w:r w:rsidRPr="009F0505">
        <w:tab/>
        <w:t>tā kā, no vienas puses, Parlaments nevar tikt pielīdzināts tiesai un, no otras puses, attiecīgais deputāts imunitātes atcelšanas procedūras kontekstā nevar tikt uzskatīts par apsūdzēto</w:t>
      </w:r>
      <w:r w:rsidRPr="009F0505">
        <w:rPr>
          <w:vertAlign w:val="superscript"/>
        </w:rPr>
        <w:footnoteReference w:id="2"/>
      </w:r>
      <w:r w:rsidRPr="009F0505">
        <w:t>;</w:t>
      </w:r>
    </w:p>
    <w:p w:rsidR="003C67FC" w:rsidRPr="009F0505" w:rsidRDefault="003C67FC" w:rsidP="003C67FC">
      <w:pPr>
        <w:pStyle w:val="NormalHanging12a"/>
        <w:widowControl/>
      </w:pPr>
      <w:r w:rsidRPr="009F0505">
        <w:t>1.</w:t>
      </w:r>
      <w:r w:rsidRPr="009F0505">
        <w:tab/>
        <w:t xml:space="preserve">nolemj atcelt </w:t>
      </w:r>
      <w:r w:rsidRPr="009F0505">
        <w:rPr>
          <w:i/>
          <w:iCs/>
        </w:rPr>
        <w:t xml:space="preserve">Petras </w:t>
      </w:r>
      <w:proofErr w:type="spellStart"/>
      <w:r w:rsidRPr="009F0505">
        <w:rPr>
          <w:i/>
          <w:iCs/>
        </w:rPr>
        <w:t>Gražulis</w:t>
      </w:r>
      <w:proofErr w:type="spellEnd"/>
      <w:r w:rsidRPr="009F0505">
        <w:t xml:space="preserve"> imunitāti;</w:t>
      </w:r>
    </w:p>
    <w:p w:rsidR="00E365E1" w:rsidRPr="009F0505" w:rsidRDefault="003C67FC" w:rsidP="009F0505">
      <w:pPr>
        <w:pStyle w:val="NormalHanging12a"/>
        <w:widowControl/>
      </w:pPr>
      <w:r w:rsidRPr="009F0505">
        <w:t>2.</w:t>
      </w:r>
      <w:r w:rsidRPr="009F0505">
        <w:tab/>
        <w:t xml:space="preserve">uzdod priekšsēdētājai šo lēmumu un atbildīgās komitejas ziņojumu nekavējoties nosūtīt Lietuvas Republikas kompetentajai iestādei un </w:t>
      </w:r>
      <w:r w:rsidRPr="009F0505">
        <w:rPr>
          <w:i/>
          <w:iCs/>
        </w:rPr>
        <w:t xml:space="preserve">Petras </w:t>
      </w:r>
      <w:proofErr w:type="spellStart"/>
      <w:r w:rsidRPr="009F0505">
        <w:rPr>
          <w:i/>
          <w:iCs/>
        </w:rPr>
        <w:t>Gražulis</w:t>
      </w:r>
      <w:proofErr w:type="spellEnd"/>
      <w:r w:rsidRPr="009F0505">
        <w:t>.</w:t>
      </w:r>
    </w:p>
    <w:sectPr w:rsidR="00E365E1" w:rsidRPr="009F0505" w:rsidSect="00945AB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C80" w:rsidRPr="00945ABB" w:rsidRDefault="00D67C80">
      <w:r w:rsidRPr="00945ABB">
        <w:separator/>
      </w:r>
    </w:p>
  </w:endnote>
  <w:endnote w:type="continuationSeparator" w:id="0">
    <w:p w:rsidR="00D67C80" w:rsidRPr="00945ABB" w:rsidRDefault="00D67C80">
      <w:r w:rsidRPr="00945A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A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A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A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C80" w:rsidRPr="00945ABB" w:rsidRDefault="00D67C80">
      <w:r w:rsidRPr="00945ABB">
        <w:separator/>
      </w:r>
    </w:p>
  </w:footnote>
  <w:footnote w:type="continuationSeparator" w:id="0">
    <w:p w:rsidR="00D67C80" w:rsidRPr="00945ABB" w:rsidRDefault="00D67C80">
      <w:r w:rsidRPr="00945ABB">
        <w:continuationSeparator/>
      </w:r>
    </w:p>
  </w:footnote>
  <w:footnote w:id="1">
    <w:p w:rsidR="003C67FC" w:rsidRPr="00945ABB" w:rsidRDefault="003C67FC" w:rsidP="00945ABB">
      <w:pPr>
        <w:pStyle w:val="FootnoteText"/>
        <w:ind w:left="567" w:hanging="567"/>
        <w:rPr>
          <w:sz w:val="24"/>
          <w:vertAlign w:val="superscript"/>
          <w:lang w:val="lv-LV"/>
        </w:rPr>
      </w:pPr>
      <w:r w:rsidRPr="00945ABB">
        <w:rPr>
          <w:rStyle w:val="FootnoteReference"/>
          <w:sz w:val="24"/>
          <w:lang w:val="lv-LV"/>
        </w:rPr>
        <w:footnoteRef/>
      </w:r>
      <w:r w:rsidR="00945ABB" w:rsidRPr="00945ABB">
        <w:rPr>
          <w:sz w:val="24"/>
          <w:lang w:val="lv-LV"/>
        </w:rPr>
        <w:t xml:space="preserve"> </w:t>
      </w:r>
      <w:r w:rsidR="00945ABB" w:rsidRPr="00945ABB">
        <w:rPr>
          <w:sz w:val="24"/>
          <w:lang w:val="lv-LV"/>
        </w:rPr>
        <w:tab/>
      </w:r>
      <w:r w:rsidRPr="00945ABB">
        <w:rPr>
          <w:sz w:val="24"/>
          <w:lang w:val="lv-LV"/>
        </w:rPr>
        <w:t xml:space="preserve">Tiesas 2008. gada 21. oktobra spriedumi, </w:t>
      </w:r>
      <w:proofErr w:type="spellStart"/>
      <w:r w:rsidRPr="00945ABB">
        <w:rPr>
          <w:i/>
          <w:iCs/>
          <w:sz w:val="24"/>
          <w:lang w:val="lv-LV"/>
        </w:rPr>
        <w:t>Marra</w:t>
      </w:r>
      <w:proofErr w:type="spellEnd"/>
      <w:r w:rsidRPr="00945ABB">
        <w:rPr>
          <w:i/>
          <w:iCs/>
          <w:sz w:val="24"/>
          <w:lang w:val="lv-LV"/>
        </w:rPr>
        <w:t>/</w:t>
      </w:r>
      <w:proofErr w:type="spellStart"/>
      <w:r w:rsidRPr="00945ABB">
        <w:rPr>
          <w:i/>
          <w:iCs/>
          <w:sz w:val="24"/>
          <w:lang w:val="lv-LV"/>
        </w:rPr>
        <w:t>De</w:t>
      </w:r>
      <w:proofErr w:type="spellEnd"/>
      <w:r w:rsidRPr="00945ABB">
        <w:rPr>
          <w:i/>
          <w:iCs/>
          <w:sz w:val="24"/>
          <w:lang w:val="lv-LV"/>
        </w:rPr>
        <w:t xml:space="preserve"> Gregorio</w:t>
      </w:r>
      <w:r w:rsidRPr="00945ABB">
        <w:rPr>
          <w:sz w:val="24"/>
          <w:lang w:val="lv-LV"/>
        </w:rPr>
        <w:t xml:space="preserve"> un </w:t>
      </w:r>
      <w:proofErr w:type="spellStart"/>
      <w:r w:rsidRPr="00945ABB">
        <w:rPr>
          <w:i/>
          <w:iCs/>
          <w:sz w:val="24"/>
          <w:lang w:val="lv-LV"/>
        </w:rPr>
        <w:t>Clemente</w:t>
      </w:r>
      <w:proofErr w:type="spellEnd"/>
      <w:r w:rsidRPr="00945ABB">
        <w:rPr>
          <w:sz w:val="24"/>
          <w:lang w:val="lv-LV"/>
        </w:rPr>
        <w:t xml:space="preserve">, C-200/07 un C-201/07, ECLI:EU:C:2008:579; Vispārējās tiesas 2010. gada 19. marta spriedums, </w:t>
      </w:r>
      <w:proofErr w:type="spellStart"/>
      <w:r w:rsidRPr="00945ABB">
        <w:rPr>
          <w:i/>
          <w:iCs/>
          <w:sz w:val="24"/>
          <w:lang w:val="lv-LV"/>
        </w:rPr>
        <w:t>Gollnisch</w:t>
      </w:r>
      <w:proofErr w:type="spellEnd"/>
      <w:r w:rsidRPr="00945ABB">
        <w:rPr>
          <w:sz w:val="24"/>
          <w:lang w:val="lv-LV"/>
        </w:rPr>
        <w:t xml:space="preserve">/Parlaments, T-42/06, ECLI:EU:T:2010:102; Tiesas 2011. gada 6. septembra spriedums, </w:t>
      </w:r>
      <w:proofErr w:type="spellStart"/>
      <w:r w:rsidRPr="00945ABB">
        <w:rPr>
          <w:i/>
          <w:iCs/>
          <w:sz w:val="24"/>
          <w:lang w:val="lv-LV"/>
        </w:rPr>
        <w:t>Patriciello</w:t>
      </w:r>
      <w:proofErr w:type="spellEnd"/>
      <w:r w:rsidRPr="00945ABB">
        <w:rPr>
          <w:sz w:val="24"/>
          <w:lang w:val="lv-LV"/>
        </w:rPr>
        <w:t xml:space="preserve">, C-163/10, ECLI: EU:C:2011:543; Vispārējās tiesas 2013. gada 17. janvāra spriedumi, </w:t>
      </w:r>
      <w:proofErr w:type="spellStart"/>
      <w:r w:rsidRPr="00945ABB">
        <w:rPr>
          <w:i/>
          <w:iCs/>
          <w:sz w:val="24"/>
          <w:lang w:val="lv-LV"/>
        </w:rPr>
        <w:t>Gollnisch</w:t>
      </w:r>
      <w:proofErr w:type="spellEnd"/>
      <w:r w:rsidRPr="00945ABB">
        <w:rPr>
          <w:sz w:val="24"/>
          <w:lang w:val="lv-LV"/>
        </w:rPr>
        <w:t xml:space="preserve">/Parlaments, T-346/11 un T-347/11, ECLI:EU:T:2013:23; Tiesas 2019. gada 19. decembra spriedums, </w:t>
      </w:r>
      <w:proofErr w:type="spellStart"/>
      <w:r w:rsidRPr="00945ABB">
        <w:rPr>
          <w:i/>
          <w:iCs/>
          <w:sz w:val="24"/>
          <w:lang w:val="lv-LV"/>
        </w:rPr>
        <w:t>Junqueras</w:t>
      </w:r>
      <w:proofErr w:type="spellEnd"/>
      <w:r w:rsidRPr="00945ABB">
        <w:rPr>
          <w:i/>
          <w:iCs/>
          <w:sz w:val="24"/>
          <w:lang w:val="lv-LV"/>
        </w:rPr>
        <w:t xml:space="preserve"> Vies</w:t>
      </w:r>
      <w:r w:rsidRPr="00945ABB">
        <w:rPr>
          <w:sz w:val="24"/>
          <w:lang w:val="lv-LV"/>
        </w:rPr>
        <w:t xml:space="preserve">, C-502/19, ECLI:EU:C:2019:1115; Vispārējās tiesas 2023. gada 5. jūlija spriedums, </w:t>
      </w:r>
      <w:proofErr w:type="spellStart"/>
      <w:r w:rsidRPr="00945ABB">
        <w:rPr>
          <w:i/>
          <w:iCs/>
          <w:sz w:val="24"/>
          <w:lang w:val="lv-LV"/>
        </w:rPr>
        <w:t>Puigdemont</w:t>
      </w:r>
      <w:proofErr w:type="spellEnd"/>
      <w:r w:rsidRPr="00945ABB">
        <w:rPr>
          <w:i/>
          <w:iCs/>
          <w:sz w:val="24"/>
          <w:lang w:val="lv-LV"/>
        </w:rPr>
        <w:t xml:space="preserve"> i </w:t>
      </w:r>
      <w:proofErr w:type="spellStart"/>
      <w:r w:rsidRPr="00945ABB">
        <w:rPr>
          <w:i/>
          <w:iCs/>
          <w:sz w:val="24"/>
          <w:lang w:val="lv-LV"/>
        </w:rPr>
        <w:t>Casamajó</w:t>
      </w:r>
      <w:proofErr w:type="spellEnd"/>
      <w:r w:rsidRPr="00945ABB">
        <w:rPr>
          <w:sz w:val="24"/>
          <w:lang w:val="lv-LV"/>
        </w:rPr>
        <w:t xml:space="preserve"> u.c./Parlaments, T-272/21/P, ECLI:EU:T:2023:373.</w:t>
      </w:r>
    </w:p>
    <w:p w:rsidR="003C67FC" w:rsidRPr="00945ABB" w:rsidRDefault="00945ABB" w:rsidP="00945ABB">
      <w:pPr>
        <w:pStyle w:val="FootnoteText"/>
        <w:ind w:left="567" w:hanging="567"/>
        <w:rPr>
          <w:sz w:val="24"/>
          <w:lang w:val="lv-LV"/>
        </w:rPr>
      </w:pPr>
      <w:r w:rsidRPr="00945ABB">
        <w:rPr>
          <w:sz w:val="24"/>
          <w:lang w:val="lv-LV"/>
        </w:rPr>
        <w:t xml:space="preserve"> </w:t>
      </w:r>
      <w:r w:rsidRPr="00945ABB">
        <w:rPr>
          <w:sz w:val="24"/>
          <w:lang w:val="lv-LV"/>
        </w:rPr>
        <w:tab/>
      </w:r>
    </w:p>
  </w:footnote>
  <w:footnote w:id="2">
    <w:p w:rsidR="003C67FC" w:rsidRPr="00945ABB" w:rsidRDefault="003C67FC" w:rsidP="00945ABB">
      <w:pPr>
        <w:pStyle w:val="FootnoteText"/>
        <w:ind w:left="567" w:hanging="567"/>
        <w:rPr>
          <w:sz w:val="24"/>
          <w:lang w:val="lv-LV"/>
        </w:rPr>
      </w:pPr>
      <w:r w:rsidRPr="00945ABB">
        <w:rPr>
          <w:rStyle w:val="FootnoteReference"/>
          <w:sz w:val="24"/>
          <w:lang w:val="lv-LV"/>
        </w:rPr>
        <w:footnoteRef/>
      </w:r>
      <w:r w:rsidR="00945ABB" w:rsidRPr="00945ABB">
        <w:rPr>
          <w:sz w:val="24"/>
          <w:lang w:val="lv-LV"/>
        </w:rPr>
        <w:t xml:space="preserve"> </w:t>
      </w:r>
      <w:r w:rsidR="00945ABB" w:rsidRPr="00945ABB">
        <w:rPr>
          <w:sz w:val="24"/>
          <w:lang w:val="lv-LV"/>
        </w:rPr>
        <w:tab/>
      </w:r>
      <w:r w:rsidRPr="00945ABB">
        <w:rPr>
          <w:sz w:val="24"/>
          <w:lang w:val="lv-LV"/>
        </w:rPr>
        <w:t xml:space="preserve">Vispārējās tiesas 2019. gada 30. aprīļa spriedums, </w:t>
      </w:r>
      <w:proofErr w:type="spellStart"/>
      <w:r w:rsidRPr="00945ABB">
        <w:rPr>
          <w:i/>
          <w:iCs/>
          <w:sz w:val="24"/>
          <w:lang w:val="lv-LV"/>
        </w:rPr>
        <w:t>Briois</w:t>
      </w:r>
      <w:proofErr w:type="spellEnd"/>
      <w:r w:rsidRPr="00945ABB">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A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A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A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8/2025"/>
    <w:docVar w:name="dvlangue" w:val="LV"/>
    <w:docVar w:name="dvnumam" w:val="0"/>
    <w:docVar w:name="dvpe" w:val="770.080"/>
    <w:docVar w:name="dvrapporteur" w:val="Referente: "/>
    <w:docVar w:name="dvtitre" w:val="Eiropas Parlamenta 2025. gada XX. XXX lēmums par pieprasījumu atcelt Petras Gražulis imunitāti(2024/2089(IMM))"/>
  </w:docVars>
  <w:rsids>
    <w:rsidRoot w:val="00D67C80"/>
    <w:rsid w:val="00002272"/>
    <w:rsid w:val="00064002"/>
    <w:rsid w:val="000677B9"/>
    <w:rsid w:val="000831BA"/>
    <w:rsid w:val="000A42CC"/>
    <w:rsid w:val="000E7DD9"/>
    <w:rsid w:val="0010095E"/>
    <w:rsid w:val="00125B37"/>
    <w:rsid w:val="00187494"/>
    <w:rsid w:val="001F32AE"/>
    <w:rsid w:val="002767FF"/>
    <w:rsid w:val="002B18FE"/>
    <w:rsid w:val="002B5493"/>
    <w:rsid w:val="002F076C"/>
    <w:rsid w:val="00343214"/>
    <w:rsid w:val="00361C00"/>
    <w:rsid w:val="00395FA1"/>
    <w:rsid w:val="003C67F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477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ABB"/>
    <w:rsid w:val="009509D8"/>
    <w:rsid w:val="00950B64"/>
    <w:rsid w:val="00981893"/>
    <w:rsid w:val="009F050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5CE"/>
    <w:rsid w:val="00CC2357"/>
    <w:rsid w:val="00CF071A"/>
    <w:rsid w:val="00D058B8"/>
    <w:rsid w:val="00D56C11"/>
    <w:rsid w:val="00D67C8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58ACB0"/>
  <w15:chartTrackingRefBased/>
  <w15:docId w15:val="{96A33C17-69C4-4AA1-9042-3D83842A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C67FC"/>
    <w:rPr>
      <w:b/>
    </w:rPr>
  </w:style>
  <w:style w:type="paragraph" w:customStyle="1" w:styleId="NormalHanging12a">
    <w:name w:val="NormalHanging12a"/>
    <w:basedOn w:val="Normal"/>
    <w:rsid w:val="003C67FC"/>
    <w:pPr>
      <w:spacing w:after="240"/>
      <w:ind w:left="567" w:hanging="567"/>
    </w:pPr>
  </w:style>
  <w:style w:type="paragraph" w:customStyle="1" w:styleId="EPComma">
    <w:name w:val="EPComma"/>
    <w:basedOn w:val="Normal"/>
    <w:rsid w:val="003C67FC"/>
    <w:pPr>
      <w:spacing w:before="480" w:after="240"/>
    </w:pPr>
  </w:style>
  <w:style w:type="paragraph" w:styleId="BalloonText">
    <w:name w:val="Balloon Text"/>
    <w:basedOn w:val="Normal"/>
    <w:link w:val="BalloonTextChar"/>
    <w:rsid w:val="002F076C"/>
    <w:rPr>
      <w:rFonts w:ascii="Segoe UI" w:hAnsi="Segoe UI" w:cs="Segoe UI"/>
      <w:sz w:val="18"/>
      <w:szCs w:val="18"/>
    </w:rPr>
  </w:style>
  <w:style w:type="character" w:customStyle="1" w:styleId="BalloonTextChar">
    <w:name w:val="Balloon Text Char"/>
    <w:basedOn w:val="DefaultParagraphFont"/>
    <w:link w:val="BalloonText"/>
    <w:rsid w:val="002F076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42668-7B8E-4365-A9BB-9A35FA68A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662</Words>
  <Characters>4161</Characters>
  <Application>Microsoft Office Word</Application>
  <DocSecurity>0</DocSecurity>
  <Lines>90</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2025-05-06T10:50:00Z</dcterms:created>
  <dcterms:modified xsi:type="dcterms:W3CDTF">2025-05-06T10:50:00Z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A10-0078/2025</vt:lpwstr>
  </property>
  <property fmtid="{D5CDD505-2E9C-101B-9397-08002B2CF9AE}" pid="4" name="&lt;Type&gt;">
    <vt:lpwstr>RR</vt:lpwstr>
  </property>
</Properties>
</file>