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3312" w:rsidTr="0010095E">
        <w:trPr>
          <w:trHeight w:hRule="exact" w:val="1418"/>
        </w:trPr>
        <w:tc>
          <w:tcPr>
            <w:tcW w:w="6804" w:type="dxa"/>
            <w:shd w:val="clear" w:color="auto" w:fill="auto"/>
            <w:vAlign w:val="center"/>
          </w:tcPr>
          <w:p w:rsidR="00751A4A" w:rsidRPr="00AB3312" w:rsidRDefault="007A048D" w:rsidP="0010095E">
            <w:pPr>
              <w:pStyle w:val="EPName"/>
            </w:pPr>
            <w:r w:rsidRPr="00AB3312">
              <w:t>Európsky parlament</w:t>
            </w:r>
          </w:p>
          <w:p w:rsidR="00751A4A" w:rsidRPr="00AB3312" w:rsidRDefault="005F1B17" w:rsidP="005F1B17">
            <w:pPr>
              <w:pStyle w:val="EPTerm"/>
              <w:rPr>
                <w:rStyle w:val="HideTWBExt"/>
                <w:noProof w:val="0"/>
                <w:vanish w:val="0"/>
                <w:color w:val="auto"/>
              </w:rPr>
            </w:pPr>
            <w:r w:rsidRPr="00AB3312">
              <w:t>2024</w:t>
            </w:r>
            <w:r w:rsidR="00817416" w:rsidRPr="00AB3312">
              <w:t>-202</w:t>
            </w:r>
            <w:r w:rsidRPr="00AB3312">
              <w:t>9</w:t>
            </w:r>
          </w:p>
        </w:tc>
        <w:tc>
          <w:tcPr>
            <w:tcW w:w="2268" w:type="dxa"/>
            <w:shd w:val="clear" w:color="auto" w:fill="auto"/>
          </w:tcPr>
          <w:p w:rsidR="00751A4A" w:rsidRPr="00AB3312" w:rsidRDefault="00187494" w:rsidP="0010095E">
            <w:pPr>
              <w:pStyle w:val="EPLogo"/>
            </w:pPr>
            <w:r w:rsidRPr="00AB331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3312" w:rsidRDefault="00D058B8" w:rsidP="004C5D52">
      <w:pPr>
        <w:pStyle w:val="LineTop"/>
      </w:pPr>
    </w:p>
    <w:p w:rsidR="00680577" w:rsidRPr="00AB3312" w:rsidRDefault="007A048D" w:rsidP="00680577">
      <w:pPr>
        <w:pStyle w:val="EPBodyTA1"/>
      </w:pPr>
      <w:r w:rsidRPr="00AB3312">
        <w:t>PRIJATÉ TEXTY</w:t>
      </w:r>
    </w:p>
    <w:p w:rsidR="00D058B8" w:rsidRPr="00AB3312" w:rsidRDefault="00D058B8" w:rsidP="00D058B8">
      <w:pPr>
        <w:pStyle w:val="LineBottom"/>
      </w:pPr>
    </w:p>
    <w:p w:rsidR="007A048D" w:rsidRPr="00AB3312" w:rsidRDefault="007A048D" w:rsidP="007A048D">
      <w:pPr>
        <w:pStyle w:val="ATHeading1"/>
      </w:pPr>
      <w:bookmarkStart w:id="0" w:name="TANumber"/>
      <w:r w:rsidRPr="00AB3312">
        <w:t>P10_TA(2025)00</w:t>
      </w:r>
      <w:r w:rsidR="00AB3312" w:rsidRPr="00AB3312">
        <w:t>68</w:t>
      </w:r>
      <w:bookmarkEnd w:id="0"/>
    </w:p>
    <w:p w:rsidR="007A048D" w:rsidRPr="00AB3312" w:rsidRDefault="007A048D" w:rsidP="007A048D">
      <w:pPr>
        <w:pStyle w:val="ATHeading2"/>
      </w:pPr>
      <w:bookmarkStart w:id="1" w:name="title"/>
      <w:r w:rsidRPr="00AB3312">
        <w:t xml:space="preserve">Žiadosť o zbavenie </w:t>
      </w:r>
      <w:proofErr w:type="spellStart"/>
      <w:r w:rsidRPr="00AB3312">
        <w:t>Petrasa</w:t>
      </w:r>
      <w:proofErr w:type="spellEnd"/>
      <w:r w:rsidRPr="00AB3312">
        <w:t xml:space="preserve"> </w:t>
      </w:r>
      <w:proofErr w:type="spellStart"/>
      <w:r w:rsidRPr="00AB3312">
        <w:t>Gražulisa</w:t>
      </w:r>
      <w:proofErr w:type="spellEnd"/>
      <w:r w:rsidRPr="00AB3312">
        <w:t xml:space="preserve"> imunity</w:t>
      </w:r>
      <w:bookmarkEnd w:id="1"/>
    </w:p>
    <w:p w:rsidR="007A048D" w:rsidRPr="00AB3312" w:rsidRDefault="007A048D" w:rsidP="007A048D">
      <w:pPr>
        <w:rPr>
          <w:i/>
          <w:vanish/>
        </w:rPr>
      </w:pPr>
      <w:r w:rsidRPr="00AB3312">
        <w:rPr>
          <w:i/>
        </w:rPr>
        <w:fldChar w:fldCharType="begin"/>
      </w:r>
      <w:r w:rsidRPr="00AB3312">
        <w:rPr>
          <w:i/>
        </w:rPr>
        <w:instrText xml:space="preserve"> TC"(</w:instrText>
      </w:r>
      <w:bookmarkStart w:id="2" w:name="DocNumber"/>
      <w:r w:rsidRPr="00AB3312">
        <w:rPr>
          <w:i/>
        </w:rPr>
        <w:instrText>A10-0078/2025</w:instrText>
      </w:r>
      <w:bookmarkEnd w:id="2"/>
      <w:r w:rsidRPr="00AB3312">
        <w:rPr>
          <w:i/>
        </w:rPr>
        <w:instrText xml:space="preserve"> - Spravodajkyňa: Pascale Piera)"\l3 \n&gt; \* MERGEFORMAT </w:instrText>
      </w:r>
      <w:r w:rsidRPr="00AB3312">
        <w:rPr>
          <w:i/>
        </w:rPr>
        <w:fldChar w:fldCharType="end"/>
      </w:r>
    </w:p>
    <w:p w:rsidR="007A048D" w:rsidRPr="00AB3312" w:rsidRDefault="007A048D" w:rsidP="007A048D">
      <w:pPr>
        <w:rPr>
          <w:vanish/>
        </w:rPr>
      </w:pPr>
      <w:bookmarkStart w:id="3" w:name="Commission"/>
      <w:r w:rsidRPr="00AB3312">
        <w:rPr>
          <w:vanish/>
        </w:rPr>
        <w:t>Výbor pre právne veci</w:t>
      </w:r>
      <w:bookmarkEnd w:id="3"/>
    </w:p>
    <w:p w:rsidR="007A048D" w:rsidRPr="00AB3312" w:rsidRDefault="007A048D" w:rsidP="007A048D">
      <w:pPr>
        <w:rPr>
          <w:vanish/>
        </w:rPr>
      </w:pPr>
      <w:bookmarkStart w:id="4" w:name="PE"/>
      <w:r w:rsidRPr="00AB3312">
        <w:rPr>
          <w:vanish/>
        </w:rPr>
        <w:t>PE770.080</w:t>
      </w:r>
      <w:bookmarkEnd w:id="4"/>
    </w:p>
    <w:p w:rsidR="007A048D" w:rsidRPr="00AB3312" w:rsidRDefault="007A048D" w:rsidP="007A048D">
      <w:pPr>
        <w:pStyle w:val="ATHeading3"/>
      </w:pPr>
      <w:bookmarkStart w:id="5" w:name="Sujet"/>
      <w:r w:rsidRPr="00AB3312">
        <w:t>Rozhodnutie Európskeho parlamentu z</w:t>
      </w:r>
      <w:r w:rsidR="00A0367C" w:rsidRPr="00AB3312">
        <w:t>o</w:t>
      </w:r>
      <w:r w:rsidRPr="00AB3312">
        <w:t xml:space="preserve"> </w:t>
      </w:r>
      <w:r w:rsidR="00A0367C" w:rsidRPr="00AB3312">
        <w:t>6</w:t>
      </w:r>
      <w:r w:rsidRPr="00AB3312">
        <w:t xml:space="preserve">. mája 2025 o žiadosti o zbavenie </w:t>
      </w:r>
      <w:proofErr w:type="spellStart"/>
      <w:r w:rsidRPr="00AB3312">
        <w:t>Petrasa</w:t>
      </w:r>
      <w:proofErr w:type="spellEnd"/>
      <w:r w:rsidRPr="00AB3312">
        <w:t xml:space="preserve"> </w:t>
      </w:r>
      <w:proofErr w:type="spellStart"/>
      <w:r w:rsidRPr="00AB3312">
        <w:t>Gražulisa</w:t>
      </w:r>
      <w:proofErr w:type="spellEnd"/>
      <w:r w:rsidRPr="00AB3312">
        <w:t xml:space="preserve"> imunity</w:t>
      </w:r>
      <w:bookmarkEnd w:id="5"/>
      <w:r w:rsidRPr="00AB3312">
        <w:t xml:space="preserve"> </w:t>
      </w:r>
      <w:bookmarkStart w:id="6" w:name="References"/>
      <w:r w:rsidRPr="00AB3312">
        <w:t>(2024/2089(IMM))</w:t>
      </w:r>
      <w:bookmarkEnd w:id="6"/>
    </w:p>
    <w:p w:rsidR="00940734" w:rsidRPr="00AB3312" w:rsidRDefault="00940734" w:rsidP="00940734">
      <w:pPr>
        <w:pStyle w:val="EPComma"/>
        <w:widowControl/>
      </w:pPr>
      <w:bookmarkStart w:id="7" w:name="TextBodyBegin"/>
      <w:bookmarkEnd w:id="7"/>
      <w:r w:rsidRPr="00AB3312">
        <w:rPr>
          <w:i/>
        </w:rPr>
        <w:t>Európsky parlament</w:t>
      </w:r>
      <w:r w:rsidRPr="00AB3312">
        <w:t>,</w:t>
      </w:r>
    </w:p>
    <w:p w:rsidR="00940734" w:rsidRPr="00AB3312" w:rsidRDefault="00940734" w:rsidP="00940734">
      <w:pPr>
        <w:pStyle w:val="NormalHanging12a"/>
        <w:widowControl/>
      </w:pPr>
      <w:r w:rsidRPr="00AB3312">
        <w:t>–</w:t>
      </w:r>
      <w:r w:rsidRPr="00AB3312">
        <w:tab/>
        <w:t xml:space="preserve">so zreteľom na žiadosť o zbavenie </w:t>
      </w:r>
      <w:proofErr w:type="spellStart"/>
      <w:r w:rsidRPr="00AB3312">
        <w:t>Petrasa</w:t>
      </w:r>
      <w:proofErr w:type="spellEnd"/>
      <w:r w:rsidRPr="00AB3312">
        <w:t xml:space="preserve"> </w:t>
      </w:r>
      <w:proofErr w:type="spellStart"/>
      <w:r w:rsidRPr="00AB3312">
        <w:t>Gražulisa</w:t>
      </w:r>
      <w:proofErr w:type="spellEnd"/>
      <w:r w:rsidRPr="00AB3312">
        <w:t xml:space="preserve"> imunity, ktorú 16. septembra 2024 podal</w:t>
      </w:r>
      <w:r w:rsidR="00A0367C" w:rsidRPr="00AB3312">
        <w:t>a</w:t>
      </w:r>
      <w:r w:rsidRPr="00AB3312">
        <w:t xml:space="preserve"> generáln</w:t>
      </w:r>
      <w:r w:rsidR="00A0367C" w:rsidRPr="00AB3312">
        <w:t>a</w:t>
      </w:r>
      <w:r w:rsidRPr="00AB3312">
        <w:t xml:space="preserve"> prokurátor</w:t>
      </w:r>
      <w:r w:rsidR="00A0367C" w:rsidRPr="00AB3312">
        <w:t>ka</w:t>
      </w:r>
      <w:r w:rsidRPr="00AB3312">
        <w:t xml:space="preserve"> Litovskej republiky v súvislosti s trestným konaním proti </w:t>
      </w:r>
      <w:proofErr w:type="spellStart"/>
      <w:r w:rsidRPr="00AB3312">
        <w:t>Petrasovi</w:t>
      </w:r>
      <w:proofErr w:type="spellEnd"/>
      <w:r w:rsidRPr="00AB3312">
        <w:t xml:space="preserve"> </w:t>
      </w:r>
      <w:proofErr w:type="spellStart"/>
      <w:r w:rsidRPr="00AB3312">
        <w:t>Gražulisovi</w:t>
      </w:r>
      <w:proofErr w:type="spellEnd"/>
      <w:r w:rsidRPr="00AB3312">
        <w:t xml:space="preserve"> a ktorá bola oznámená na plenárnej schôdzi 24. októbra 2024</w:t>
      </w:r>
      <w:r w:rsidR="00A0367C" w:rsidRPr="00AB3312">
        <w:t>,</w:t>
      </w:r>
    </w:p>
    <w:p w:rsidR="00940734" w:rsidRPr="00AB3312" w:rsidRDefault="00940734" w:rsidP="00940734">
      <w:pPr>
        <w:pStyle w:val="NormalHanging12a"/>
        <w:widowControl/>
      </w:pPr>
      <w:r w:rsidRPr="00AB3312">
        <w:t>–</w:t>
      </w:r>
      <w:r w:rsidRPr="00AB3312">
        <w:tab/>
        <w:t xml:space="preserve">po vypočutí </w:t>
      </w:r>
      <w:proofErr w:type="spellStart"/>
      <w:r w:rsidRPr="00AB3312">
        <w:t>Petrasa</w:t>
      </w:r>
      <w:proofErr w:type="spellEnd"/>
      <w:r w:rsidRPr="00AB3312">
        <w:t xml:space="preserve"> </w:t>
      </w:r>
      <w:proofErr w:type="spellStart"/>
      <w:r w:rsidRPr="00AB3312">
        <w:t>Gražulisa</w:t>
      </w:r>
      <w:proofErr w:type="spellEnd"/>
      <w:r w:rsidRPr="00AB3312">
        <w:t xml:space="preserve"> 18. marca 2025 v súlade s článkom 9 ods. 6 rokovacieho poriadku,</w:t>
      </w:r>
    </w:p>
    <w:p w:rsidR="00940734" w:rsidRPr="00AB3312" w:rsidRDefault="00940734" w:rsidP="00940734">
      <w:pPr>
        <w:pStyle w:val="NormalHanging12a"/>
        <w:widowControl/>
      </w:pPr>
      <w:r w:rsidRPr="00AB3312">
        <w:t>–</w:t>
      </w:r>
      <w:r w:rsidRPr="00AB3312">
        <w:tab/>
        <w:t>so zreteľom na články 8 a 9 Protokolu č. 7 o výsadách a imunitách Európskej únie, ako aj na článok 6 ods. 2 Aktu z 20. septembra 1976 o priamych a všeobecných voľbách poslancov Európskeho parlamentu,</w:t>
      </w:r>
    </w:p>
    <w:p w:rsidR="00940734" w:rsidRPr="00AB3312" w:rsidRDefault="00940734" w:rsidP="00940734">
      <w:pPr>
        <w:pStyle w:val="NormalHanging12a"/>
        <w:widowControl/>
      </w:pPr>
      <w:r w:rsidRPr="00AB3312">
        <w:t>–</w:t>
      </w:r>
      <w:r w:rsidRPr="00AB3312">
        <w:tab/>
        <w:t>so zreteľom na rozsudky Súdneho dvora Európskej únie z 21. októbra 2008, 19. marca 2010, 6. septembra 2011, 17. januára 2013, 19. decembra 2019 a 5. júla 2023</w:t>
      </w:r>
      <w:r w:rsidRPr="00AB3312">
        <w:rPr>
          <w:rStyle w:val="FootnoteReference"/>
          <w:color w:val="000000"/>
        </w:rPr>
        <w:footnoteReference w:id="1"/>
      </w:r>
      <w:r w:rsidRPr="00AB3312">
        <w:t>,</w:t>
      </w:r>
    </w:p>
    <w:p w:rsidR="00940734" w:rsidRPr="00AB3312" w:rsidRDefault="00940734" w:rsidP="00940734">
      <w:pPr>
        <w:pStyle w:val="NormalHanging12a"/>
        <w:widowControl/>
      </w:pPr>
      <w:r w:rsidRPr="00AB3312">
        <w:t>–</w:t>
      </w:r>
      <w:r w:rsidRPr="00AB3312">
        <w:tab/>
        <w:t>so zreteľom na článok 62 Ústavy Litovskej republiky,</w:t>
      </w:r>
    </w:p>
    <w:p w:rsidR="00940734" w:rsidRPr="00AB3312" w:rsidRDefault="00940734" w:rsidP="00940734">
      <w:pPr>
        <w:pStyle w:val="NormalHanging12a"/>
        <w:widowControl/>
      </w:pPr>
      <w:r w:rsidRPr="00AB3312">
        <w:t>–</w:t>
      </w:r>
      <w:r w:rsidRPr="00AB3312">
        <w:tab/>
        <w:t>so zreteľom na článok 5 ods. 2, článok 6 ods. 1 a článok 9 rokovacieho poriadku,</w:t>
      </w:r>
    </w:p>
    <w:p w:rsidR="00940734" w:rsidRPr="00AB3312" w:rsidRDefault="00940734" w:rsidP="00940734">
      <w:pPr>
        <w:pStyle w:val="NormalHanging12a"/>
        <w:widowControl/>
      </w:pPr>
      <w:r w:rsidRPr="00AB3312">
        <w:t>–</w:t>
      </w:r>
      <w:r w:rsidRPr="00AB3312">
        <w:tab/>
        <w:t>so zreteľom na správu Výboru pre právne veci (A10-0078/2025),</w:t>
      </w:r>
    </w:p>
    <w:p w:rsidR="00940734" w:rsidRPr="00AB3312" w:rsidRDefault="00940734" w:rsidP="00940734">
      <w:pPr>
        <w:pStyle w:val="NormalHanging12a"/>
        <w:widowControl/>
      </w:pPr>
      <w:r w:rsidRPr="00AB3312">
        <w:t>A.</w:t>
      </w:r>
      <w:r w:rsidRPr="00AB3312">
        <w:tab/>
        <w:t>keďže generáln</w:t>
      </w:r>
      <w:r w:rsidR="00A0367C" w:rsidRPr="00AB3312">
        <w:t>a</w:t>
      </w:r>
      <w:r w:rsidRPr="00AB3312">
        <w:t xml:space="preserve"> prokurátor</w:t>
      </w:r>
      <w:r w:rsidR="00A0367C" w:rsidRPr="00AB3312">
        <w:t>ka</w:t>
      </w:r>
      <w:r w:rsidRPr="00AB3312">
        <w:t xml:space="preserve"> Litovskej republiky listom zo 16. septembra 2024 </w:t>
      </w:r>
      <w:r w:rsidR="00A0367C" w:rsidRPr="00AB3312">
        <w:t>požiadala</w:t>
      </w:r>
      <w:r w:rsidRPr="00AB3312">
        <w:t xml:space="preserve"> o zbavenie </w:t>
      </w:r>
      <w:proofErr w:type="spellStart"/>
      <w:r w:rsidRPr="00AB3312">
        <w:t>Petrasa</w:t>
      </w:r>
      <w:proofErr w:type="spellEnd"/>
      <w:r w:rsidRPr="00AB3312">
        <w:t xml:space="preserve"> </w:t>
      </w:r>
      <w:proofErr w:type="spellStart"/>
      <w:r w:rsidRPr="00AB3312">
        <w:t>Gražulisa</w:t>
      </w:r>
      <w:proofErr w:type="spellEnd"/>
      <w:r w:rsidRPr="00AB3312">
        <w:t xml:space="preserve"> imunity v súvislosti s údajným trestným činom podľa článku 170 ods. 2 Trestného zákonníka Litovskej republiky za to, že </w:t>
      </w:r>
      <w:proofErr w:type="spellStart"/>
      <w:r w:rsidRPr="00AB3312">
        <w:t>Petras</w:t>
      </w:r>
      <w:proofErr w:type="spellEnd"/>
      <w:r w:rsidRPr="00AB3312">
        <w:t xml:space="preserve"> </w:t>
      </w:r>
      <w:proofErr w:type="spellStart"/>
      <w:r w:rsidRPr="00AB3312">
        <w:lastRenderedPageBreak/>
        <w:t>Gražulis</w:t>
      </w:r>
      <w:proofErr w:type="spellEnd"/>
      <w:r w:rsidRPr="00AB3312">
        <w:t xml:space="preserve"> verejne zosmiešnil skupinu osôb a vyjadril svoje opovrhnutie týmito osobami z dôvodu ich sexuálnej orientácie;</w:t>
      </w:r>
    </w:p>
    <w:p w:rsidR="00940734" w:rsidRPr="00AB3312" w:rsidRDefault="00940734" w:rsidP="00940734">
      <w:pPr>
        <w:pStyle w:val="NormalHanging12a"/>
        <w:widowControl/>
      </w:pPr>
      <w:r w:rsidRPr="00AB3312">
        <w:rPr>
          <w:shd w:val="clear" w:color="auto" w:fill="FFFFFF"/>
        </w:rPr>
        <w:t>B.</w:t>
      </w:r>
      <w:r w:rsidRPr="00AB3312">
        <w:rPr>
          <w:shd w:val="clear" w:color="auto" w:fill="FFFFFF"/>
        </w:rPr>
        <w:tab/>
      </w:r>
      <w:r w:rsidRPr="00AB3312">
        <w:t xml:space="preserve">keďže v žiadosti sa uvádza, že </w:t>
      </w:r>
      <w:proofErr w:type="spellStart"/>
      <w:r w:rsidRPr="00AB3312">
        <w:t>Petras</w:t>
      </w:r>
      <w:proofErr w:type="spellEnd"/>
      <w:r w:rsidRPr="00AB3312">
        <w:t xml:space="preserve"> </w:t>
      </w:r>
      <w:proofErr w:type="spellStart"/>
      <w:r w:rsidRPr="00AB3312">
        <w:t>Gražulis</w:t>
      </w:r>
      <w:proofErr w:type="spellEnd"/>
      <w:r w:rsidRPr="00AB3312">
        <w:t xml:space="preserve"> je obvinený z toho, že sa 26. mája 2022 po skončení zasadnutia litovského Parlamentu, na ktorom sa rokovalo o registrácii civilných zväzkov, na chodbe litovského Parlamentu v rámci diskusie s kameramanom, ktorú nakrútili a vysielali médiá, zosmiešňujúcim, očierňujúcim a ponižujúcim spôsobom verejne vyjadroval o skupine osôb a že vyjadril opovrhnutie týmito osobami z dôvodu ich sexuálnej orientácie; keďže k údajnému trestnému činu </w:t>
      </w:r>
      <w:proofErr w:type="spellStart"/>
      <w:r w:rsidRPr="00AB3312">
        <w:t>Petrasa</w:t>
      </w:r>
      <w:proofErr w:type="spellEnd"/>
      <w:r w:rsidRPr="00AB3312">
        <w:t xml:space="preserve"> </w:t>
      </w:r>
      <w:proofErr w:type="spellStart"/>
      <w:r w:rsidRPr="00AB3312">
        <w:t>Gražulisa</w:t>
      </w:r>
      <w:proofErr w:type="spellEnd"/>
      <w:r w:rsidRPr="00AB3312">
        <w:t>, ktorý bol v tom čase poslancom litovského Parlamentu, došlo v roku 2022</w:t>
      </w:r>
      <w:r w:rsidR="00AA4167" w:rsidRPr="00AB3312">
        <w:t>;</w:t>
      </w:r>
      <w:r w:rsidRPr="00AB3312">
        <w:t xml:space="preserve"> keďže predbežné vyšetrovanie sa uskutočnilo v rokoch 2022 a 2023 a vec bola postúpená krajskému súdu vo Vilniuse v januári 2024; keďže </w:t>
      </w:r>
      <w:proofErr w:type="spellStart"/>
      <w:r w:rsidRPr="00AB3312">
        <w:t>Petras</w:t>
      </w:r>
      <w:proofErr w:type="spellEnd"/>
      <w:r w:rsidRPr="00AB3312">
        <w:t xml:space="preserve"> </w:t>
      </w:r>
      <w:proofErr w:type="spellStart"/>
      <w:r w:rsidRPr="00AB3312">
        <w:t>Gražulis</w:t>
      </w:r>
      <w:proofErr w:type="spellEnd"/>
      <w:r w:rsidRPr="00AB3312">
        <w:t xml:space="preserve"> požíval v tom čase imunitu ako </w:t>
      </w:r>
      <w:r w:rsidRPr="00AB3312">
        <w:rPr>
          <w:shd w:val="clear" w:color="auto" w:fill="FFFFFF"/>
        </w:rPr>
        <w:t>poslanec</w:t>
      </w:r>
      <w:r w:rsidRPr="00AB3312">
        <w:t xml:space="preserve"> litovského Parlamentu, no keďže litovský Parlament udelil 16. novembra 2023 súhlas s tým, aby sa proti nemu začalo trestné konanie;</w:t>
      </w:r>
    </w:p>
    <w:p w:rsidR="00940734" w:rsidRPr="00AB3312" w:rsidRDefault="00940734" w:rsidP="00940734">
      <w:pPr>
        <w:pStyle w:val="NormalHanging12a"/>
        <w:widowControl/>
      </w:pPr>
      <w:r w:rsidRPr="00AB3312">
        <w:t>C.</w:t>
      </w:r>
      <w:r w:rsidRPr="00AB3312">
        <w:tab/>
        <w:t xml:space="preserve">keďže </w:t>
      </w:r>
      <w:proofErr w:type="spellStart"/>
      <w:r w:rsidRPr="00AB3312">
        <w:t>Petras</w:t>
      </w:r>
      <w:proofErr w:type="spellEnd"/>
      <w:r w:rsidRPr="00AB3312">
        <w:t xml:space="preserve"> </w:t>
      </w:r>
      <w:proofErr w:type="spellStart"/>
      <w:r w:rsidRPr="00AB3312">
        <w:t>Gražulis</w:t>
      </w:r>
      <w:proofErr w:type="spellEnd"/>
      <w:r w:rsidRPr="00AB3312">
        <w:rPr>
          <w:shd w:val="clear" w:color="auto" w:fill="FFFFFF"/>
        </w:rPr>
        <w:t xml:space="preserve"> bol zvolený do Európskeho parlamentu v európskych voľbách v júni 2024</w:t>
      </w:r>
      <w:r w:rsidRPr="00AB3312">
        <w:t xml:space="preserve"> a v čase údajného trestného činu </w:t>
      </w:r>
      <w:r w:rsidRPr="00AB3312">
        <w:rPr>
          <w:shd w:val="clear" w:color="auto" w:fill="FFFFFF"/>
        </w:rPr>
        <w:t>nebol poslancom Európskeho parlamentu;</w:t>
      </w:r>
    </w:p>
    <w:p w:rsidR="00940734" w:rsidRPr="00AB3312" w:rsidRDefault="00940734" w:rsidP="00940734">
      <w:pPr>
        <w:pStyle w:val="NormalHanging12a"/>
        <w:widowControl/>
      </w:pPr>
      <w:r w:rsidRPr="00AB3312">
        <w:t>D.</w:t>
      </w:r>
      <w:r w:rsidRPr="00AB3312">
        <w:tab/>
        <w:t xml:space="preserve">keďže údajný trestný čin a následná žiadosť o zbavenie imunity preto nesúvisia s vyjadreným názorom alebo hlasovaním </w:t>
      </w:r>
      <w:proofErr w:type="spellStart"/>
      <w:r w:rsidRPr="00AB3312">
        <w:t>Petrasa</w:t>
      </w:r>
      <w:proofErr w:type="spellEnd"/>
      <w:r w:rsidRPr="00AB3312">
        <w:t xml:space="preserve"> </w:t>
      </w:r>
      <w:proofErr w:type="spellStart"/>
      <w:r w:rsidRPr="00AB3312">
        <w:t>Gražulisa</w:t>
      </w:r>
      <w:proofErr w:type="spellEnd"/>
      <w:r w:rsidRPr="00AB3312">
        <w:t xml:space="preserve"> pri výkone jeho úloh v zmysle článku 8 Protokolu č. 7 o výsadách a imunitách Európskej únie;</w:t>
      </w:r>
    </w:p>
    <w:p w:rsidR="00940734" w:rsidRPr="00AB3312" w:rsidRDefault="00940734" w:rsidP="00940734">
      <w:pPr>
        <w:pStyle w:val="NormalHanging12a"/>
        <w:widowControl/>
      </w:pPr>
      <w:r w:rsidRPr="00AB3312">
        <w:t>E.</w:t>
      </w:r>
      <w:r w:rsidRPr="00AB3312">
        <w:tab/>
        <w:t>keďže v článku 9</w:t>
      </w:r>
      <w:r w:rsidR="00A0367C" w:rsidRPr="00AB3312">
        <w:t>, prvom</w:t>
      </w:r>
      <w:r w:rsidRPr="00AB3312">
        <w:t xml:space="preserve"> ods</w:t>
      </w:r>
      <w:r w:rsidR="00A0367C" w:rsidRPr="00AB3312">
        <w:t>eku</w:t>
      </w:r>
      <w:r w:rsidRPr="00AB3312">
        <w:t xml:space="preserve"> písm. a) Protokolu č. 7 o výsadách a imunitách Európskej únie sa stanovuje, že poslanci Európskeho parlamentu požívajú na území ich vlastného štátu imunitu priznanú členom ich parlamentu;</w:t>
      </w:r>
    </w:p>
    <w:p w:rsidR="00940734" w:rsidRPr="00AB3312" w:rsidRDefault="00940734" w:rsidP="00940734">
      <w:pPr>
        <w:pStyle w:val="NormalHanging12a"/>
        <w:widowControl/>
      </w:pPr>
      <w:r w:rsidRPr="00AB3312">
        <w:t>F.</w:t>
      </w:r>
      <w:r w:rsidRPr="00AB3312">
        <w:tab/>
        <w:t>keďže podľa článku 62 Ústavy Litovskej republiky „je osoba poslanca litovského Parlamentu nedotknuteľná. Poslanec litovského Parlamentu nesmie byť bez súhlasu litovského Parlamentu trestne stíhaný, zatknutý ani sa nesmie inak obmedziť jeho osobná sloboda. Poslanec litovského Parlamentu nes</w:t>
      </w:r>
      <w:bookmarkStart w:id="8" w:name="_GoBack"/>
      <w:bookmarkEnd w:id="8"/>
      <w:r w:rsidRPr="00AB3312">
        <w:t xml:space="preserve">mie byť </w:t>
      </w:r>
      <w:r w:rsidR="006F5EC9">
        <w:t>prenasledovaný</w:t>
      </w:r>
      <w:r w:rsidRPr="00AB3312">
        <w:t xml:space="preserve"> za svoje hlasovanie alebo prejavy v litovskom Parlamente. Môže však niesť v rámci riadneho súdneho konania trestnú zodpovednosť za urážku osobnosti alebo ohováranie.“</w:t>
      </w:r>
      <w:r w:rsidRPr="00AB3312">
        <w:rPr>
          <w:sz w:val="22"/>
        </w:rPr>
        <w:t xml:space="preserve">; </w:t>
      </w:r>
    </w:p>
    <w:p w:rsidR="00940734" w:rsidRPr="00AB3312" w:rsidRDefault="00940734" w:rsidP="00940734">
      <w:pPr>
        <w:pStyle w:val="NormalHanging12a"/>
        <w:widowControl/>
      </w:pPr>
      <w:r w:rsidRPr="00AB3312">
        <w:t>G.</w:t>
      </w:r>
      <w:r w:rsidRPr="00AB3312">
        <w:tab/>
        <w:t xml:space="preserve">keďže účelom poslaneckej imunity je chrániť </w:t>
      </w:r>
      <w:r w:rsidR="00A0367C" w:rsidRPr="00AB3312">
        <w:rPr>
          <w:shd w:val="clear" w:color="auto" w:fill="FFFFFF"/>
        </w:rPr>
        <w:t xml:space="preserve">Európsky </w:t>
      </w:r>
      <w:r w:rsidR="00A0367C" w:rsidRPr="00AB3312">
        <w:t>p</w:t>
      </w:r>
      <w:r w:rsidRPr="00AB3312">
        <w:t>arlament a jeho poslancov pred súdnymi konaniami v súvislosti s činnosťami vykonávanými pri výkone poslaneckých povinností, ktoré nemožno oddeliť od týchto povinností;</w:t>
      </w:r>
    </w:p>
    <w:p w:rsidR="00940734" w:rsidRPr="00AB3312" w:rsidRDefault="00940734" w:rsidP="00940734">
      <w:pPr>
        <w:pStyle w:val="NormalHanging12a"/>
        <w:widowControl/>
      </w:pPr>
      <w:r w:rsidRPr="00AB3312">
        <w:t>H.</w:t>
      </w:r>
      <w:r w:rsidRPr="00AB3312">
        <w:tab/>
        <w:t xml:space="preserve">keďže v súlade s článkom 5 ods. 2 rokovacieho poriadku poslanecká imunita nie je osobná výsada poslanca, ale záruka nezávislosti </w:t>
      </w:r>
      <w:r w:rsidR="00A0367C" w:rsidRPr="00AB3312">
        <w:rPr>
          <w:shd w:val="clear" w:color="auto" w:fill="FFFFFF"/>
        </w:rPr>
        <w:t xml:space="preserve">Európskeho </w:t>
      </w:r>
      <w:r w:rsidR="00A0367C" w:rsidRPr="00AB3312">
        <w:t>p</w:t>
      </w:r>
      <w:r w:rsidRPr="00AB3312">
        <w:t>arlamentu ako celku a jeho poslancov;</w:t>
      </w:r>
    </w:p>
    <w:p w:rsidR="00940734" w:rsidRPr="00AB3312" w:rsidRDefault="00940734" w:rsidP="00940734">
      <w:pPr>
        <w:pStyle w:val="NormalHanging12a"/>
        <w:widowControl/>
      </w:pPr>
      <w:r w:rsidRPr="00AB3312">
        <w:t>I.</w:t>
      </w:r>
      <w:r w:rsidRPr="00AB3312">
        <w:tab/>
        <w:t xml:space="preserve">keďže </w:t>
      </w:r>
      <w:r w:rsidR="00A0367C" w:rsidRPr="00AB3312">
        <w:rPr>
          <w:shd w:val="clear" w:color="auto" w:fill="FFFFFF"/>
        </w:rPr>
        <w:t xml:space="preserve">Európsky </w:t>
      </w:r>
      <w:r w:rsidR="00A0367C" w:rsidRPr="00AB3312">
        <w:t>p</w:t>
      </w:r>
      <w:r w:rsidRPr="00AB3312">
        <w:t xml:space="preserve">arlament v tomto prípade nenašiel žiadny dôkaz </w:t>
      </w:r>
      <w:proofErr w:type="spellStart"/>
      <w:r w:rsidRPr="00AB3312">
        <w:rPr>
          <w:i/>
        </w:rPr>
        <w:t>fumus</w:t>
      </w:r>
      <w:proofErr w:type="spellEnd"/>
      <w:r w:rsidRPr="00AB3312">
        <w:rPr>
          <w:i/>
        </w:rPr>
        <w:t xml:space="preserve"> </w:t>
      </w:r>
      <w:proofErr w:type="spellStart"/>
      <w:r w:rsidRPr="00AB3312">
        <w:rPr>
          <w:i/>
        </w:rPr>
        <w:t>persecutionis</w:t>
      </w:r>
      <w:proofErr w:type="spellEnd"/>
      <w:r w:rsidRPr="00AB3312">
        <w:t>, t. j. skutkové okolnosti, ktoré by naznačovali, že predmetné súdne konanie sa začalo s úmyslom poškodiť politickú činnosť poslanca ako člena Európskeho parlamentu;</w:t>
      </w:r>
    </w:p>
    <w:p w:rsidR="00940734" w:rsidRPr="00AB3312" w:rsidRDefault="00940734" w:rsidP="00940734">
      <w:pPr>
        <w:pStyle w:val="NormalHanging12a"/>
        <w:widowControl/>
      </w:pPr>
      <w:r w:rsidRPr="00AB3312">
        <w:t>J.</w:t>
      </w:r>
      <w:r w:rsidRPr="00AB3312">
        <w:tab/>
        <w:t xml:space="preserve">keďže na jednej strane </w:t>
      </w:r>
      <w:r w:rsidR="0030009E" w:rsidRPr="00AB3312">
        <w:rPr>
          <w:shd w:val="clear" w:color="auto" w:fill="FFFFFF"/>
        </w:rPr>
        <w:t xml:space="preserve">Európsky </w:t>
      </w:r>
      <w:r w:rsidR="0030009E" w:rsidRPr="00AB3312">
        <w:t>p</w:t>
      </w:r>
      <w:r w:rsidRPr="00AB3312">
        <w:t>arlament nemožno považovať za súd a na druhej strane poslanec nemôže byť v súvislosti s postupom zbavenia imunity považovaný za „obvineného“</w:t>
      </w:r>
      <w:r w:rsidRPr="00AB3312">
        <w:rPr>
          <w:vertAlign w:val="superscript"/>
        </w:rPr>
        <w:footnoteReference w:id="2"/>
      </w:r>
      <w:r w:rsidRPr="00AB3312">
        <w:t>;</w:t>
      </w:r>
    </w:p>
    <w:p w:rsidR="00940734" w:rsidRPr="00AB3312" w:rsidRDefault="00940734" w:rsidP="00940734">
      <w:pPr>
        <w:pStyle w:val="NormalHanging12a"/>
        <w:widowControl/>
      </w:pPr>
      <w:r w:rsidRPr="00AB3312">
        <w:lastRenderedPageBreak/>
        <w:t>1.</w:t>
      </w:r>
      <w:r w:rsidRPr="00AB3312">
        <w:tab/>
        <w:t xml:space="preserve">rozhodol zbaviť </w:t>
      </w:r>
      <w:proofErr w:type="spellStart"/>
      <w:r w:rsidRPr="00AB3312">
        <w:t>Petrasa</w:t>
      </w:r>
      <w:proofErr w:type="spellEnd"/>
      <w:r w:rsidRPr="00AB3312">
        <w:t xml:space="preserve"> </w:t>
      </w:r>
      <w:proofErr w:type="spellStart"/>
      <w:r w:rsidRPr="00AB3312">
        <w:t>Gražulisa</w:t>
      </w:r>
      <w:proofErr w:type="spellEnd"/>
      <w:r w:rsidRPr="00AB3312">
        <w:t xml:space="preserve"> imunity;</w:t>
      </w:r>
    </w:p>
    <w:p w:rsidR="00AE3281" w:rsidRPr="00AB3312" w:rsidRDefault="00940734" w:rsidP="00AE3281">
      <w:pPr>
        <w:widowControl/>
        <w:ind w:left="567" w:hanging="567"/>
      </w:pPr>
      <w:r w:rsidRPr="00AB3312">
        <w:t>2.</w:t>
      </w:r>
      <w:r w:rsidRPr="00AB3312">
        <w:tab/>
        <w:t xml:space="preserve">poveruje svoju predsedníčku, aby bezodkladne postúpila toto rozhodnutie a správu gestorského výboru príslušným orgánom Litovskej republiky a </w:t>
      </w:r>
      <w:proofErr w:type="spellStart"/>
      <w:r w:rsidRPr="00AB3312">
        <w:t>Petrasovi</w:t>
      </w:r>
      <w:proofErr w:type="spellEnd"/>
      <w:r w:rsidRPr="00AB3312">
        <w:t xml:space="preserve"> </w:t>
      </w:r>
      <w:proofErr w:type="spellStart"/>
      <w:r w:rsidRPr="00AB3312">
        <w:t>Gražulisovi</w:t>
      </w:r>
      <w:proofErr w:type="spellEnd"/>
      <w:r w:rsidRPr="00AB3312">
        <w:t>.</w:t>
      </w:r>
    </w:p>
    <w:p w:rsidR="00E365E1" w:rsidRPr="00AB3312" w:rsidRDefault="00E365E1" w:rsidP="007A048D"/>
    <w:sectPr w:rsidR="00E365E1" w:rsidRPr="00AB3312" w:rsidSect="00AE3281">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48D" w:rsidRPr="00AE3281" w:rsidRDefault="007A048D">
      <w:r w:rsidRPr="00AE3281">
        <w:separator/>
      </w:r>
    </w:p>
  </w:endnote>
  <w:endnote w:type="continuationSeparator" w:id="0">
    <w:p w:rsidR="007A048D" w:rsidRPr="00AE3281" w:rsidRDefault="007A048D">
      <w:r w:rsidRPr="00AE32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328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328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32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48D" w:rsidRPr="00AE3281" w:rsidRDefault="007A048D">
      <w:r w:rsidRPr="00AE3281">
        <w:separator/>
      </w:r>
    </w:p>
  </w:footnote>
  <w:footnote w:type="continuationSeparator" w:id="0">
    <w:p w:rsidR="007A048D" w:rsidRPr="00AE3281" w:rsidRDefault="007A048D">
      <w:r w:rsidRPr="00AE3281">
        <w:continuationSeparator/>
      </w:r>
    </w:p>
  </w:footnote>
  <w:footnote w:id="1">
    <w:p w:rsidR="00940734" w:rsidRPr="00AE3281" w:rsidRDefault="00940734" w:rsidP="00AE3281">
      <w:pPr>
        <w:pStyle w:val="FootnoteText"/>
        <w:ind w:left="567" w:hanging="567"/>
        <w:rPr>
          <w:sz w:val="24"/>
          <w:lang w:val="sk-SK"/>
        </w:rPr>
      </w:pPr>
      <w:r w:rsidRPr="00AE3281">
        <w:rPr>
          <w:rStyle w:val="FootnoteReference"/>
          <w:sz w:val="24"/>
          <w:lang w:val="sk-SK"/>
        </w:rPr>
        <w:footnoteRef/>
      </w:r>
      <w:r w:rsidR="00AE3281" w:rsidRPr="00AE3281">
        <w:rPr>
          <w:sz w:val="24"/>
          <w:lang w:val="sk-SK"/>
        </w:rPr>
        <w:t xml:space="preserve"> </w:t>
      </w:r>
      <w:r w:rsidR="00AE3281" w:rsidRPr="00AE3281">
        <w:rPr>
          <w:sz w:val="24"/>
          <w:lang w:val="sk-SK"/>
        </w:rPr>
        <w:tab/>
      </w:r>
      <w:r w:rsidRPr="00AE3281">
        <w:rPr>
          <w:sz w:val="24"/>
          <w:lang w:val="sk-SK"/>
        </w:rPr>
        <w:t xml:space="preserve">Rozsudok Súdneho dvora z 21. októbra 2008, </w:t>
      </w:r>
      <w:proofErr w:type="spellStart"/>
      <w:r w:rsidRPr="00AE3281">
        <w:rPr>
          <w:sz w:val="24"/>
          <w:lang w:val="sk-SK"/>
        </w:rPr>
        <w:t>Marra</w:t>
      </w:r>
      <w:proofErr w:type="spellEnd"/>
      <w:r w:rsidRPr="00AE3281">
        <w:rPr>
          <w:sz w:val="24"/>
          <w:lang w:val="sk-SK"/>
        </w:rPr>
        <w:t xml:space="preserve">/De </w:t>
      </w:r>
      <w:proofErr w:type="spellStart"/>
      <w:r w:rsidRPr="00AE3281">
        <w:rPr>
          <w:sz w:val="24"/>
          <w:lang w:val="sk-SK"/>
        </w:rPr>
        <w:t>Gregorio</w:t>
      </w:r>
      <w:proofErr w:type="spellEnd"/>
      <w:r w:rsidRPr="00AE3281">
        <w:rPr>
          <w:sz w:val="24"/>
          <w:lang w:val="sk-SK"/>
        </w:rPr>
        <w:t xml:space="preserve"> a </w:t>
      </w:r>
      <w:proofErr w:type="spellStart"/>
      <w:r w:rsidRPr="00AE3281">
        <w:rPr>
          <w:sz w:val="24"/>
          <w:lang w:val="sk-SK"/>
        </w:rPr>
        <w:t>Clemente</w:t>
      </w:r>
      <w:proofErr w:type="spellEnd"/>
      <w:r w:rsidRPr="00AE3281">
        <w:rPr>
          <w:sz w:val="24"/>
          <w:lang w:val="sk-SK"/>
        </w:rPr>
        <w:t xml:space="preserve">, C-200/07 a C-201/07, ECLI:EU:C:2008:579; rozsudok Všeobecného súdu z 19. marca 2010, </w:t>
      </w:r>
      <w:proofErr w:type="spellStart"/>
      <w:r w:rsidRPr="00AE3281">
        <w:rPr>
          <w:sz w:val="24"/>
          <w:lang w:val="sk-SK"/>
        </w:rPr>
        <w:t>Gollnisch</w:t>
      </w:r>
      <w:proofErr w:type="spellEnd"/>
      <w:r w:rsidRPr="00AE3281">
        <w:rPr>
          <w:sz w:val="24"/>
          <w:lang w:val="sk-SK"/>
        </w:rPr>
        <w:t xml:space="preserve">/Parlament, T-42/06, ECLI:EU:T:2010:102; rozsudok Súdneho dvora zo 6. septembra 2011, </w:t>
      </w:r>
      <w:proofErr w:type="spellStart"/>
      <w:r w:rsidRPr="00AE3281">
        <w:rPr>
          <w:sz w:val="24"/>
          <w:lang w:val="sk-SK"/>
        </w:rPr>
        <w:t>Patriciello</w:t>
      </w:r>
      <w:proofErr w:type="spellEnd"/>
      <w:r w:rsidRPr="00AE3281">
        <w:rPr>
          <w:sz w:val="24"/>
          <w:lang w:val="sk-SK"/>
        </w:rPr>
        <w:t xml:space="preserve">, C-163/10, ECLI: EU:C:2011:543; rozsudok Všeobecného súdu zo 17. januára 2013, </w:t>
      </w:r>
      <w:proofErr w:type="spellStart"/>
      <w:r w:rsidRPr="00AE3281">
        <w:rPr>
          <w:sz w:val="24"/>
          <w:lang w:val="sk-SK"/>
        </w:rPr>
        <w:t>Gollnisch</w:t>
      </w:r>
      <w:proofErr w:type="spellEnd"/>
      <w:r w:rsidRPr="00AE3281">
        <w:rPr>
          <w:sz w:val="24"/>
          <w:lang w:val="sk-SK"/>
        </w:rPr>
        <w:t xml:space="preserve">/Parlament, T-346/11 a T-347/11, ECLI:EU:T:2013:23; rozsudok Súdneho dvora z 19. decembra 2019, </w:t>
      </w:r>
      <w:proofErr w:type="spellStart"/>
      <w:r w:rsidRPr="00AE3281">
        <w:rPr>
          <w:sz w:val="24"/>
          <w:lang w:val="sk-SK"/>
        </w:rPr>
        <w:t>Junqueras</w:t>
      </w:r>
      <w:proofErr w:type="spellEnd"/>
      <w:r w:rsidRPr="00AE3281">
        <w:rPr>
          <w:sz w:val="24"/>
          <w:lang w:val="sk-SK"/>
        </w:rPr>
        <w:t xml:space="preserve"> </w:t>
      </w:r>
      <w:proofErr w:type="spellStart"/>
      <w:r w:rsidRPr="00AE3281">
        <w:rPr>
          <w:sz w:val="24"/>
          <w:lang w:val="sk-SK"/>
        </w:rPr>
        <w:t>Vies</w:t>
      </w:r>
      <w:proofErr w:type="spellEnd"/>
      <w:r w:rsidRPr="00AE3281">
        <w:rPr>
          <w:sz w:val="24"/>
          <w:lang w:val="sk-SK"/>
        </w:rPr>
        <w:t xml:space="preserve">, C-502/19, ECLI:EU:C:2019:1115; rozsudok Všeobecného súdu z 5. júla 2023, </w:t>
      </w:r>
      <w:proofErr w:type="spellStart"/>
      <w:r w:rsidRPr="00AE3281">
        <w:rPr>
          <w:sz w:val="24"/>
          <w:lang w:val="sk-SK"/>
        </w:rPr>
        <w:t>Puigdemont</w:t>
      </w:r>
      <w:proofErr w:type="spellEnd"/>
      <w:r w:rsidRPr="00AE3281">
        <w:rPr>
          <w:sz w:val="24"/>
          <w:lang w:val="sk-SK"/>
        </w:rPr>
        <w:t xml:space="preserve"> i </w:t>
      </w:r>
      <w:proofErr w:type="spellStart"/>
      <w:r w:rsidRPr="00AE3281">
        <w:rPr>
          <w:sz w:val="24"/>
          <w:lang w:val="sk-SK"/>
        </w:rPr>
        <w:t>Casamajó</w:t>
      </w:r>
      <w:proofErr w:type="spellEnd"/>
      <w:r w:rsidRPr="00AE3281">
        <w:rPr>
          <w:sz w:val="24"/>
          <w:lang w:val="sk-SK"/>
        </w:rPr>
        <w:t xml:space="preserve"> a iní/Parlament, T-272/21, ECLI:EU:T:2023:373.</w:t>
      </w:r>
    </w:p>
  </w:footnote>
  <w:footnote w:id="2">
    <w:p w:rsidR="00940734" w:rsidRPr="00AE3281" w:rsidRDefault="00940734" w:rsidP="00AE3281">
      <w:pPr>
        <w:pStyle w:val="FootnoteText"/>
        <w:ind w:left="567" w:hanging="567"/>
        <w:rPr>
          <w:sz w:val="24"/>
          <w:lang w:val="sk-SK"/>
        </w:rPr>
      </w:pPr>
      <w:r w:rsidRPr="00AE3281">
        <w:rPr>
          <w:rStyle w:val="FootnoteReference"/>
          <w:sz w:val="24"/>
          <w:lang w:val="sk-SK"/>
        </w:rPr>
        <w:footnoteRef/>
      </w:r>
      <w:r w:rsidR="00AE3281" w:rsidRPr="00AE3281">
        <w:rPr>
          <w:sz w:val="24"/>
          <w:lang w:val="sk-SK"/>
        </w:rPr>
        <w:t xml:space="preserve"> </w:t>
      </w:r>
      <w:r w:rsidR="00AE3281" w:rsidRPr="00AE3281">
        <w:rPr>
          <w:sz w:val="24"/>
          <w:lang w:val="sk-SK"/>
        </w:rPr>
        <w:tab/>
      </w:r>
      <w:r w:rsidRPr="00AE3281">
        <w:rPr>
          <w:sz w:val="24"/>
          <w:lang w:val="sk-SK"/>
        </w:rPr>
        <w:t xml:space="preserve">Rozsudok Všeobecného súdu z 30. apríla 2019, </w:t>
      </w:r>
      <w:proofErr w:type="spellStart"/>
      <w:r w:rsidRPr="00AE3281">
        <w:rPr>
          <w:sz w:val="24"/>
          <w:lang w:val="sk-SK"/>
        </w:rPr>
        <w:t>Briois</w:t>
      </w:r>
      <w:proofErr w:type="spellEnd"/>
      <w:r w:rsidRPr="00AE3281">
        <w:rPr>
          <w:sz w:val="24"/>
          <w:lang w:val="sk-SK"/>
        </w:rPr>
        <w:t>/Parlament,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328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328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E32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8/2025"/>
    <w:docVar w:name="dvlangue" w:val="SK"/>
    <w:docVar w:name="dvnumam" w:val="0"/>
    <w:docVar w:name="dvpe" w:val="770.080"/>
    <w:docVar w:name="dvrapporteur" w:val="Spravodajkyňa: "/>
    <w:docVar w:name="dvtitre" w:val="Rozhodnutie Európskeho parlamentu z xx. mája 2025 o žiadosti o zbavenie Petrasa Gražulisa imunity(2024/2089(IMM))"/>
  </w:docVars>
  <w:rsids>
    <w:rsidRoot w:val="007A048D"/>
    <w:rsid w:val="00002272"/>
    <w:rsid w:val="00064002"/>
    <w:rsid w:val="000677B9"/>
    <w:rsid w:val="000831BA"/>
    <w:rsid w:val="000A42CC"/>
    <w:rsid w:val="000E7DD9"/>
    <w:rsid w:val="0010095E"/>
    <w:rsid w:val="00125B37"/>
    <w:rsid w:val="00187494"/>
    <w:rsid w:val="001E7444"/>
    <w:rsid w:val="001F32AE"/>
    <w:rsid w:val="002767FF"/>
    <w:rsid w:val="002B18FE"/>
    <w:rsid w:val="002B5493"/>
    <w:rsid w:val="0030009E"/>
    <w:rsid w:val="00343214"/>
    <w:rsid w:val="00361C00"/>
    <w:rsid w:val="00395FA1"/>
    <w:rsid w:val="003E15D4"/>
    <w:rsid w:val="00411CCE"/>
    <w:rsid w:val="0041666E"/>
    <w:rsid w:val="00421060"/>
    <w:rsid w:val="00471C19"/>
    <w:rsid w:val="004867E3"/>
    <w:rsid w:val="00494A28"/>
    <w:rsid w:val="004B0B7C"/>
    <w:rsid w:val="004C0004"/>
    <w:rsid w:val="004C5D52"/>
    <w:rsid w:val="004E6284"/>
    <w:rsid w:val="0050519A"/>
    <w:rsid w:val="005072A1"/>
    <w:rsid w:val="00514517"/>
    <w:rsid w:val="00545827"/>
    <w:rsid w:val="00560270"/>
    <w:rsid w:val="005C2568"/>
    <w:rsid w:val="005F1B17"/>
    <w:rsid w:val="006037C0"/>
    <w:rsid w:val="006631B6"/>
    <w:rsid w:val="00680577"/>
    <w:rsid w:val="006F5EC9"/>
    <w:rsid w:val="006F74FA"/>
    <w:rsid w:val="00731ADD"/>
    <w:rsid w:val="00734777"/>
    <w:rsid w:val="00747932"/>
    <w:rsid w:val="00751A4A"/>
    <w:rsid w:val="00756632"/>
    <w:rsid w:val="00762C74"/>
    <w:rsid w:val="00786EC0"/>
    <w:rsid w:val="007A048D"/>
    <w:rsid w:val="007D1690"/>
    <w:rsid w:val="007E22AD"/>
    <w:rsid w:val="00817416"/>
    <w:rsid w:val="00842779"/>
    <w:rsid w:val="00865F67"/>
    <w:rsid w:val="00881A7B"/>
    <w:rsid w:val="008840E5"/>
    <w:rsid w:val="00887B3E"/>
    <w:rsid w:val="008C2AC6"/>
    <w:rsid w:val="00930C23"/>
    <w:rsid w:val="0093193B"/>
    <w:rsid w:val="00940734"/>
    <w:rsid w:val="009509D8"/>
    <w:rsid w:val="00950B64"/>
    <w:rsid w:val="00981893"/>
    <w:rsid w:val="00A0367C"/>
    <w:rsid w:val="00A1687D"/>
    <w:rsid w:val="00A43E52"/>
    <w:rsid w:val="00A4678D"/>
    <w:rsid w:val="00A778C7"/>
    <w:rsid w:val="00AA4167"/>
    <w:rsid w:val="00AB3312"/>
    <w:rsid w:val="00AB441E"/>
    <w:rsid w:val="00AB6293"/>
    <w:rsid w:val="00AE0928"/>
    <w:rsid w:val="00AE3281"/>
    <w:rsid w:val="00AF3B82"/>
    <w:rsid w:val="00B12E95"/>
    <w:rsid w:val="00B22876"/>
    <w:rsid w:val="00B558F0"/>
    <w:rsid w:val="00BD48FE"/>
    <w:rsid w:val="00BD7BD8"/>
    <w:rsid w:val="00BE6ADC"/>
    <w:rsid w:val="00C05BFE"/>
    <w:rsid w:val="00C23CD4"/>
    <w:rsid w:val="00C61C0C"/>
    <w:rsid w:val="00C941CB"/>
    <w:rsid w:val="00CC2357"/>
    <w:rsid w:val="00CD3B46"/>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712F75"/>
  <w15:chartTrackingRefBased/>
  <w15:docId w15:val="{4BC17139-4661-43D8-9390-D3989B650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40734"/>
    <w:pPr>
      <w:spacing w:after="240"/>
      <w:ind w:left="567" w:hanging="567"/>
    </w:pPr>
  </w:style>
  <w:style w:type="paragraph" w:customStyle="1" w:styleId="EPComma">
    <w:name w:val="EPComma"/>
    <w:basedOn w:val="Normal"/>
    <w:rsid w:val="00940734"/>
    <w:pPr>
      <w:spacing w:before="48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C36EF8-4E99-4451-871E-AD679D232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674</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Eduard Kutenič</cp:lastModifiedBy>
  <cp:revision>3</cp:revision>
  <cp:lastPrinted>2004-11-19T15:42:00Z</cp:lastPrinted>
  <dcterms:created xsi:type="dcterms:W3CDTF">2025-05-06T09:24:00Z</dcterms:created>
  <dcterms:modified xsi:type="dcterms:W3CDTF">2025-05-06T10:29:00Z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A10-0078/2025</vt:lpwstr>
  </property>
  <property fmtid="{D5CDD505-2E9C-101B-9397-08002B2CF9AE}" pid="4" name="&lt;Type&gt;">
    <vt:lpwstr>RR</vt:lpwstr>
  </property>
</Properties>
</file>