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0FCC" w14:paraId="6EED9F36" w14:textId="77777777" w:rsidTr="0010095E">
        <w:trPr>
          <w:trHeight w:hRule="exact" w:val="1418"/>
        </w:trPr>
        <w:tc>
          <w:tcPr>
            <w:tcW w:w="6804" w:type="dxa"/>
            <w:shd w:val="clear" w:color="auto" w:fill="auto"/>
            <w:vAlign w:val="center"/>
          </w:tcPr>
          <w:p w14:paraId="5780955A" w14:textId="77777777" w:rsidR="00751A4A" w:rsidRPr="004A0FCC" w:rsidRDefault="00FB4804" w:rsidP="0010095E">
            <w:pPr>
              <w:pStyle w:val="EPName"/>
            </w:pPr>
            <w:r w:rsidRPr="004A0FCC">
              <w:t>Europa-Parlamentet</w:t>
            </w:r>
          </w:p>
          <w:p w14:paraId="7AEE75BC" w14:textId="77777777" w:rsidR="00751A4A" w:rsidRPr="004A0FCC" w:rsidRDefault="005F1B17" w:rsidP="005F1B17">
            <w:pPr>
              <w:pStyle w:val="EPTerm"/>
              <w:rPr>
                <w:rStyle w:val="HideTWBExt"/>
                <w:noProof w:val="0"/>
                <w:vanish w:val="0"/>
                <w:color w:val="auto"/>
              </w:rPr>
            </w:pPr>
            <w:r w:rsidRPr="004A0FCC">
              <w:t>2024</w:t>
            </w:r>
            <w:r w:rsidR="00817416" w:rsidRPr="004A0FCC">
              <w:t>-202</w:t>
            </w:r>
            <w:r w:rsidRPr="004A0FCC">
              <w:t>9</w:t>
            </w:r>
          </w:p>
        </w:tc>
        <w:tc>
          <w:tcPr>
            <w:tcW w:w="2268" w:type="dxa"/>
            <w:shd w:val="clear" w:color="auto" w:fill="auto"/>
          </w:tcPr>
          <w:p w14:paraId="2927978C" w14:textId="77777777" w:rsidR="00751A4A" w:rsidRPr="004A0FCC" w:rsidRDefault="00187494" w:rsidP="0010095E">
            <w:pPr>
              <w:pStyle w:val="EPLogo"/>
            </w:pPr>
            <w:r w:rsidRPr="004A0FCC">
              <w:rPr>
                <w:noProof/>
                <w:lang w:eastAsia="da-DK"/>
              </w:rPr>
              <w:drawing>
                <wp:inline distT="0" distB="0" distL="0" distR="0" wp14:anchorId="18847C3B" wp14:editId="2D9E9C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D01D427" w14:textId="77777777" w:rsidR="00D058B8" w:rsidRPr="004A0FCC" w:rsidRDefault="00D058B8" w:rsidP="004C5D52">
      <w:pPr>
        <w:pStyle w:val="LineTop"/>
      </w:pPr>
    </w:p>
    <w:p w14:paraId="3A34A79F" w14:textId="77777777" w:rsidR="00680577" w:rsidRPr="004A0FCC" w:rsidRDefault="00FB4804" w:rsidP="00680577">
      <w:pPr>
        <w:pStyle w:val="EPBodyTA1"/>
      </w:pPr>
      <w:r w:rsidRPr="004A0FCC">
        <w:t>VEDTAGNE TEKSTER</w:t>
      </w:r>
    </w:p>
    <w:p w14:paraId="110F553B" w14:textId="77777777" w:rsidR="00D058B8" w:rsidRPr="004A0FCC" w:rsidRDefault="00D058B8" w:rsidP="00D058B8">
      <w:pPr>
        <w:pStyle w:val="LineBottom"/>
      </w:pPr>
    </w:p>
    <w:p w14:paraId="14458371" w14:textId="76666CCE" w:rsidR="00FB4804" w:rsidRPr="004A0FCC" w:rsidRDefault="00FB4804" w:rsidP="00FB4804">
      <w:pPr>
        <w:pStyle w:val="ATHeading1"/>
      </w:pPr>
      <w:bookmarkStart w:id="0" w:name="TANumber"/>
      <w:r w:rsidRPr="004A0FCC">
        <w:t>P10_TA(2025)00</w:t>
      </w:r>
      <w:bookmarkEnd w:id="0"/>
      <w:r w:rsidR="007A78B7">
        <w:t>69</w:t>
      </w:r>
      <w:bookmarkStart w:id="1" w:name="_GoBack"/>
      <w:bookmarkEnd w:id="1"/>
    </w:p>
    <w:p w14:paraId="49D032B5" w14:textId="77777777" w:rsidR="00FB4804" w:rsidRPr="004A0FCC" w:rsidRDefault="002C09E8" w:rsidP="00FB4804">
      <w:pPr>
        <w:pStyle w:val="ATHeading2"/>
      </w:pPr>
      <w:bookmarkStart w:id="2" w:name="title"/>
      <w:r>
        <w:t>A</w:t>
      </w:r>
      <w:r w:rsidR="00FB4804" w:rsidRPr="004A0FCC">
        <w:t>nmodning om ophævelse af Grzegorz Brauns immunitet</w:t>
      </w:r>
      <w:bookmarkEnd w:id="2"/>
    </w:p>
    <w:p w14:paraId="53362D7C" w14:textId="77777777" w:rsidR="00FB4804" w:rsidRPr="004A0FCC" w:rsidRDefault="00FB4804" w:rsidP="00FB4804">
      <w:pPr>
        <w:rPr>
          <w:i/>
          <w:vanish/>
        </w:rPr>
      </w:pPr>
      <w:r w:rsidRPr="004A0FCC">
        <w:rPr>
          <w:i/>
        </w:rPr>
        <w:fldChar w:fldCharType="begin"/>
      </w:r>
      <w:r w:rsidRPr="004A0FCC">
        <w:rPr>
          <w:i/>
        </w:rPr>
        <w:instrText xml:space="preserve"> TC"(</w:instrText>
      </w:r>
      <w:bookmarkStart w:id="3" w:name="DocNumber"/>
      <w:r w:rsidRPr="004A0FCC">
        <w:rPr>
          <w:i/>
        </w:rPr>
        <w:instrText>A10-0081/2025</w:instrText>
      </w:r>
      <w:bookmarkEnd w:id="3"/>
      <w:r w:rsidRPr="004A0FCC">
        <w:rPr>
          <w:i/>
        </w:rPr>
        <w:instrText xml:space="preserve"> - Ordfører: </w:instrText>
      </w:r>
      <w:proofErr w:type="spellStart"/>
      <w:r w:rsidRPr="004A0FCC">
        <w:rPr>
          <w:i/>
        </w:rPr>
        <w:instrText>Dainius</w:instrText>
      </w:r>
      <w:proofErr w:type="spellEnd"/>
      <w:r w:rsidRPr="004A0FCC">
        <w:rPr>
          <w:i/>
        </w:rPr>
        <w:instrText xml:space="preserve"> </w:instrText>
      </w:r>
      <w:proofErr w:type="spellStart"/>
      <w:r w:rsidRPr="004A0FCC">
        <w:rPr>
          <w:i/>
        </w:rPr>
        <w:instrText>Žalimas</w:instrText>
      </w:r>
      <w:proofErr w:type="spellEnd"/>
      <w:r w:rsidRPr="004A0FCC">
        <w:rPr>
          <w:i/>
        </w:rPr>
        <w:instrText xml:space="preserve">)"\l3 \n&gt; \* MERGEFORMAT </w:instrText>
      </w:r>
      <w:r w:rsidRPr="004A0FCC">
        <w:rPr>
          <w:i/>
        </w:rPr>
        <w:fldChar w:fldCharType="end"/>
      </w:r>
    </w:p>
    <w:p w14:paraId="607BBED1" w14:textId="77777777" w:rsidR="00FB4804" w:rsidRPr="004A0FCC" w:rsidRDefault="00FB4804" w:rsidP="00FB4804">
      <w:pPr>
        <w:rPr>
          <w:vanish/>
        </w:rPr>
      </w:pPr>
      <w:bookmarkStart w:id="4" w:name="Commission"/>
      <w:r w:rsidRPr="004A0FCC">
        <w:rPr>
          <w:vanish/>
        </w:rPr>
        <w:t>Retsudvalget</w:t>
      </w:r>
      <w:bookmarkEnd w:id="4"/>
    </w:p>
    <w:p w14:paraId="065450CA" w14:textId="77777777" w:rsidR="00FB4804" w:rsidRPr="004A0FCC" w:rsidRDefault="00FB4804" w:rsidP="00FB4804">
      <w:pPr>
        <w:rPr>
          <w:vanish/>
        </w:rPr>
      </w:pPr>
      <w:bookmarkStart w:id="5" w:name="PE"/>
      <w:r w:rsidRPr="004A0FCC">
        <w:rPr>
          <w:vanish/>
        </w:rPr>
        <w:t>PE770.079</w:t>
      </w:r>
      <w:bookmarkEnd w:id="5"/>
    </w:p>
    <w:p w14:paraId="6BAC0855" w14:textId="12DE0317" w:rsidR="00FB4804" w:rsidRPr="004A0FCC" w:rsidRDefault="00FB4804" w:rsidP="00FB4804">
      <w:pPr>
        <w:pStyle w:val="ATHeading3"/>
      </w:pPr>
      <w:bookmarkStart w:id="6" w:name="Sujet"/>
      <w:r w:rsidRPr="004A0FCC">
        <w:t xml:space="preserve">Europa-Parlamentets afgørelse af </w:t>
      </w:r>
      <w:r w:rsidR="002856D9">
        <w:t>6</w:t>
      </w:r>
      <w:r w:rsidRPr="004A0FCC">
        <w:t>.</w:t>
      </w:r>
      <w:r w:rsidR="002C09E8">
        <w:t xml:space="preserve"> maj</w:t>
      </w:r>
      <w:r w:rsidRPr="004A0FCC">
        <w:t xml:space="preserve"> 2025 om anmodning om ophævelse af Grzegorz Brauns immunitet</w:t>
      </w:r>
      <w:bookmarkEnd w:id="6"/>
      <w:r w:rsidRPr="004A0FCC">
        <w:t xml:space="preserve"> </w:t>
      </w:r>
      <w:bookmarkStart w:id="7" w:name="References"/>
      <w:r w:rsidRPr="004A0FCC">
        <w:t>(2024/2102(IMM))</w:t>
      </w:r>
      <w:bookmarkEnd w:id="7"/>
    </w:p>
    <w:p w14:paraId="41C89280" w14:textId="77777777" w:rsidR="00142E79" w:rsidRPr="004A0FCC" w:rsidRDefault="00142E79" w:rsidP="00142E79">
      <w:pPr>
        <w:pStyle w:val="EPComma"/>
      </w:pPr>
      <w:bookmarkStart w:id="8" w:name="TextBodyBegin"/>
      <w:bookmarkEnd w:id="8"/>
      <w:r w:rsidRPr="004A0FCC">
        <w:rPr>
          <w:i/>
        </w:rPr>
        <w:t>Europa-Parlamentet</w:t>
      </w:r>
      <w:r w:rsidRPr="004A0FCC">
        <w:t>,</w:t>
      </w:r>
    </w:p>
    <w:p w14:paraId="46A90873" w14:textId="35AB34E5" w:rsidR="002856D9" w:rsidRPr="004A0FCC" w:rsidRDefault="00142E79" w:rsidP="002856D9">
      <w:pPr>
        <w:pStyle w:val="NormalHanging12a"/>
      </w:pPr>
      <w:r w:rsidRPr="004A0FCC">
        <w:t>–</w:t>
      </w:r>
      <w:r w:rsidRPr="004A0FCC">
        <w:tab/>
        <w:t xml:space="preserve">der henviser til anmodning </w:t>
      </w:r>
      <w:r w:rsidR="00437266" w:rsidRPr="004A0FCC">
        <w:t xml:space="preserve">af 29. oktober 2024 </w:t>
      </w:r>
      <w:r w:rsidRPr="004A0FCC">
        <w:t xml:space="preserve">om ophævelse af Grzegorz Brauns immunitet fra </w:t>
      </w:r>
      <w:r w:rsidR="00C624B0">
        <w:t xml:space="preserve">den polske </w:t>
      </w:r>
      <w:r w:rsidRPr="004A0FCC">
        <w:t>statsadvokatur med fremsendelse af en anmodning indgivet af den regionale anklagemyndighed i Warszawa i forbindelse med en straffesag mod Grzegorz Braun</w:t>
      </w:r>
      <w:r w:rsidR="00E2497C">
        <w:t>,</w:t>
      </w:r>
      <w:r w:rsidRPr="004A0FCC">
        <w:t xml:space="preserve"> og </w:t>
      </w:r>
      <w:r w:rsidR="00437266">
        <w:t>hvorom der blev givet meddelelse</w:t>
      </w:r>
      <w:r w:rsidR="00437266" w:rsidRPr="004A0FCC">
        <w:t xml:space="preserve"> </w:t>
      </w:r>
      <w:r w:rsidRPr="004A0FCC">
        <w:t>på plenarmødet den 14. november 2024,</w:t>
      </w:r>
    </w:p>
    <w:p w14:paraId="5DB5F659" w14:textId="77777777" w:rsidR="00142E79" w:rsidRPr="004A0FCC" w:rsidRDefault="00142E79" w:rsidP="00142E79">
      <w:pPr>
        <w:pStyle w:val="NormalHanging12a"/>
      </w:pPr>
      <w:r w:rsidRPr="004A0FCC">
        <w:t>–</w:t>
      </w:r>
      <w:r w:rsidRPr="004A0FCC">
        <w:tab/>
        <w:t>der henviser til, at Grzegorz Braun anses for at have givet afkald på sin ret til at blive hørt i henhold til forretningsordenens artikel 9, stk. 6,</w:t>
      </w:r>
    </w:p>
    <w:p w14:paraId="28B8949E" w14:textId="77777777" w:rsidR="00142E79" w:rsidRPr="004A0FCC" w:rsidRDefault="00142E79" w:rsidP="00142E79">
      <w:pPr>
        <w:pStyle w:val="NormalHanging12a"/>
      </w:pPr>
      <w:r w:rsidRPr="004A0FCC">
        <w:t>–</w:t>
      </w:r>
      <w:r w:rsidRPr="004A0FCC">
        <w:tab/>
        <w:t>der henviser til artikel 8 og 9 i protokol nr. 7 vedrørende Den Europæiske Unions privilegier og immuniteter samt artikel 6, stk. 2, i akten af 20. september 1976 om almindelige direkte valg af medlemmerne af Europa-Parlamentet,</w:t>
      </w:r>
    </w:p>
    <w:p w14:paraId="4C2A3489" w14:textId="77777777" w:rsidR="00142E79" w:rsidRPr="004A0FCC" w:rsidRDefault="00142E79" w:rsidP="00142E79">
      <w:pPr>
        <w:pStyle w:val="NormalHanging12a"/>
      </w:pPr>
      <w:r w:rsidRPr="004A0FCC">
        <w:t>–</w:t>
      </w:r>
      <w:r w:rsidRPr="004A0FCC">
        <w:tab/>
        <w:t>der henviser til de domme, som Den Europæiske Unions Domstol har afsagt den 21. oktober 2008, 19. marts 2010, 6. september 2011, 17. januar 2013, 19. december 2019 og 5. juli 2023</w:t>
      </w:r>
      <w:r w:rsidRPr="004A0FCC">
        <w:rPr>
          <w:rStyle w:val="FootnoteReference"/>
          <w:color w:val="000000"/>
        </w:rPr>
        <w:footnoteReference w:id="1"/>
      </w:r>
      <w:r w:rsidRPr="004A0FCC">
        <w:t>,</w:t>
      </w:r>
    </w:p>
    <w:p w14:paraId="0A2E3C05" w14:textId="77777777" w:rsidR="00142E79" w:rsidRPr="004A0FCC" w:rsidRDefault="00142E79" w:rsidP="00142E79">
      <w:pPr>
        <w:pStyle w:val="NormalHanging12a"/>
      </w:pPr>
      <w:r w:rsidRPr="004A0FCC">
        <w:t>–</w:t>
      </w:r>
      <w:r w:rsidRPr="004A0FCC">
        <w:tab/>
        <w:t>der henviser til artikel 105, stk. 2 og 5, i Republikken Polens forfatning,</w:t>
      </w:r>
    </w:p>
    <w:p w14:paraId="2AC153E6" w14:textId="77777777" w:rsidR="00142E79" w:rsidRPr="004A0FCC" w:rsidRDefault="00142E79" w:rsidP="00142E79">
      <w:pPr>
        <w:pStyle w:val="NormalHanging12a"/>
      </w:pPr>
      <w:r w:rsidRPr="004A0FCC">
        <w:t>–</w:t>
      </w:r>
      <w:r w:rsidRPr="004A0FCC">
        <w:tab/>
        <w:t>der henviser til forretningsordenens artikel 5, stk. 2, artikel 6, stk. 1, og artikel 9,</w:t>
      </w:r>
    </w:p>
    <w:p w14:paraId="55BC6E5A" w14:textId="77777777" w:rsidR="00142E79" w:rsidRPr="004A0FCC" w:rsidRDefault="00142E79" w:rsidP="00142E79">
      <w:pPr>
        <w:pStyle w:val="NormalHanging12a"/>
      </w:pPr>
      <w:r w:rsidRPr="004A0FCC">
        <w:lastRenderedPageBreak/>
        <w:t>–</w:t>
      </w:r>
      <w:r w:rsidRPr="004A0FCC">
        <w:tab/>
        <w:t>der henviser til betænkning fra Retsudvalget (A10-0081/2025),</w:t>
      </w:r>
    </w:p>
    <w:p w14:paraId="38E25DB2" w14:textId="29724CDF" w:rsidR="00142E79" w:rsidRPr="004A0FCC" w:rsidRDefault="00142E79" w:rsidP="00142E79">
      <w:pPr>
        <w:pStyle w:val="NormalHanging12a"/>
      </w:pPr>
      <w:r w:rsidRPr="004A0FCC">
        <w:t>A.</w:t>
      </w:r>
      <w:r w:rsidRPr="004A0FCC">
        <w:tab/>
        <w:t xml:space="preserve">der henviser til, at </w:t>
      </w:r>
      <w:r w:rsidR="00C624B0">
        <w:t xml:space="preserve">den polske </w:t>
      </w:r>
      <w:r w:rsidRPr="004A0FCC">
        <w:t>statsadvokatur ved skrivelse af 29. oktober 2024 fremsendte en anmodning om ophævelse af Grzegorz Brauns immunitet, der var indgivet af den regionale anklagemyndighed i Warszawa, i forbindelse med flere påståede lovovertrædelser, der fandt sted i 2022 og 2023;</w:t>
      </w:r>
    </w:p>
    <w:p w14:paraId="5F3137D3" w14:textId="2B066AE3" w:rsidR="00142E79" w:rsidRPr="004A0FCC" w:rsidRDefault="00142E79" w:rsidP="00142E79">
      <w:pPr>
        <w:pStyle w:val="NormalHanging12a"/>
      </w:pPr>
      <w:r w:rsidRPr="004A0FCC">
        <w:rPr>
          <w:shd w:val="clear" w:color="auto" w:fill="FFFFFF"/>
        </w:rPr>
        <w:t>B.</w:t>
      </w:r>
      <w:r w:rsidRPr="004A0FCC">
        <w:rPr>
          <w:shd w:val="clear" w:color="auto" w:fill="FFFFFF"/>
        </w:rPr>
        <w:tab/>
      </w:r>
      <w:r w:rsidRPr="004A0FCC">
        <w:t>der henviser til, at det fremgår af anmodningen, at Grzegorz Braun den 1. marts 2022 i bygningen for det nationale institut for kardiologi – statens forskningsinstitut angiveligt krænkede en offentlig tjenestemands fysiske integritet, idet vedkommende handlede i sin egenskab af direktør for det nationale institut for kardiologi</w:t>
      </w:r>
      <w:r w:rsidR="00C624B0">
        <w:t>,</w:t>
      </w:r>
      <w:r w:rsidRPr="004A0FCC">
        <w:t xml:space="preserve"> under og i forbindelse med denne tjenestemands udførelse af officielle opgaver; der henviser til, at de påståede handlinger udgør en lovovertrædelse i henhold til den polske straffelovs artikel 221, stk. 1, og samme lovs artikel 191, stk. 1, sammenholdt med lovens artikel 11, stk. 2;</w:t>
      </w:r>
    </w:p>
    <w:p w14:paraId="7E378266" w14:textId="20FBC3C8" w:rsidR="00142E79" w:rsidRPr="004A0FCC" w:rsidRDefault="00142E79" w:rsidP="00142E79">
      <w:pPr>
        <w:pStyle w:val="NormalHanging12a"/>
      </w:pPr>
      <w:r w:rsidRPr="004A0FCC">
        <w:rPr>
          <w:shd w:val="clear" w:color="auto" w:fill="FFFFFF"/>
        </w:rPr>
        <w:t>C.</w:t>
      </w:r>
      <w:r w:rsidRPr="004A0FCC">
        <w:rPr>
          <w:shd w:val="clear" w:color="auto" w:fill="FFFFFF"/>
        </w:rPr>
        <w:tab/>
        <w:t>der henviser til, at</w:t>
      </w:r>
      <w:r w:rsidRPr="004A0FCC">
        <w:t xml:space="preserve"> Grzegorz Braun den 1. marts 2022 angiveligt fornærmede direktøren for det nationale institut for kardiologi under og i forbindelse med denne tjenestemands udførelse af officielle opgaver, ved at fremsætte beskyldninger mod ham og ved at </w:t>
      </w:r>
      <w:proofErr w:type="spellStart"/>
      <w:r w:rsidRPr="004A0FCC">
        <w:t>streame</w:t>
      </w:r>
      <w:proofErr w:type="spellEnd"/>
      <w:r w:rsidRPr="004A0FCC">
        <w:t xml:space="preserve"> begivenhederne på internettet, hvilket angiveligt kunne have skadet tjenestemandens offentlige omdømme og sandsynliggjort tab af den nødvendige tillid til ham til at varetage sin rolle som direktør for det nationale institut for kardiologi og udøve virksomhed som læge;</w:t>
      </w:r>
      <w:r w:rsidRPr="004A0FCC">
        <w:rPr>
          <w:color w:val="000000"/>
        </w:rPr>
        <w:t xml:space="preserve"> </w:t>
      </w:r>
      <w:r w:rsidRPr="004A0FCC">
        <w:t>der henviser til, at de påståede handlinger udgør en lovovertrædelse i henhold til den polske straffelovs artikel 226, stk. 1, og samme lovs artikel 212, stk. 1 og 2, sammenholdt med lovens artikel 11, stk. 2;</w:t>
      </w:r>
    </w:p>
    <w:p w14:paraId="329280B6" w14:textId="4EC76142" w:rsidR="00142E79" w:rsidRPr="004A0FCC" w:rsidRDefault="00142E79" w:rsidP="00142E79">
      <w:pPr>
        <w:pStyle w:val="NormalHanging12a"/>
      </w:pPr>
      <w:r w:rsidRPr="004A0FCC">
        <w:rPr>
          <w:shd w:val="clear" w:color="auto" w:fill="FFFFFF"/>
        </w:rPr>
        <w:t>D.</w:t>
      </w:r>
      <w:r w:rsidRPr="004A0FCC">
        <w:rPr>
          <w:shd w:val="clear" w:color="auto" w:fill="FFFFFF"/>
        </w:rPr>
        <w:tab/>
        <w:t>der henviser til,</w:t>
      </w:r>
      <w:r w:rsidRPr="004A0FCC">
        <w:t xml:space="preserve"> at Grzegorz Braun den 27. januar 2023 angiveligt beskadigede et juletræ og ødelagde dekorationer, der tilhørte to polske foreninger, hvis kontorer befandt sig i </w:t>
      </w:r>
      <w:proofErr w:type="spellStart"/>
      <w:r w:rsidR="00C624B0" w:rsidRPr="004A0FCC">
        <w:t>Kraków</w:t>
      </w:r>
      <w:r w:rsidR="00C624B0">
        <w:t>s</w:t>
      </w:r>
      <w:proofErr w:type="spellEnd"/>
      <w:r w:rsidR="00C624B0" w:rsidRPr="004A0FCC" w:rsidDel="00C624B0">
        <w:t xml:space="preserve"> </w:t>
      </w:r>
      <w:r w:rsidRPr="004A0FCC">
        <w:t xml:space="preserve">regionale domstols bygning, og at en sådan </w:t>
      </w:r>
      <w:proofErr w:type="spellStart"/>
      <w:r w:rsidRPr="004A0FCC">
        <w:t>skadeforvoldelse</w:t>
      </w:r>
      <w:proofErr w:type="spellEnd"/>
      <w:r w:rsidRPr="004A0FCC">
        <w:t xml:space="preserve"> udgør en lovovertrædelse i henhold til den polske straffelovs artikel 288, stk. 1;</w:t>
      </w:r>
    </w:p>
    <w:p w14:paraId="3960911F" w14:textId="41203904" w:rsidR="00142E79" w:rsidRPr="004A0FCC" w:rsidRDefault="00142E79" w:rsidP="00142E79">
      <w:pPr>
        <w:pStyle w:val="NormalHanging12a"/>
      </w:pPr>
      <w:r w:rsidRPr="004A0FCC">
        <w:rPr>
          <w:shd w:val="clear" w:color="auto" w:fill="FFFFFF"/>
        </w:rPr>
        <w:t>E.</w:t>
      </w:r>
      <w:r w:rsidRPr="004A0FCC">
        <w:rPr>
          <w:shd w:val="clear" w:color="auto" w:fill="FFFFFF"/>
        </w:rPr>
        <w:tab/>
      </w:r>
      <w:r w:rsidRPr="004A0FCC">
        <w:t>der henviser til, at Grzegorz Braun ved det tyske historiske instituts hoved</w:t>
      </w:r>
      <w:r w:rsidR="00C624B0">
        <w:t>sæde</w:t>
      </w:r>
      <w:r w:rsidRPr="004A0FCC">
        <w:t xml:space="preserve"> i Warszawa den 30. maj 2023 angiveligt forvoldte skade på ejendom tilhørende det tyske historiske institut, hvilket udgør en lovovertrædelse i henhold til den polske straffelovs artikel 288, stk. 1;</w:t>
      </w:r>
    </w:p>
    <w:p w14:paraId="48AC2548" w14:textId="77777777" w:rsidR="00142E79" w:rsidRPr="004A0FCC" w:rsidRDefault="00142E79" w:rsidP="00142E79">
      <w:pPr>
        <w:pStyle w:val="NormalHanging12a"/>
      </w:pPr>
      <w:r w:rsidRPr="004A0FCC">
        <w:rPr>
          <w:shd w:val="clear" w:color="auto" w:fill="FFFFFF"/>
        </w:rPr>
        <w:t>F.</w:t>
      </w:r>
      <w:r w:rsidRPr="004A0FCC">
        <w:rPr>
          <w:shd w:val="clear" w:color="auto" w:fill="FFFFFF"/>
        </w:rPr>
        <w:tab/>
      </w:r>
      <w:r w:rsidRPr="004A0FCC">
        <w:t>der henviser til, at Grzegorz Braun den 30. maj 2023 angiveligt undlod at forlade det tyske historiske instituts hovedsæde, selv om han blev anmodet herom af en bemyndiget person, hvilket udgør en lovovertrædelse i henhold til den polske straffelovs artikel 193, stk. 1;</w:t>
      </w:r>
    </w:p>
    <w:p w14:paraId="0F1F1EE4" w14:textId="77777777" w:rsidR="00142E79" w:rsidRPr="004A0FCC" w:rsidRDefault="00142E79" w:rsidP="00142E79">
      <w:pPr>
        <w:pStyle w:val="NormalHanging12a"/>
        <w:rPr>
          <w:color w:val="000000"/>
        </w:rPr>
      </w:pPr>
      <w:r w:rsidRPr="004A0FCC">
        <w:rPr>
          <w:shd w:val="clear" w:color="auto" w:fill="FFFFFF"/>
        </w:rPr>
        <w:t>G.</w:t>
      </w:r>
      <w:r w:rsidRPr="004A0FCC">
        <w:rPr>
          <w:shd w:val="clear" w:color="auto" w:fill="FFFFFF"/>
        </w:rPr>
        <w:tab/>
        <w:t>der henviser til, at</w:t>
      </w:r>
      <w:r w:rsidRPr="004A0FCC">
        <w:t xml:space="preserve"> Grzegorz Braun den 12. december 2023 i den polske Sejm angiveligt offentligt fornærmede en gruppe mennesker på grund af deres religiøse tilhørsforhold og angiveligt offentligt fornærmede et religiøst symbol (en </w:t>
      </w:r>
      <w:proofErr w:type="spellStart"/>
      <w:r w:rsidRPr="004A0FCC">
        <w:t>menorah</w:t>
      </w:r>
      <w:proofErr w:type="spellEnd"/>
      <w:r w:rsidRPr="004A0FCC">
        <w:t>) ved at slukke de tændte stearinlys med en brandslukker og derved angiveligt krænkede jødernes religiøse følelser, hvilket udgør en lovovertrædelse i henhold til den polske straffelovs artikel 257 og samme lovs artikel 195, stk. 1, og artikel 196, sammenholdt med denne lovs artikel 11, stk. 2;</w:t>
      </w:r>
    </w:p>
    <w:p w14:paraId="37F0BB3D" w14:textId="62DBA67E" w:rsidR="00142E79" w:rsidRPr="004A0FCC" w:rsidRDefault="00142E79" w:rsidP="00142E79">
      <w:pPr>
        <w:pStyle w:val="NormalHanging12a"/>
      </w:pPr>
      <w:r w:rsidRPr="004A0FCC">
        <w:rPr>
          <w:shd w:val="clear" w:color="auto" w:fill="FFFFFF"/>
        </w:rPr>
        <w:t>H.</w:t>
      </w:r>
      <w:r w:rsidRPr="004A0FCC">
        <w:rPr>
          <w:shd w:val="clear" w:color="auto" w:fill="FFFFFF"/>
        </w:rPr>
        <w:tab/>
      </w:r>
      <w:r w:rsidRPr="004A0FCC">
        <w:t xml:space="preserve">der henviser til, at Grzegorz Braun den 12. december 2023 i den polske Sejm angiveligt krænkede den fysiske integritet hos en forurettet, der greb ind med henblik på at beskytte den offentlige orden, ved at sigte mod den forurettede person med en </w:t>
      </w:r>
      <w:r w:rsidRPr="004A0FCC">
        <w:lastRenderedPageBreak/>
        <w:t>brandslukker indeholdende et pulverstof;</w:t>
      </w:r>
      <w:r w:rsidRPr="004A0FCC">
        <w:rPr>
          <w:color w:val="000000"/>
        </w:rPr>
        <w:t xml:space="preserve"> </w:t>
      </w:r>
      <w:r w:rsidRPr="004A0FCC">
        <w:t>der henviser til, at Grzegorz Braun angiveligt forårsage</w:t>
      </w:r>
      <w:r w:rsidR="00C624B0">
        <w:t>de</w:t>
      </w:r>
      <w:r w:rsidRPr="004A0FCC">
        <w:t xml:space="preserve"> mindre skader af en varighed på op til syv dage på den forurettede persons helbred, hvilket udgør en lovovertrædelse i henhold til den polske straffelovs artikel 157, stk. 2, og samme lovs artikel 217a, sammenholdt med denne lovs artikel 11, stk. 2;</w:t>
      </w:r>
    </w:p>
    <w:p w14:paraId="294BE5A8" w14:textId="378DA082" w:rsidR="00142E79" w:rsidRPr="004A0FCC" w:rsidRDefault="00142E79" w:rsidP="00142E79">
      <w:pPr>
        <w:pStyle w:val="NormalHanging12a"/>
      </w:pPr>
      <w:r w:rsidRPr="004A0FCC">
        <w:t>I.</w:t>
      </w:r>
      <w:r w:rsidRPr="004A0FCC">
        <w:tab/>
        <w:t>der henviser til, at efterforskningen i forbindelse med de påståede overtrædelser, der er beskrevet i anmodningen om ophævelse</w:t>
      </w:r>
      <w:r w:rsidR="00C624B0">
        <w:t xml:space="preserve"> af immunitet</w:t>
      </w:r>
      <w:r w:rsidRPr="004A0FCC">
        <w:t>, oprindeligt blev indledt den 25. maj 2023, hvor Grzegorz Braun nød immunitet som medlem af den polske Sejm; der henviser til, at den polske Sejm den 17. januar 2024 gav samtykke til, at der blev rejst tiltale mod Grzegorz Braun for de lovovertrædelser, der er beskrevet i anmodningen;</w:t>
      </w:r>
      <w:r w:rsidRPr="004A0FCC">
        <w:rPr>
          <w:shd w:val="clear" w:color="auto" w:fill="FFFFFF"/>
        </w:rPr>
        <w:t xml:space="preserve"> der henviser til, at</w:t>
      </w:r>
      <w:r w:rsidRPr="004A0FCC">
        <w:t xml:space="preserve"> Grzegorz Braun </w:t>
      </w:r>
      <w:r w:rsidRPr="004A0FCC">
        <w:rPr>
          <w:shd w:val="clear" w:color="auto" w:fill="FFFFFF"/>
        </w:rPr>
        <w:t>blev valgt til Europa-Parlamentet ved valget til Europa-Parlamentet i juni 2024</w:t>
      </w:r>
      <w:r w:rsidRPr="004A0FCC">
        <w:t xml:space="preserve">; </w:t>
      </w:r>
      <w:r w:rsidRPr="004A0FCC">
        <w:rPr>
          <w:shd w:val="clear" w:color="auto" w:fill="FFFFFF"/>
        </w:rPr>
        <w:t>der henviser til, at</w:t>
      </w:r>
      <w:r w:rsidRPr="004A0FCC">
        <w:t xml:space="preserve"> Grzegorz Braun</w:t>
      </w:r>
      <w:r w:rsidRPr="004A0FCC">
        <w:rPr>
          <w:shd w:val="clear" w:color="auto" w:fill="FFFFFF"/>
        </w:rPr>
        <w:t xml:space="preserve"> ikke var medlem af Europa-Parlamentet på tidspunktet for de påståede lovovertrædelser;</w:t>
      </w:r>
    </w:p>
    <w:p w14:paraId="5FB63758" w14:textId="330E38CB" w:rsidR="00142E79" w:rsidRPr="004A0FCC" w:rsidRDefault="00142E79" w:rsidP="00142E79">
      <w:pPr>
        <w:pStyle w:val="NormalHanging12a"/>
      </w:pPr>
      <w:r w:rsidRPr="004A0FCC">
        <w:t>J.</w:t>
      </w:r>
      <w:r w:rsidRPr="004A0FCC">
        <w:tab/>
        <w:t xml:space="preserve">der henviser til, at de påståede lovovertrædelser og den efterfølgende anmodning om ophævelse af immunitet ikke </w:t>
      </w:r>
      <w:r w:rsidR="00551C0E">
        <w:t>vedrører</w:t>
      </w:r>
      <w:r w:rsidRPr="004A0FCC">
        <w:t xml:space="preserve"> en meningstilkendegivelse eller en stemme afgivet under udøvelsen af hans hverv, </w:t>
      </w:r>
      <w:r w:rsidR="00437266">
        <w:t>som omhandlet i</w:t>
      </w:r>
      <w:r w:rsidRPr="004A0FCC">
        <w:t xml:space="preserve"> artikel 8 i protokol nr. 7 vedrørende Den Europæiske Unions privilegier og immuniteter;</w:t>
      </w:r>
    </w:p>
    <w:p w14:paraId="6C761896" w14:textId="77777777" w:rsidR="00142E79" w:rsidRPr="004A0FCC" w:rsidRDefault="00142E79" w:rsidP="00142E79">
      <w:pPr>
        <w:pStyle w:val="NormalHanging12a"/>
      </w:pPr>
      <w:r w:rsidRPr="004A0FCC">
        <w:t>K.</w:t>
      </w:r>
      <w:r w:rsidRPr="004A0FCC">
        <w:tab/>
        <w:t>der henviser til, at artikel 9, stk. 1, litra a), i protokol nr. 7 vedrørende Den Europæiske Unions privilegier og immuniteter fastsætter, at Europa-Parlamentets medlemmer på deres eget lands område nyder de immuniteter, der tilstås medlemmerne af deres lands lovgivende forsamling;</w:t>
      </w:r>
    </w:p>
    <w:p w14:paraId="099A28BC" w14:textId="77777777" w:rsidR="00142E79" w:rsidRPr="004A0FCC" w:rsidRDefault="00142E79" w:rsidP="00142E79">
      <w:pPr>
        <w:pStyle w:val="NormalHanging12a"/>
      </w:pPr>
      <w:r w:rsidRPr="004A0FCC">
        <w:t>L.</w:t>
      </w:r>
      <w:r w:rsidRPr="004A0FCC">
        <w:tab/>
        <w:t>der henviser til, at det fastslås i den polske forfatnings artikel 105, stk. 2 og 5, at et parlamentsmedlem fra datoen for meddelelsen af valgresultatet indtil datoen for udløbet af sit mandat ikke kan strafforfølges uden samtykke fra den polske Sejm, og at medlemmet hverken må tilbageholdes eller anholdes uden samtykke fra Sejm, medmindre vedkommende er pågrebet på fersk gerning, og en tilbageholdelse er nødvendig for at sikre en korrekt behandling af sagen;</w:t>
      </w:r>
    </w:p>
    <w:p w14:paraId="7A1959AF" w14:textId="77777777" w:rsidR="00142E79" w:rsidRPr="004A0FCC" w:rsidRDefault="00142E79" w:rsidP="00142E79">
      <w:pPr>
        <w:pStyle w:val="NormalHanging12a"/>
      </w:pPr>
      <w:r w:rsidRPr="004A0FCC">
        <w:t>M.</w:t>
      </w:r>
      <w:r w:rsidRPr="004A0FCC">
        <w:tab/>
        <w:t>der henviser til, at formålet med parlamentarisk immunitet er at beskytte Parlamentet og dets medlemmer mod retsforfølgning i relation til aktiviteter, der udføres under udøvelsen af det parlamentariske hverv, og som ikke kan adskilles fra dette hverv;</w:t>
      </w:r>
    </w:p>
    <w:p w14:paraId="399280EA" w14:textId="77777777" w:rsidR="00142E79" w:rsidRPr="004A0FCC" w:rsidRDefault="00142E79" w:rsidP="00142E79">
      <w:pPr>
        <w:pStyle w:val="NormalHanging12a"/>
      </w:pPr>
      <w:r w:rsidRPr="004A0FCC">
        <w:t>N.</w:t>
      </w:r>
      <w:r w:rsidRPr="004A0FCC">
        <w:tab/>
        <w:t>der henviser til, at parlamentarisk immunitet i henhold til forretningsordenens artikel 5, stk. 2, ikke er et medlems personlige privilegium, men derimod en garanti for Parlamentets uafhængighed som helhed og for dets medlemmers uafhængighed;</w:t>
      </w:r>
    </w:p>
    <w:p w14:paraId="4468720A" w14:textId="77777777" w:rsidR="00142E79" w:rsidRPr="004A0FCC" w:rsidRDefault="00142E79" w:rsidP="00142E79">
      <w:pPr>
        <w:pStyle w:val="NormalHanging12a"/>
      </w:pPr>
      <w:r w:rsidRPr="004A0FCC">
        <w:t>O.</w:t>
      </w:r>
      <w:r w:rsidRPr="004A0FCC">
        <w:tab/>
        <w:t xml:space="preserve">der henviser til, at Parlamentet i den foreliggende sag ikke har fundet noget bevis på </w:t>
      </w:r>
      <w:proofErr w:type="spellStart"/>
      <w:r w:rsidRPr="004A0FCC">
        <w:t>fumus</w:t>
      </w:r>
      <w:proofErr w:type="spellEnd"/>
      <w:r w:rsidRPr="004A0FCC">
        <w:t xml:space="preserve"> </w:t>
      </w:r>
      <w:proofErr w:type="spellStart"/>
      <w:r w:rsidRPr="004A0FCC">
        <w:t>persecutionis</w:t>
      </w:r>
      <w:proofErr w:type="spellEnd"/>
      <w:r w:rsidRPr="004A0FCC">
        <w:t>, dvs. faktiske omstændigheder, der antyder, at den pågældende retssag er blevet indledt med det formål at skade medlemmets politiske virksomhed i dennes egenskab af medlem af Europa-Parlamentet;</w:t>
      </w:r>
    </w:p>
    <w:p w14:paraId="75EBCC16" w14:textId="144169CC" w:rsidR="00142E79" w:rsidRPr="004A0FCC" w:rsidRDefault="00142E79" w:rsidP="00142E79">
      <w:pPr>
        <w:pStyle w:val="NormalHanging12a"/>
      </w:pPr>
      <w:r w:rsidRPr="004A0FCC">
        <w:t>P.</w:t>
      </w:r>
      <w:r w:rsidRPr="004A0FCC">
        <w:tab/>
        <w:t>der henviser til, at Parlamentet ikke kan sidestilles med en domstol, og at medlemmet i forbindelse med en procedure om ophævelse af immunitet ikke kan betragtes som en "anklaget"</w:t>
      </w:r>
      <w:r w:rsidRPr="004A0FCC">
        <w:rPr>
          <w:vertAlign w:val="superscript"/>
        </w:rPr>
        <w:footnoteReference w:id="2"/>
      </w:r>
      <w:r w:rsidRPr="004A0FCC">
        <w:t>;</w:t>
      </w:r>
    </w:p>
    <w:p w14:paraId="72015BC1" w14:textId="77777777" w:rsidR="00142E79" w:rsidRPr="004A0FCC" w:rsidRDefault="00142E79" w:rsidP="00142E79">
      <w:pPr>
        <w:pStyle w:val="NormalHanging12a"/>
      </w:pPr>
      <w:r w:rsidRPr="004A0FCC">
        <w:lastRenderedPageBreak/>
        <w:t>1.</w:t>
      </w:r>
      <w:r w:rsidRPr="004A0FCC">
        <w:tab/>
        <w:t>vedtager at ophæve Grzegorz Brauns immunitet;</w:t>
      </w:r>
    </w:p>
    <w:p w14:paraId="3929ED61" w14:textId="2C8463EB" w:rsidR="00E365E1" w:rsidRPr="004A0FCC" w:rsidRDefault="00142E79" w:rsidP="002C09E8">
      <w:pPr>
        <w:pStyle w:val="NormalHanging12a"/>
      </w:pPr>
      <w:r w:rsidRPr="004A0FCC">
        <w:t>2.</w:t>
      </w:r>
      <w:r w:rsidRPr="004A0FCC">
        <w:tab/>
        <w:t>pålægger sin formand straks at sende denne afgørelse og det kompetente udvalgs betænkning til Republik</w:t>
      </w:r>
      <w:r w:rsidR="00E5656F">
        <w:t>ken Polen</w:t>
      </w:r>
      <w:r w:rsidRPr="004A0FCC">
        <w:t>s kompetente myndigheder og Grzegorz Braun.</w:t>
      </w:r>
    </w:p>
    <w:sectPr w:rsidR="00E365E1" w:rsidRPr="004A0FCC" w:rsidSect="004A0FC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8A8A2F" w14:textId="77777777" w:rsidR="00FB4804" w:rsidRPr="004A0FCC" w:rsidRDefault="00FB4804">
      <w:r w:rsidRPr="004A0FCC">
        <w:separator/>
      </w:r>
    </w:p>
  </w:endnote>
  <w:endnote w:type="continuationSeparator" w:id="0">
    <w:p w14:paraId="7317099F" w14:textId="77777777" w:rsidR="00FB4804" w:rsidRPr="004A0FCC" w:rsidRDefault="00FB4804">
      <w:r w:rsidRPr="004A0F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93877" w14:textId="77777777" w:rsidR="00064002" w:rsidRPr="004A0FC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7B815" w14:textId="77777777" w:rsidR="00064002" w:rsidRPr="004A0FC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D223C" w14:textId="77777777" w:rsidR="00064002" w:rsidRPr="004A0F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0E6364" w14:textId="77777777" w:rsidR="00FB4804" w:rsidRPr="004A0FCC" w:rsidRDefault="00FB4804">
      <w:r w:rsidRPr="004A0FCC">
        <w:separator/>
      </w:r>
    </w:p>
  </w:footnote>
  <w:footnote w:type="continuationSeparator" w:id="0">
    <w:p w14:paraId="0FB820F4" w14:textId="77777777" w:rsidR="00FB4804" w:rsidRPr="004A0FCC" w:rsidRDefault="00FB4804">
      <w:r w:rsidRPr="004A0FCC">
        <w:continuationSeparator/>
      </w:r>
    </w:p>
  </w:footnote>
  <w:footnote w:id="1">
    <w:p w14:paraId="530AB2A4" w14:textId="7F3B799A" w:rsidR="00142E79" w:rsidRPr="004A0FCC" w:rsidRDefault="00142E79" w:rsidP="004A0FCC">
      <w:pPr>
        <w:pStyle w:val="FootnoteText"/>
        <w:ind w:left="567" w:hanging="567"/>
        <w:rPr>
          <w:sz w:val="24"/>
          <w:lang w:val="da-DK"/>
        </w:rPr>
      </w:pPr>
      <w:r w:rsidRPr="004A0FCC">
        <w:rPr>
          <w:rStyle w:val="FootnoteReference"/>
          <w:sz w:val="24"/>
          <w:lang w:val="da-DK"/>
        </w:rPr>
        <w:footnoteRef/>
      </w:r>
      <w:r w:rsidR="004A0FCC" w:rsidRPr="004A0FCC">
        <w:rPr>
          <w:sz w:val="24"/>
          <w:lang w:val="da-DK"/>
        </w:rPr>
        <w:t xml:space="preserve"> </w:t>
      </w:r>
      <w:r w:rsidR="004A0FCC" w:rsidRPr="004A0FCC">
        <w:rPr>
          <w:sz w:val="24"/>
          <w:lang w:val="da-DK"/>
        </w:rPr>
        <w:tab/>
      </w:r>
      <w:r w:rsidRPr="004A0FCC">
        <w:rPr>
          <w:sz w:val="24"/>
          <w:lang w:val="da-DK"/>
        </w:rPr>
        <w:t xml:space="preserve">Domstolens dom af 21. oktober 2008, </w:t>
      </w:r>
      <w:proofErr w:type="spellStart"/>
      <w:r w:rsidRPr="004A0FCC">
        <w:rPr>
          <w:sz w:val="24"/>
          <w:lang w:val="da-DK"/>
        </w:rPr>
        <w:t>Marra</w:t>
      </w:r>
      <w:proofErr w:type="spellEnd"/>
      <w:r w:rsidRPr="004A0FCC">
        <w:rPr>
          <w:sz w:val="24"/>
          <w:lang w:val="da-DK"/>
        </w:rPr>
        <w:t xml:space="preserve"> mod De </w:t>
      </w:r>
      <w:proofErr w:type="spellStart"/>
      <w:r w:rsidRPr="004A0FCC">
        <w:rPr>
          <w:sz w:val="24"/>
          <w:lang w:val="da-DK"/>
        </w:rPr>
        <w:t>Gregorio</w:t>
      </w:r>
      <w:proofErr w:type="spellEnd"/>
      <w:r w:rsidRPr="004A0FCC">
        <w:rPr>
          <w:sz w:val="24"/>
          <w:lang w:val="da-DK"/>
        </w:rPr>
        <w:t xml:space="preserve"> og </w:t>
      </w:r>
      <w:proofErr w:type="spellStart"/>
      <w:r w:rsidRPr="004A0FCC">
        <w:rPr>
          <w:sz w:val="24"/>
          <w:lang w:val="da-DK"/>
        </w:rPr>
        <w:t>Clemente</w:t>
      </w:r>
      <w:proofErr w:type="spellEnd"/>
      <w:r w:rsidRPr="004A0FCC">
        <w:rPr>
          <w:sz w:val="24"/>
          <w:lang w:val="da-DK"/>
        </w:rPr>
        <w:t xml:space="preserve">, forenede sager C-200/07 og C-201/07, ECLI:EU:C:2008:579; Rettens dom af 19. marts 2010, </w:t>
      </w:r>
      <w:proofErr w:type="spellStart"/>
      <w:r w:rsidRPr="004A0FCC">
        <w:rPr>
          <w:sz w:val="24"/>
          <w:lang w:val="da-DK"/>
        </w:rPr>
        <w:t>Gollnisch</w:t>
      </w:r>
      <w:proofErr w:type="spellEnd"/>
      <w:r w:rsidRPr="004A0FCC">
        <w:rPr>
          <w:sz w:val="24"/>
          <w:lang w:val="da-DK"/>
        </w:rPr>
        <w:t xml:space="preserve"> mod Parlamentet, T-42/06, ECLI:EU:T:2010:102; Domstolens dom af 6. september 2011, </w:t>
      </w:r>
      <w:proofErr w:type="spellStart"/>
      <w:r w:rsidRPr="004A0FCC">
        <w:rPr>
          <w:sz w:val="24"/>
          <w:lang w:val="da-DK"/>
        </w:rPr>
        <w:t>Patriciello</w:t>
      </w:r>
      <w:proofErr w:type="spellEnd"/>
      <w:r w:rsidRPr="004A0FCC">
        <w:rPr>
          <w:sz w:val="24"/>
          <w:lang w:val="da-DK"/>
        </w:rPr>
        <w:t xml:space="preserve">, C-163/10, ECLI: EU:C:2011:543, Rettens dom af 17. januar 2013, </w:t>
      </w:r>
      <w:proofErr w:type="spellStart"/>
      <w:r w:rsidRPr="004A0FCC">
        <w:rPr>
          <w:sz w:val="24"/>
          <w:lang w:val="da-DK"/>
        </w:rPr>
        <w:t>Gollnisch</w:t>
      </w:r>
      <w:proofErr w:type="spellEnd"/>
      <w:r w:rsidRPr="004A0FCC">
        <w:rPr>
          <w:sz w:val="24"/>
          <w:lang w:val="da-DK"/>
        </w:rPr>
        <w:t xml:space="preserve"> mod Parlamentet, forenede sager T-346/11 og T-347/11, ECLI:EU:T:2013:23, Domstolens dom af 19. december 2019, </w:t>
      </w:r>
      <w:proofErr w:type="spellStart"/>
      <w:r w:rsidRPr="004A0FCC">
        <w:rPr>
          <w:sz w:val="24"/>
          <w:lang w:val="da-DK"/>
        </w:rPr>
        <w:t>Junqueras</w:t>
      </w:r>
      <w:proofErr w:type="spellEnd"/>
      <w:r w:rsidRPr="004A0FCC">
        <w:rPr>
          <w:sz w:val="24"/>
          <w:lang w:val="da-DK"/>
        </w:rPr>
        <w:t xml:space="preserve"> Vies, sag C-502/19, ECLI:EU:C:2019:1115, og Rettens dom af 5. juli 2023, </w:t>
      </w:r>
      <w:proofErr w:type="spellStart"/>
      <w:r w:rsidRPr="004A0FCC">
        <w:rPr>
          <w:sz w:val="24"/>
          <w:lang w:val="da-DK"/>
        </w:rPr>
        <w:t>Puigdemont</w:t>
      </w:r>
      <w:proofErr w:type="spellEnd"/>
      <w:r w:rsidRPr="004A0FCC">
        <w:rPr>
          <w:sz w:val="24"/>
          <w:lang w:val="da-DK"/>
        </w:rPr>
        <w:t xml:space="preserve"> i </w:t>
      </w:r>
      <w:proofErr w:type="spellStart"/>
      <w:r w:rsidRPr="004A0FCC">
        <w:rPr>
          <w:sz w:val="24"/>
          <w:lang w:val="da-DK"/>
        </w:rPr>
        <w:t>Casamajó</w:t>
      </w:r>
      <w:proofErr w:type="spellEnd"/>
      <w:r w:rsidRPr="004A0FCC">
        <w:rPr>
          <w:sz w:val="24"/>
          <w:lang w:val="da-DK"/>
        </w:rPr>
        <w:t xml:space="preserve"> m.fl. mod Parlamentet, T-272/21, ECLI:EU:T:2023:373.</w:t>
      </w:r>
    </w:p>
  </w:footnote>
  <w:footnote w:id="2">
    <w:p w14:paraId="5C741804" w14:textId="77777777" w:rsidR="00142E79" w:rsidRPr="004A0FCC" w:rsidRDefault="00142E79" w:rsidP="004A0FCC">
      <w:pPr>
        <w:pStyle w:val="FootnoteText"/>
        <w:ind w:left="567" w:hanging="567"/>
        <w:rPr>
          <w:sz w:val="24"/>
          <w:lang w:val="da-DK"/>
        </w:rPr>
      </w:pPr>
      <w:r w:rsidRPr="004A0FCC">
        <w:rPr>
          <w:rStyle w:val="FootnoteReference"/>
          <w:sz w:val="24"/>
          <w:lang w:val="da-DK"/>
        </w:rPr>
        <w:footnoteRef/>
      </w:r>
      <w:r w:rsidR="004A0FCC" w:rsidRPr="004A0FCC">
        <w:rPr>
          <w:sz w:val="24"/>
          <w:lang w:val="da-DK"/>
        </w:rPr>
        <w:t xml:space="preserve"> </w:t>
      </w:r>
      <w:r w:rsidR="004A0FCC" w:rsidRPr="004A0FCC">
        <w:rPr>
          <w:sz w:val="24"/>
          <w:lang w:val="da-DK"/>
        </w:rPr>
        <w:tab/>
      </w:r>
      <w:r w:rsidRPr="004A0FCC">
        <w:rPr>
          <w:sz w:val="24"/>
          <w:lang w:val="da-DK"/>
        </w:rPr>
        <w:t xml:space="preserve">Rettens dom af 30. april 2019, </w:t>
      </w:r>
      <w:proofErr w:type="spellStart"/>
      <w:r w:rsidRPr="004A0FCC">
        <w:rPr>
          <w:sz w:val="24"/>
          <w:lang w:val="da-DK"/>
        </w:rPr>
        <w:t>Briois</w:t>
      </w:r>
      <w:proofErr w:type="spellEnd"/>
      <w:r w:rsidRPr="004A0FCC">
        <w:rPr>
          <w:sz w:val="24"/>
          <w:lang w:val="da-DK"/>
        </w:rPr>
        <w:t xml:space="preserve"> mod 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0E796" w14:textId="77777777" w:rsidR="00064002" w:rsidRPr="004A0FC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AC98C" w14:textId="77777777" w:rsidR="00064002" w:rsidRPr="004A0FC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E6EE1" w14:textId="77777777" w:rsidR="00064002" w:rsidRPr="004A0F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1/2025"/>
    <w:docVar w:name="dvlangue" w:val="DA"/>
    <w:docVar w:name="dvnumam" w:val="0"/>
    <w:docVar w:name="dvpe" w:val="770.079"/>
    <w:docVar w:name="dvrapporteur" w:val="Ordfører: "/>
    <w:docVar w:name="dvtitre" w:val="Europa-Parlamentets afgørelse af xx.xx 2025 om anmodning om ophævelse af Grzegorz Brauns immunitet(2024/2102(IMM))"/>
  </w:docVars>
  <w:rsids>
    <w:rsidRoot w:val="00FB4804"/>
    <w:rsid w:val="00002272"/>
    <w:rsid w:val="00064002"/>
    <w:rsid w:val="000677B9"/>
    <w:rsid w:val="000831BA"/>
    <w:rsid w:val="000A42CC"/>
    <w:rsid w:val="000E7DD9"/>
    <w:rsid w:val="0010095E"/>
    <w:rsid w:val="00125B37"/>
    <w:rsid w:val="00142E79"/>
    <w:rsid w:val="00187494"/>
    <w:rsid w:val="001F32AE"/>
    <w:rsid w:val="002641D3"/>
    <w:rsid w:val="002767FF"/>
    <w:rsid w:val="002856D9"/>
    <w:rsid w:val="002B18FE"/>
    <w:rsid w:val="002B5493"/>
    <w:rsid w:val="002C09E8"/>
    <w:rsid w:val="00343214"/>
    <w:rsid w:val="00361C00"/>
    <w:rsid w:val="00395FA1"/>
    <w:rsid w:val="003E15D4"/>
    <w:rsid w:val="00411CCE"/>
    <w:rsid w:val="0041666E"/>
    <w:rsid w:val="00421060"/>
    <w:rsid w:val="00437266"/>
    <w:rsid w:val="00471C19"/>
    <w:rsid w:val="004867E3"/>
    <w:rsid w:val="00494A28"/>
    <w:rsid w:val="004A0FCC"/>
    <w:rsid w:val="004C0004"/>
    <w:rsid w:val="004C5D52"/>
    <w:rsid w:val="0050519A"/>
    <w:rsid w:val="005072A1"/>
    <w:rsid w:val="00514517"/>
    <w:rsid w:val="00545827"/>
    <w:rsid w:val="00551C0E"/>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78B7"/>
    <w:rsid w:val="007D1690"/>
    <w:rsid w:val="007E22AD"/>
    <w:rsid w:val="00817416"/>
    <w:rsid w:val="00842779"/>
    <w:rsid w:val="00856A82"/>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2FC"/>
    <w:rsid w:val="00AE0928"/>
    <w:rsid w:val="00AF3B82"/>
    <w:rsid w:val="00B12E95"/>
    <w:rsid w:val="00B22876"/>
    <w:rsid w:val="00B558F0"/>
    <w:rsid w:val="00BD48FE"/>
    <w:rsid w:val="00BD6816"/>
    <w:rsid w:val="00BD7BD8"/>
    <w:rsid w:val="00BE6ADC"/>
    <w:rsid w:val="00C05BFE"/>
    <w:rsid w:val="00C23CD4"/>
    <w:rsid w:val="00C61C0C"/>
    <w:rsid w:val="00C624B0"/>
    <w:rsid w:val="00C941CB"/>
    <w:rsid w:val="00CC2357"/>
    <w:rsid w:val="00CF071A"/>
    <w:rsid w:val="00D058B8"/>
    <w:rsid w:val="00D56C11"/>
    <w:rsid w:val="00D834A0"/>
    <w:rsid w:val="00D872DF"/>
    <w:rsid w:val="00D91E21"/>
    <w:rsid w:val="00DA7FCD"/>
    <w:rsid w:val="00E2497C"/>
    <w:rsid w:val="00E365E1"/>
    <w:rsid w:val="00E5656F"/>
    <w:rsid w:val="00E820A4"/>
    <w:rsid w:val="00EB006A"/>
    <w:rsid w:val="00EB4772"/>
    <w:rsid w:val="00ED169E"/>
    <w:rsid w:val="00ED4235"/>
    <w:rsid w:val="00F04346"/>
    <w:rsid w:val="00F075DC"/>
    <w:rsid w:val="00F149E9"/>
    <w:rsid w:val="00F5134D"/>
    <w:rsid w:val="00F74202"/>
    <w:rsid w:val="00F87713"/>
    <w:rsid w:val="00FB4360"/>
    <w:rsid w:val="00FB480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AB834"/>
  <w15:chartTrackingRefBased/>
  <w15:docId w15:val="{F07DB31C-50E6-42B8-AFCB-352323D9B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42E79"/>
    <w:pPr>
      <w:spacing w:after="240"/>
      <w:ind w:left="567" w:hanging="567"/>
    </w:pPr>
  </w:style>
  <w:style w:type="paragraph" w:customStyle="1" w:styleId="EPComma">
    <w:name w:val="EPComma"/>
    <w:basedOn w:val="Normal"/>
    <w:rsid w:val="00142E79"/>
    <w:pPr>
      <w:spacing w:before="480" w:after="240"/>
    </w:pPr>
  </w:style>
  <w:style w:type="character" w:styleId="CommentReference">
    <w:name w:val="annotation reference"/>
    <w:basedOn w:val="DefaultParagraphFont"/>
    <w:rsid w:val="002856D9"/>
    <w:rPr>
      <w:sz w:val="16"/>
      <w:szCs w:val="16"/>
    </w:rPr>
  </w:style>
  <w:style w:type="paragraph" w:styleId="CommentText">
    <w:name w:val="annotation text"/>
    <w:basedOn w:val="Normal"/>
    <w:link w:val="CommentTextChar"/>
    <w:rsid w:val="002856D9"/>
    <w:rPr>
      <w:sz w:val="20"/>
    </w:rPr>
  </w:style>
  <w:style w:type="character" w:customStyle="1" w:styleId="CommentTextChar">
    <w:name w:val="Comment Text Char"/>
    <w:basedOn w:val="DefaultParagraphFont"/>
    <w:link w:val="CommentText"/>
    <w:rsid w:val="002856D9"/>
    <w:rPr>
      <w:lang w:val="da-DK"/>
    </w:rPr>
  </w:style>
  <w:style w:type="paragraph" w:styleId="CommentSubject">
    <w:name w:val="annotation subject"/>
    <w:basedOn w:val="CommentText"/>
    <w:next w:val="CommentText"/>
    <w:link w:val="CommentSubjectChar"/>
    <w:rsid w:val="002856D9"/>
    <w:rPr>
      <w:b/>
      <w:bCs/>
    </w:rPr>
  </w:style>
  <w:style w:type="character" w:customStyle="1" w:styleId="CommentSubjectChar">
    <w:name w:val="Comment Subject Char"/>
    <w:basedOn w:val="CommentTextChar"/>
    <w:link w:val="CommentSubject"/>
    <w:rsid w:val="002856D9"/>
    <w:rPr>
      <w:b/>
      <w:bCs/>
      <w:lang w:val="da-DK"/>
    </w:rPr>
  </w:style>
  <w:style w:type="paragraph" w:styleId="BalloonText">
    <w:name w:val="Balloon Text"/>
    <w:basedOn w:val="Normal"/>
    <w:link w:val="BalloonTextChar"/>
    <w:rsid w:val="002856D9"/>
    <w:rPr>
      <w:rFonts w:ascii="Segoe UI" w:hAnsi="Segoe UI" w:cs="Segoe UI"/>
      <w:sz w:val="18"/>
      <w:szCs w:val="18"/>
    </w:rPr>
  </w:style>
  <w:style w:type="character" w:customStyle="1" w:styleId="BalloonTextChar">
    <w:name w:val="Balloon Text Char"/>
    <w:basedOn w:val="DefaultParagraphFont"/>
    <w:link w:val="BalloonText"/>
    <w:rsid w:val="002856D9"/>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CBDE5-1EE7-43F1-B56B-063EF94EF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1220</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2025-05-06T10:28:00Z</dcterms:created>
  <dcterms:modified xsi:type="dcterms:W3CDTF">2025-05-06T10:28:00Z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A10-0081/2025</vt:lpwstr>
  </property>
  <property fmtid="{D5CDD505-2E9C-101B-9397-08002B2CF9AE}" pid="4" name="&lt;Type&gt;">
    <vt:lpwstr>RR</vt:lpwstr>
  </property>
</Properties>
</file>