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764" w:rsidTr="0010095E">
        <w:trPr>
          <w:trHeight w:hRule="exact" w:val="1418"/>
        </w:trPr>
        <w:tc>
          <w:tcPr>
            <w:tcW w:w="6804" w:type="dxa"/>
            <w:shd w:val="clear" w:color="auto" w:fill="auto"/>
            <w:vAlign w:val="center"/>
          </w:tcPr>
          <w:p w:rsidR="00751A4A" w:rsidRPr="00420764" w:rsidRDefault="007F5D8C" w:rsidP="0010095E">
            <w:pPr>
              <w:pStyle w:val="EPName"/>
            </w:pPr>
            <w:r w:rsidRPr="00420764">
              <w:t>Parlement européen</w:t>
            </w:r>
          </w:p>
          <w:p w:rsidR="00751A4A" w:rsidRPr="00420764" w:rsidRDefault="005F1B17" w:rsidP="005F1B17">
            <w:pPr>
              <w:pStyle w:val="EPTerm"/>
              <w:rPr>
                <w:rStyle w:val="HideTWBExt"/>
                <w:noProof w:val="0"/>
                <w:vanish w:val="0"/>
                <w:color w:val="auto"/>
              </w:rPr>
            </w:pPr>
            <w:r w:rsidRPr="00420764">
              <w:t>2024</w:t>
            </w:r>
            <w:r w:rsidR="00817416" w:rsidRPr="00420764">
              <w:t>-202</w:t>
            </w:r>
            <w:r w:rsidRPr="00420764">
              <w:t>9</w:t>
            </w:r>
          </w:p>
        </w:tc>
        <w:tc>
          <w:tcPr>
            <w:tcW w:w="2268" w:type="dxa"/>
            <w:shd w:val="clear" w:color="auto" w:fill="auto"/>
          </w:tcPr>
          <w:p w:rsidR="00751A4A" w:rsidRPr="00420764" w:rsidRDefault="00187494" w:rsidP="0010095E">
            <w:pPr>
              <w:pStyle w:val="EPLogo"/>
            </w:pPr>
            <w:r w:rsidRPr="00420764">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0764" w:rsidRDefault="00D058B8" w:rsidP="004C5D52">
      <w:pPr>
        <w:pStyle w:val="LineTop"/>
      </w:pPr>
    </w:p>
    <w:p w:rsidR="00680577" w:rsidRPr="00420764" w:rsidRDefault="007F5D8C" w:rsidP="00680577">
      <w:pPr>
        <w:pStyle w:val="EPBodyTA1"/>
      </w:pPr>
      <w:r w:rsidRPr="00420764">
        <w:t>TEXTES ADOPTÉS</w:t>
      </w:r>
    </w:p>
    <w:p w:rsidR="00D058B8" w:rsidRPr="00420764" w:rsidRDefault="00D058B8" w:rsidP="00D058B8">
      <w:pPr>
        <w:pStyle w:val="LineBottom"/>
      </w:pPr>
    </w:p>
    <w:p w:rsidR="007F5D8C" w:rsidRPr="00420764" w:rsidRDefault="007F5D8C" w:rsidP="007F5D8C">
      <w:pPr>
        <w:pStyle w:val="ATHeading1"/>
      </w:pPr>
      <w:bookmarkStart w:id="0" w:name="TANumber"/>
      <w:r w:rsidRPr="00420764">
        <w:t>P10_TA(2025)00</w:t>
      </w:r>
      <w:r w:rsidR="00420764">
        <w:t>69</w:t>
      </w:r>
      <w:bookmarkEnd w:id="0"/>
    </w:p>
    <w:p w:rsidR="007F5D8C" w:rsidRPr="00420764" w:rsidRDefault="007F5D8C" w:rsidP="007F5D8C">
      <w:pPr>
        <w:pStyle w:val="ATHeading2"/>
      </w:pPr>
      <w:bookmarkStart w:id="1" w:name="title"/>
      <w:r w:rsidRPr="00420764">
        <w:t>Demande de levée de l'immunité de Grzegorz Braun</w:t>
      </w:r>
      <w:bookmarkEnd w:id="1"/>
    </w:p>
    <w:p w:rsidR="007F5D8C" w:rsidRPr="00420764" w:rsidRDefault="007F5D8C" w:rsidP="007F5D8C">
      <w:pPr>
        <w:rPr>
          <w:i/>
          <w:vanish/>
        </w:rPr>
      </w:pPr>
      <w:r w:rsidRPr="00420764">
        <w:rPr>
          <w:i/>
        </w:rPr>
        <w:fldChar w:fldCharType="begin"/>
      </w:r>
      <w:r w:rsidRPr="00420764">
        <w:rPr>
          <w:i/>
        </w:rPr>
        <w:instrText xml:space="preserve"> TC"(</w:instrText>
      </w:r>
      <w:bookmarkStart w:id="2" w:name="DocNumber"/>
      <w:r w:rsidRPr="00420764">
        <w:rPr>
          <w:i/>
        </w:rPr>
        <w:instrText>A10-0081/2025</w:instrText>
      </w:r>
      <w:bookmarkEnd w:id="2"/>
      <w:r w:rsidRPr="00420764">
        <w:rPr>
          <w:i/>
        </w:rPr>
        <w:instrText xml:space="preserve"> - Rapporteur: Dainius Žalimas)"\l3 \n&gt; \* MERGEFORMAT </w:instrText>
      </w:r>
      <w:r w:rsidRPr="00420764">
        <w:rPr>
          <w:i/>
        </w:rPr>
        <w:fldChar w:fldCharType="end"/>
      </w:r>
    </w:p>
    <w:p w:rsidR="007F5D8C" w:rsidRPr="00420764" w:rsidRDefault="007F5D8C" w:rsidP="007F5D8C">
      <w:pPr>
        <w:rPr>
          <w:vanish/>
        </w:rPr>
      </w:pPr>
      <w:bookmarkStart w:id="3" w:name="Commission"/>
      <w:r w:rsidRPr="00420764">
        <w:rPr>
          <w:vanish/>
        </w:rPr>
        <w:t>Commission des affaires juridiques</w:t>
      </w:r>
      <w:bookmarkEnd w:id="3"/>
    </w:p>
    <w:p w:rsidR="007F5D8C" w:rsidRPr="00420764" w:rsidRDefault="007F5D8C" w:rsidP="007F5D8C">
      <w:pPr>
        <w:rPr>
          <w:vanish/>
        </w:rPr>
      </w:pPr>
      <w:bookmarkStart w:id="4" w:name="PE"/>
      <w:r w:rsidRPr="00420764">
        <w:rPr>
          <w:vanish/>
        </w:rPr>
        <w:t>PE770.079</w:t>
      </w:r>
      <w:bookmarkEnd w:id="4"/>
    </w:p>
    <w:p w:rsidR="007F5D8C" w:rsidRPr="00420764" w:rsidRDefault="007F5D8C" w:rsidP="007F5D8C">
      <w:pPr>
        <w:pStyle w:val="ATHeading3"/>
      </w:pPr>
      <w:bookmarkStart w:id="5" w:name="Sujet"/>
      <w:r w:rsidRPr="00420764">
        <w:t xml:space="preserve">Décision du Parlement européen du </w:t>
      </w:r>
      <w:r w:rsidR="00E10C7C" w:rsidRPr="00420764">
        <w:t xml:space="preserve">6 mai </w:t>
      </w:r>
      <w:r w:rsidRPr="00420764">
        <w:t>2025 sur la demande de levée de l’immunité de Grzegorz Braun</w:t>
      </w:r>
      <w:bookmarkEnd w:id="5"/>
      <w:r w:rsidRPr="00420764">
        <w:t xml:space="preserve"> </w:t>
      </w:r>
      <w:bookmarkStart w:id="6" w:name="References"/>
      <w:r w:rsidRPr="00420764">
        <w:t>(2024/2102(IMM))</w:t>
      </w:r>
      <w:bookmarkEnd w:id="6"/>
    </w:p>
    <w:p w:rsidR="00FC0820" w:rsidRPr="00420764" w:rsidRDefault="00FC0820" w:rsidP="00FC0820">
      <w:pPr>
        <w:pStyle w:val="EPComma"/>
        <w:widowControl/>
      </w:pPr>
      <w:bookmarkStart w:id="7" w:name="TextBodyBegin"/>
      <w:bookmarkEnd w:id="7"/>
      <w:r w:rsidRPr="00420764">
        <w:rPr>
          <w:i/>
        </w:rPr>
        <w:t>Le Parlement européen</w:t>
      </w:r>
      <w:r w:rsidRPr="00420764">
        <w:t>,</w:t>
      </w:r>
    </w:p>
    <w:p w:rsidR="00FC0820" w:rsidRPr="00420764" w:rsidRDefault="00FC0820" w:rsidP="00E10C7C">
      <w:pPr>
        <w:pStyle w:val="NormalHanging12a"/>
        <w:widowControl/>
      </w:pPr>
      <w:r w:rsidRPr="00420764">
        <w:t>–</w:t>
      </w:r>
      <w:r w:rsidRPr="00420764">
        <w:tab/>
        <w:t>vu la demande de levée de l’immunité de Grzegorz Braun</w:t>
      </w:r>
      <w:r w:rsidR="00F21F20" w:rsidRPr="00420764">
        <w:t xml:space="preserve"> du parquet régional de Varsovie,</w:t>
      </w:r>
      <w:r w:rsidRPr="00420764">
        <w:t xml:space="preserve"> transmise en date du 29 octobre 2024 par le procureur général de</w:t>
      </w:r>
      <w:r w:rsidR="00E10C7C" w:rsidRPr="00420764">
        <w:t xml:space="preserve"> la République de</w:t>
      </w:r>
      <w:r w:rsidRPr="00420764">
        <w:t xml:space="preserve"> Pologne, </w:t>
      </w:r>
      <w:r w:rsidR="00F21F20" w:rsidRPr="00420764">
        <w:t>en liaison avec une</w:t>
      </w:r>
      <w:r w:rsidRPr="00420764">
        <w:t xml:space="preserve"> procédure pénale engagée contre Grzegorz Braun et </w:t>
      </w:r>
      <w:r w:rsidR="00F21F20" w:rsidRPr="00420764">
        <w:t xml:space="preserve">communiquée </w:t>
      </w:r>
      <w:r w:rsidRPr="00420764">
        <w:t>en séance plénière le 14 novembre 2024,</w:t>
      </w:r>
    </w:p>
    <w:p w:rsidR="00FC0820" w:rsidRPr="00420764" w:rsidRDefault="00FC0820" w:rsidP="00E10C7C">
      <w:pPr>
        <w:pStyle w:val="NormalHanging12a"/>
        <w:widowControl/>
      </w:pPr>
      <w:r w:rsidRPr="00420764">
        <w:t>–</w:t>
      </w:r>
      <w:r w:rsidRPr="00420764">
        <w:tab/>
        <w:t>vu le fait que Grzegorz Braun est réputé avoir renoncé à son droit d’être entendu, prévu à l’article 9, paragraphe 6, de son règlement intérieur,</w:t>
      </w:r>
    </w:p>
    <w:p w:rsidR="00FC0820" w:rsidRPr="00420764" w:rsidRDefault="00FC0820" w:rsidP="00E10C7C">
      <w:pPr>
        <w:pStyle w:val="NormalHanging12a"/>
        <w:widowControl/>
      </w:pPr>
      <w:r w:rsidRPr="00420764">
        <w:t>–</w:t>
      </w:r>
      <w:r w:rsidRPr="00420764">
        <w:tab/>
        <w:t>vu les articles 8 et 9 du protocole n° 7 sur les privilèges et immunités de l’Union européenne ainsi que l’article 6, paragraphe 2, de l’acte portant élection des membres du Parlement européen au suffrage universel direct, du 20 septembre 1976,</w:t>
      </w:r>
    </w:p>
    <w:p w:rsidR="00FC0820" w:rsidRPr="00420764" w:rsidRDefault="00FC0820" w:rsidP="00E10C7C">
      <w:pPr>
        <w:pStyle w:val="NormalHanging12a"/>
        <w:widowControl/>
      </w:pPr>
      <w:r w:rsidRPr="00420764">
        <w:t>–</w:t>
      </w:r>
      <w:r w:rsidRPr="00420764">
        <w:tab/>
        <w:t>vu les arrêts rendus par la Cour de justice de l’Union européenne les 21 octobre 2008, 19 mars 2010, 6 septembre 2011, 17 janvier 2013, 19 décembre 2019 et 5 juillet 2023</w:t>
      </w:r>
      <w:r w:rsidRPr="00420764">
        <w:rPr>
          <w:rStyle w:val="FootnoteReference"/>
          <w:color w:val="000000"/>
        </w:rPr>
        <w:footnoteReference w:id="1"/>
      </w:r>
      <w:r w:rsidRPr="00420764">
        <w:t>,</w:t>
      </w:r>
    </w:p>
    <w:p w:rsidR="00FC0820" w:rsidRPr="00420764" w:rsidRDefault="00FC0820" w:rsidP="00E10C7C">
      <w:pPr>
        <w:pStyle w:val="NormalHanging12a"/>
        <w:widowControl/>
      </w:pPr>
      <w:r w:rsidRPr="00420764">
        <w:t>–</w:t>
      </w:r>
      <w:r w:rsidRPr="00420764">
        <w:tab/>
        <w:t>vu l’article 105, paragraphes 2 et 5, de la Constitution de la République de Pologne,</w:t>
      </w:r>
    </w:p>
    <w:p w:rsidR="00FC0820" w:rsidRPr="00420764" w:rsidRDefault="00FC0820" w:rsidP="00E10C7C">
      <w:pPr>
        <w:pStyle w:val="NormalHanging12a"/>
        <w:widowControl/>
      </w:pPr>
      <w:r w:rsidRPr="00420764">
        <w:t>–</w:t>
      </w:r>
      <w:r w:rsidRPr="00420764">
        <w:tab/>
        <w:t>vu l’article 5, paragraphe 2, l’article 6, paragraphe 1, et l’article 9 de son règlement intérieur,</w:t>
      </w:r>
    </w:p>
    <w:p w:rsidR="00FC0820" w:rsidRPr="00420764" w:rsidRDefault="00FC0820" w:rsidP="00E10C7C">
      <w:pPr>
        <w:pStyle w:val="NormalHanging12a"/>
        <w:widowControl/>
      </w:pPr>
      <w:r w:rsidRPr="00420764">
        <w:t>–</w:t>
      </w:r>
      <w:r w:rsidRPr="00420764">
        <w:tab/>
        <w:t>vu le rapport de la commission des affaires juridiques (A10-0081/2025),</w:t>
      </w:r>
    </w:p>
    <w:p w:rsidR="00FC0820" w:rsidRPr="00420764" w:rsidRDefault="00FC0820" w:rsidP="00E10C7C">
      <w:pPr>
        <w:pStyle w:val="NormalHanging12a"/>
        <w:widowControl/>
      </w:pPr>
      <w:r w:rsidRPr="00420764">
        <w:t>A.</w:t>
      </w:r>
      <w:r w:rsidRPr="00420764">
        <w:tab/>
        <w:t xml:space="preserve">considérant que, par lettre en date du 29 octobre 2024, le procureur général de </w:t>
      </w:r>
      <w:r w:rsidR="00E10C7C" w:rsidRPr="00420764">
        <w:t xml:space="preserve">la République de </w:t>
      </w:r>
      <w:r w:rsidRPr="00420764">
        <w:t xml:space="preserve">Pologne a transmis une demande de levée de l’immunité de Grzegorz </w:t>
      </w:r>
      <w:r w:rsidRPr="00420764">
        <w:lastRenderedPageBreak/>
        <w:t xml:space="preserve">Braun, présentée par le parquet régional de Varsovie, </w:t>
      </w:r>
      <w:r w:rsidR="00F21F20" w:rsidRPr="00420764">
        <w:t>concernant</w:t>
      </w:r>
      <w:r w:rsidRPr="00420764">
        <w:t xml:space="preserve"> plusieurs infractions alléguées ayant eu lieu en 2022 et 2023;</w:t>
      </w:r>
    </w:p>
    <w:p w:rsidR="00FC0820" w:rsidRPr="00420764" w:rsidRDefault="00FC0820" w:rsidP="00E10C7C">
      <w:pPr>
        <w:pStyle w:val="NormalHanging12a"/>
        <w:widowControl/>
      </w:pPr>
      <w:r w:rsidRPr="00420764">
        <w:rPr>
          <w:shd w:val="clear" w:color="auto" w:fill="FFFFFF"/>
        </w:rPr>
        <w:t>B.</w:t>
      </w:r>
      <w:r w:rsidRPr="00420764">
        <w:rPr>
          <w:shd w:val="clear" w:color="auto" w:fill="FFFFFF"/>
        </w:rPr>
        <w:tab/>
      </w:r>
      <w:r w:rsidRPr="00420764">
        <w:t>considérant que, selon la demande, le 1</w:t>
      </w:r>
      <w:r w:rsidRPr="00420764">
        <w:rPr>
          <w:vertAlign w:val="superscript"/>
        </w:rPr>
        <w:t>er</w:t>
      </w:r>
      <w:r w:rsidRPr="00420764">
        <w:t xml:space="preserve"> mars 2022, dans le bâtiment de l’Institut national de cardiologie </w:t>
      </w:r>
      <w:r w:rsidR="004D2A6A" w:rsidRPr="00420764">
        <w:t>- I</w:t>
      </w:r>
      <w:r w:rsidRPr="00420764">
        <w:t xml:space="preserve">nstitut de recherche étatique, Grzegorz Braun aurait violé l’intégrité physique d’un agent public agissant en sa qualité de directeur dudit institut, pendant et en rapport </w:t>
      </w:r>
      <w:r w:rsidR="004D2A6A" w:rsidRPr="00420764">
        <w:t xml:space="preserve">avec </w:t>
      </w:r>
      <w:r w:rsidRPr="00420764">
        <w:t>l’exercice des fonctions officielles dudit agent public; que les actions qu’il aurait entreprises constituent une infraction conformément à l’article 222, paragraphe 1, du Code pénal polonais, ainsi qu’à l’article 191, paragraphe 1, lu en combinaison avec l’article 11, paragraphe 2 dudit code;</w:t>
      </w:r>
    </w:p>
    <w:p w:rsidR="00FC0820" w:rsidRPr="00420764" w:rsidRDefault="00FC0820" w:rsidP="00E10C7C">
      <w:pPr>
        <w:pStyle w:val="NormalHanging12a"/>
        <w:widowControl/>
      </w:pPr>
      <w:r w:rsidRPr="00420764">
        <w:rPr>
          <w:shd w:val="clear" w:color="auto" w:fill="FFFFFF"/>
        </w:rPr>
        <w:t>C.</w:t>
      </w:r>
      <w:r w:rsidRPr="00420764">
        <w:rPr>
          <w:shd w:val="clear" w:color="auto" w:fill="FFFFFF"/>
        </w:rPr>
        <w:tab/>
        <w:t>considérant que, le</w:t>
      </w:r>
      <w:r w:rsidRPr="00420764">
        <w:rPr>
          <w:color w:val="000000"/>
        </w:rPr>
        <w:t xml:space="preserve"> 1</w:t>
      </w:r>
      <w:r w:rsidRPr="00420764">
        <w:rPr>
          <w:color w:val="000000"/>
          <w:vertAlign w:val="superscript"/>
        </w:rPr>
        <w:t>er</w:t>
      </w:r>
      <w:r w:rsidRPr="00420764">
        <w:rPr>
          <w:color w:val="000000"/>
        </w:rPr>
        <w:t> mars 2022,</w:t>
      </w:r>
      <w:r w:rsidRPr="00420764">
        <w:t xml:space="preserve"> Grzegorz Braun aurait</w:t>
      </w:r>
      <w:r w:rsidRPr="00420764">
        <w:rPr>
          <w:color w:val="000000"/>
        </w:rPr>
        <w:t xml:space="preserve"> insulté le directeur de l’Institut national de cardiologie, pendant et en rapport </w:t>
      </w:r>
      <w:r w:rsidR="004D2A6A" w:rsidRPr="00420764">
        <w:rPr>
          <w:color w:val="000000"/>
        </w:rPr>
        <w:t xml:space="preserve">avec </w:t>
      </w:r>
      <w:r w:rsidRPr="00420764">
        <w:rPr>
          <w:color w:val="000000"/>
        </w:rPr>
        <w:t xml:space="preserve">l’exercice des fonctions officielles dudit agent public, en portant des accusations contre lui et en diffusant les événements sur </w:t>
      </w:r>
      <w:r w:rsidR="004D2A6A" w:rsidRPr="00420764">
        <w:rPr>
          <w:color w:val="000000"/>
        </w:rPr>
        <w:t>i</w:t>
      </w:r>
      <w:r w:rsidRPr="00420764">
        <w:rPr>
          <w:color w:val="000000"/>
        </w:rPr>
        <w:t xml:space="preserve">nternet, ce qui aurait pu porter atteinte à la réputation publique du fonctionnaire et entraîner une perte probable de la confiance qui lui </w:t>
      </w:r>
      <w:r w:rsidR="004D2A6A" w:rsidRPr="00420764">
        <w:rPr>
          <w:color w:val="000000"/>
        </w:rPr>
        <w:t>était</w:t>
      </w:r>
      <w:r w:rsidRPr="00420764">
        <w:rPr>
          <w:color w:val="000000"/>
        </w:rPr>
        <w:t xml:space="preserve"> accordée, nécessaire à l’exercice de son rôle de directeur de l’Institut national de cardiologie et de sa profession de médecin; </w:t>
      </w:r>
      <w:r w:rsidRPr="00420764">
        <w:t>que les actions qu’il aurait entreprises constituent</w:t>
      </w:r>
      <w:r w:rsidRPr="00420764">
        <w:rPr>
          <w:color w:val="000000"/>
        </w:rPr>
        <w:t xml:space="preserve"> une infraction conformément à l’article 226, paragraphe 1, du Code pénal polonais, ainsi </w:t>
      </w:r>
      <w:r w:rsidR="004D2A6A" w:rsidRPr="00420764">
        <w:rPr>
          <w:color w:val="000000"/>
        </w:rPr>
        <w:t>qu’à</w:t>
      </w:r>
      <w:r w:rsidRPr="00420764">
        <w:rPr>
          <w:color w:val="000000"/>
        </w:rPr>
        <w:t xml:space="preserve"> l’article 212, </w:t>
      </w:r>
      <w:r w:rsidR="004D2A6A" w:rsidRPr="00420764">
        <w:rPr>
          <w:color w:val="000000"/>
        </w:rPr>
        <w:t xml:space="preserve">paragraphes 1 et 2, </w:t>
      </w:r>
      <w:r w:rsidRPr="00420764">
        <w:rPr>
          <w:color w:val="000000"/>
        </w:rPr>
        <w:t>lus en combinaison avec l’article 11, paragraphe 2</w:t>
      </w:r>
      <w:r w:rsidR="004D2A6A" w:rsidRPr="00420764">
        <w:rPr>
          <w:color w:val="000000"/>
        </w:rPr>
        <w:t>,</w:t>
      </w:r>
      <w:r w:rsidRPr="00420764">
        <w:rPr>
          <w:color w:val="000000"/>
        </w:rPr>
        <w:t xml:space="preserve"> dudit code</w:t>
      </w:r>
      <w:r w:rsidRPr="00420764">
        <w:t>;</w:t>
      </w:r>
    </w:p>
    <w:p w:rsidR="00FC0820" w:rsidRPr="00420764" w:rsidRDefault="00FC0820" w:rsidP="00E10C7C">
      <w:pPr>
        <w:pStyle w:val="NormalHanging12a"/>
        <w:widowControl/>
      </w:pPr>
      <w:r w:rsidRPr="00420764">
        <w:rPr>
          <w:shd w:val="clear" w:color="auto" w:fill="FFFFFF"/>
        </w:rPr>
        <w:t>D.</w:t>
      </w:r>
      <w:r w:rsidRPr="00420764">
        <w:rPr>
          <w:shd w:val="clear" w:color="auto" w:fill="FFFFFF"/>
        </w:rPr>
        <w:tab/>
        <w:t xml:space="preserve">considérant que, </w:t>
      </w:r>
      <w:r w:rsidRPr="00420764">
        <w:rPr>
          <w:color w:val="000000"/>
        </w:rPr>
        <w:t>le 27 janvier 2023,</w:t>
      </w:r>
      <w:r w:rsidRPr="00420764">
        <w:t xml:space="preserve"> Grzegorz Braun aurait</w:t>
      </w:r>
      <w:r w:rsidRPr="00420764">
        <w:rPr>
          <w:color w:val="000000"/>
        </w:rPr>
        <w:t xml:space="preserve"> endommagé un arbre de Noël et détruit des décorations qui étaient la propriété de deux associations polonaises dont les bureaux se trouvaient dans les locaux du tribunal régional de Cracovie, et que le fait de causer de tels dommages constitue une infraction conformément à l’article 288, paragraphe 1, du Code pénal polonais</w:t>
      </w:r>
      <w:r w:rsidRPr="00420764">
        <w:t>;</w:t>
      </w:r>
    </w:p>
    <w:p w:rsidR="00FC0820" w:rsidRPr="00420764" w:rsidRDefault="00FC0820" w:rsidP="00E10C7C">
      <w:pPr>
        <w:pStyle w:val="NormalHanging12a"/>
        <w:widowControl/>
      </w:pPr>
      <w:r w:rsidRPr="00420764">
        <w:rPr>
          <w:shd w:val="clear" w:color="auto" w:fill="FFFFFF"/>
        </w:rPr>
        <w:t>E.</w:t>
      </w:r>
      <w:r w:rsidRPr="00420764">
        <w:rPr>
          <w:shd w:val="clear" w:color="auto" w:fill="FFFFFF"/>
        </w:rPr>
        <w:tab/>
      </w:r>
      <w:r w:rsidRPr="00420764">
        <w:t>considérant que, le 30 mai 2023, au siège de l’Institut historique allemand à Varsovie, Grzegorz Braun aurait endommagé des biens appartenant audit institut, ce qui constitue une infraction conformément à l’article 288, paragraphe 1, du Code pénal polonais;</w:t>
      </w:r>
    </w:p>
    <w:p w:rsidR="00FC0820" w:rsidRPr="00420764" w:rsidRDefault="00FC0820" w:rsidP="00E10C7C">
      <w:pPr>
        <w:pStyle w:val="NormalHanging12a"/>
        <w:widowControl/>
      </w:pPr>
      <w:r w:rsidRPr="00420764">
        <w:rPr>
          <w:shd w:val="clear" w:color="auto" w:fill="FFFFFF"/>
        </w:rPr>
        <w:t>F.</w:t>
      </w:r>
      <w:r w:rsidRPr="00420764">
        <w:rPr>
          <w:shd w:val="clear" w:color="auto" w:fill="FFFFFF"/>
        </w:rPr>
        <w:tab/>
      </w:r>
      <w:r w:rsidRPr="00420764">
        <w:t>considérant que, le 30 mai 2023, Grzegorz Braun aurait omis de quitter le siège de l’Institut historique allemand en dépit d’une demande en ce sens formulée par une personne autorisée, ce qui constitue une infraction conformément à l’article 193, paragraphe 1, du Code pénal polonais;</w:t>
      </w:r>
    </w:p>
    <w:p w:rsidR="00FC0820" w:rsidRPr="00420764" w:rsidRDefault="00FC0820" w:rsidP="00E10C7C">
      <w:pPr>
        <w:pStyle w:val="NormalHanging12a"/>
        <w:widowControl/>
        <w:rPr>
          <w:color w:val="000000"/>
        </w:rPr>
      </w:pPr>
      <w:r w:rsidRPr="00420764">
        <w:rPr>
          <w:shd w:val="clear" w:color="auto" w:fill="FFFFFF"/>
        </w:rPr>
        <w:t>G.</w:t>
      </w:r>
      <w:r w:rsidRPr="00420764">
        <w:rPr>
          <w:shd w:val="clear" w:color="auto" w:fill="FFFFFF"/>
        </w:rPr>
        <w:tab/>
        <w:t>considérant que,</w:t>
      </w:r>
      <w:r w:rsidRPr="00420764">
        <w:t xml:space="preserve"> </w:t>
      </w:r>
      <w:r w:rsidRPr="00420764">
        <w:rPr>
          <w:color w:val="000000"/>
        </w:rPr>
        <w:t xml:space="preserve">le 12 décembre 2023, dans les locaux de la Diète </w:t>
      </w:r>
      <w:r w:rsidR="00E10C7C" w:rsidRPr="00420764">
        <w:t>de la République de Pologne</w:t>
      </w:r>
      <w:r w:rsidRPr="00420764">
        <w:rPr>
          <w:color w:val="000000"/>
        </w:rPr>
        <w:t>,</w:t>
      </w:r>
      <w:r w:rsidRPr="00420764">
        <w:t xml:space="preserve"> Grzegorz Braun </w:t>
      </w:r>
      <w:r w:rsidRPr="00420764">
        <w:rPr>
          <w:color w:val="000000"/>
        </w:rPr>
        <w:t xml:space="preserve">aurait publiquement insulté un groupe de personnes en raison de leur appartenance religieuse et publiquement profané un objet de culte religieux (un </w:t>
      </w:r>
      <w:proofErr w:type="spellStart"/>
      <w:r w:rsidRPr="00420764">
        <w:rPr>
          <w:color w:val="000000"/>
        </w:rPr>
        <w:t>menorah</w:t>
      </w:r>
      <w:proofErr w:type="spellEnd"/>
      <w:r w:rsidRPr="00420764">
        <w:rPr>
          <w:color w:val="000000"/>
        </w:rPr>
        <w:t>) en éteignant avec un extincteur ses bougies allumées, offensant ainsi les sentiments religieux des Juifs, ce qui constitue une infraction conformément à l’article 257 du Code pénal polonais, ainsi qu’à l’article 195, paragraphe 1, et à l’article 196, lus en combinaison avec l’article 11, paragraphe 2, dudit code</w:t>
      </w:r>
      <w:r w:rsidRPr="00420764">
        <w:t>;</w:t>
      </w:r>
    </w:p>
    <w:p w:rsidR="00FC0820" w:rsidRPr="00420764" w:rsidRDefault="00FC0820" w:rsidP="00E10C7C">
      <w:pPr>
        <w:pStyle w:val="NormalHanging12a"/>
        <w:widowControl/>
      </w:pPr>
      <w:r w:rsidRPr="00420764">
        <w:rPr>
          <w:shd w:val="clear" w:color="auto" w:fill="FFFFFF"/>
        </w:rPr>
        <w:t>H.</w:t>
      </w:r>
      <w:r w:rsidRPr="00420764">
        <w:rPr>
          <w:shd w:val="clear" w:color="auto" w:fill="FFFFFF"/>
        </w:rPr>
        <w:tab/>
      </w:r>
      <w:r w:rsidRPr="00420764">
        <w:t xml:space="preserve">considérant que, le 12 décembre 2023, dans les locaux de la Diète </w:t>
      </w:r>
      <w:r w:rsidR="00E10C7C" w:rsidRPr="00420764">
        <w:t>de la République de Pologne</w:t>
      </w:r>
      <w:r w:rsidRPr="00420764">
        <w:t>, Grzegorz Braun aurait violé l’intégrité physique d’une victime intervenue afin de protéger l’ordre public, en pulvérisant la substance poudreuse d’un extincteur sur ladite victime;</w:t>
      </w:r>
      <w:r w:rsidRPr="00420764">
        <w:rPr>
          <w:color w:val="000000"/>
        </w:rPr>
        <w:t xml:space="preserve"> </w:t>
      </w:r>
      <w:r w:rsidRPr="00420764">
        <w:t xml:space="preserve">que Grzegorz Braun aurait causé un dommage de faible gravité à la santé de la victime, durant une période allant jusqu’à sept jours, ce qui constitue une infraction conformément à l’article 157, paragraphe 2, du Code pénal polonais, ainsi </w:t>
      </w:r>
      <w:r w:rsidRPr="00420764">
        <w:lastRenderedPageBreak/>
        <w:t>qu’à l’article 217 bis du Code pénal polonais lu en combinaison avec l’article 11, paragraphe 2, dudit code;</w:t>
      </w:r>
    </w:p>
    <w:p w:rsidR="00FC0820" w:rsidRPr="00420764" w:rsidRDefault="00FC0820" w:rsidP="00E10C7C">
      <w:pPr>
        <w:pStyle w:val="NormalHanging12a"/>
        <w:widowControl/>
      </w:pPr>
      <w:r w:rsidRPr="00420764">
        <w:t>I.</w:t>
      </w:r>
      <w:r w:rsidRPr="00420764">
        <w:tab/>
        <w:t xml:space="preserve">considérant que l’enquête menée dans le cadre </w:t>
      </w:r>
      <w:r w:rsidR="004D2A6A" w:rsidRPr="00420764">
        <w:t>d</w:t>
      </w:r>
      <w:r w:rsidRPr="00420764">
        <w:t xml:space="preserve">es infractions alléguées décrites dans la demande de levée d’immunité a été ouverte initialement le 25 mai 2023, date à laquelle Grzegorz Braun bénéficiait de l’immunité en tant que membre de la Diète </w:t>
      </w:r>
      <w:r w:rsidR="00E10C7C" w:rsidRPr="00420764">
        <w:t>de la République de Pologne</w:t>
      </w:r>
      <w:r w:rsidRPr="00420764">
        <w:t xml:space="preserve">; </w:t>
      </w:r>
      <w:r w:rsidR="004D2A6A" w:rsidRPr="00420764">
        <w:t xml:space="preserve">considérant </w:t>
      </w:r>
      <w:r w:rsidRPr="00420764">
        <w:t xml:space="preserve">que la Diète </w:t>
      </w:r>
      <w:r w:rsidR="00E10C7C" w:rsidRPr="00420764">
        <w:t>de la République de Pologne</w:t>
      </w:r>
      <w:r w:rsidR="00481559" w:rsidRPr="00420764">
        <w:t xml:space="preserve"> </w:t>
      </w:r>
      <w:r w:rsidRPr="00420764">
        <w:t>a donné son autorisation, le 17 janvier 2024, pour que des poursuites pénales soient engagées contre Grzegorz Braun pour les infractions exposées dans la demande;</w:t>
      </w:r>
      <w:r w:rsidRPr="00420764">
        <w:rPr>
          <w:shd w:val="clear" w:color="auto" w:fill="FFFFFF"/>
        </w:rPr>
        <w:t xml:space="preserve"> </w:t>
      </w:r>
      <w:r w:rsidR="004D2A6A" w:rsidRPr="00420764">
        <w:rPr>
          <w:shd w:val="clear" w:color="auto" w:fill="FFFFFF"/>
        </w:rPr>
        <w:t xml:space="preserve">considérant </w:t>
      </w:r>
      <w:r w:rsidRPr="00420764">
        <w:rPr>
          <w:shd w:val="clear" w:color="auto" w:fill="FFFFFF"/>
        </w:rPr>
        <w:t xml:space="preserve">que </w:t>
      </w:r>
      <w:r w:rsidRPr="00420764">
        <w:t>Grzegorz Braun</w:t>
      </w:r>
      <w:r w:rsidRPr="00420764">
        <w:rPr>
          <w:shd w:val="clear" w:color="auto" w:fill="FFFFFF"/>
        </w:rPr>
        <w:t xml:space="preserve"> a été élu au Parlement européen lors des élections européennes de juin 2024</w:t>
      </w:r>
      <w:r w:rsidRPr="00420764">
        <w:t>; que</w:t>
      </w:r>
      <w:r w:rsidRPr="00420764">
        <w:rPr>
          <w:shd w:val="clear" w:color="auto" w:fill="FFFFFF"/>
        </w:rPr>
        <w:t xml:space="preserve"> </w:t>
      </w:r>
      <w:r w:rsidRPr="00420764">
        <w:t>Grzegorz Braun</w:t>
      </w:r>
      <w:r w:rsidRPr="00420764">
        <w:rPr>
          <w:shd w:val="clear" w:color="auto" w:fill="FFFFFF"/>
        </w:rPr>
        <w:t xml:space="preserve"> n’était </w:t>
      </w:r>
      <w:r w:rsidR="004D2A6A" w:rsidRPr="00420764">
        <w:rPr>
          <w:shd w:val="clear" w:color="auto" w:fill="FFFFFF"/>
        </w:rPr>
        <w:t xml:space="preserve">dès lors </w:t>
      </w:r>
      <w:r w:rsidRPr="00420764">
        <w:rPr>
          <w:shd w:val="clear" w:color="auto" w:fill="FFFFFF"/>
        </w:rPr>
        <w:t>pas député au Parlement européen au moment des infractions alléguées;</w:t>
      </w:r>
    </w:p>
    <w:p w:rsidR="00FC0820" w:rsidRPr="00420764" w:rsidRDefault="00FC0820" w:rsidP="00E10C7C">
      <w:pPr>
        <w:pStyle w:val="NormalHanging12a"/>
        <w:widowControl/>
      </w:pPr>
      <w:r w:rsidRPr="00420764">
        <w:t>J.</w:t>
      </w:r>
      <w:r w:rsidRPr="00420764">
        <w:tab/>
        <w:t>considérant que les infractions alléguées et que la demande de levée de son immunité subséquente ne sont pas liées à une opinion ou à un vote émis par Grzegorz Braun dans l’exercice de ses fonctions, au sens de l’article 8 du protocole nº 7 sur les privilèges et immunités de l’Union européenne;</w:t>
      </w:r>
    </w:p>
    <w:p w:rsidR="00FC0820" w:rsidRPr="00420764" w:rsidRDefault="00FC0820" w:rsidP="00E10C7C">
      <w:pPr>
        <w:pStyle w:val="NormalHanging12a"/>
        <w:widowControl/>
      </w:pPr>
      <w:r w:rsidRPr="00420764">
        <w:t>K.</w:t>
      </w:r>
      <w:r w:rsidRPr="00420764">
        <w:tab/>
        <w:t xml:space="preserve">considérant que l’article 9, premier alinéa, point a), du protocole nº 7 sur les privilèges et immunités de l’Union européenne dispose que les membres du Parlement européen bénéficient, sur leur territoire national, des immunités reconnues aux membres du parlement de leur </w:t>
      </w:r>
      <w:r w:rsidR="00E860B5" w:rsidRPr="00420764">
        <w:t>État</w:t>
      </w:r>
      <w:r w:rsidRPr="00420764">
        <w:t>;</w:t>
      </w:r>
    </w:p>
    <w:p w:rsidR="00FC0820" w:rsidRPr="00420764" w:rsidRDefault="00FC0820" w:rsidP="00E10C7C">
      <w:pPr>
        <w:pStyle w:val="NormalHanging12a"/>
        <w:widowControl/>
      </w:pPr>
      <w:r w:rsidRPr="00420764">
        <w:t>L.</w:t>
      </w:r>
      <w:r w:rsidRPr="00420764">
        <w:tab/>
        <w:t>considérant qu’en vertu de l’article 105</w:t>
      </w:r>
      <w:bookmarkStart w:id="8" w:name="_GoBack"/>
      <w:bookmarkEnd w:id="8"/>
      <w:r w:rsidRPr="00420764">
        <w:t xml:space="preserve">, paragraphes 2 et 5, de la Constitution polonaise, un député ne peut encourir la responsabilité pénale qu’avec l’autorisation de la Diète </w:t>
      </w:r>
      <w:r w:rsidR="00E10C7C" w:rsidRPr="00420764">
        <w:t>de la République de Pologne</w:t>
      </w:r>
      <w:r w:rsidRPr="00420764">
        <w:t>, depuis la date de la publication des résultats des élections jusqu’à la date de l’expiration de son mandat, et qu’il ne peut être arrêté ou détenu qu’avec l’autorisation de la Diète, sauf en cas de flagrant délit ou lorsque sa détention est indispensable au déroulement convenable de la procédure;</w:t>
      </w:r>
    </w:p>
    <w:p w:rsidR="00FC0820" w:rsidRPr="00420764" w:rsidRDefault="00FC0820" w:rsidP="00E10C7C">
      <w:pPr>
        <w:pStyle w:val="NormalHanging12a"/>
        <w:widowControl/>
      </w:pPr>
      <w:r w:rsidRPr="00420764">
        <w:t>M.</w:t>
      </w:r>
      <w:r w:rsidRPr="00420764">
        <w:tab/>
        <w:t>considérant que l’immunité parlementaire a pour objet de protéger le Parlement et ses députés contre des procédures judiciaires visant des activités menées dans l’exercice des fonctions parlementaires et indissociables de celles-ci;</w:t>
      </w:r>
    </w:p>
    <w:p w:rsidR="00FC0820" w:rsidRPr="00420764" w:rsidRDefault="00FC0820" w:rsidP="00E10C7C">
      <w:pPr>
        <w:pStyle w:val="NormalHanging12a"/>
        <w:widowControl/>
      </w:pPr>
      <w:r w:rsidRPr="00420764">
        <w:t>N.</w:t>
      </w:r>
      <w:r w:rsidRPr="00420764">
        <w:tab/>
        <w:t>considérant que, conformément à l’article 5, paragraphe 2, de son règlement intérieur, l’immunité parlementaire n’est pas un privilège personnel du député, mais une garantie d’indépendance du Parlement dans son ensemble et de ses députés;</w:t>
      </w:r>
    </w:p>
    <w:p w:rsidR="00FC0820" w:rsidRPr="00420764" w:rsidRDefault="00FC0820" w:rsidP="00E10C7C">
      <w:pPr>
        <w:pStyle w:val="NormalHanging12a"/>
        <w:widowControl/>
      </w:pPr>
      <w:r w:rsidRPr="00420764">
        <w:t>O.</w:t>
      </w:r>
      <w:r w:rsidRPr="00420764">
        <w:tab/>
        <w:t xml:space="preserve">considérant que, en l’espèce, le Parlement européen n’a trouvé aucun élément de preuve établissant l’existence d’un </w:t>
      </w:r>
      <w:proofErr w:type="spellStart"/>
      <w:r w:rsidRPr="00420764">
        <w:rPr>
          <w:i/>
        </w:rPr>
        <w:t>fumus</w:t>
      </w:r>
      <w:proofErr w:type="spellEnd"/>
      <w:r w:rsidRPr="00420764">
        <w:rPr>
          <w:i/>
        </w:rPr>
        <w:t> </w:t>
      </w:r>
      <w:proofErr w:type="spellStart"/>
      <w:r w:rsidRPr="00420764">
        <w:rPr>
          <w:i/>
        </w:rPr>
        <w:t>persecutionis</w:t>
      </w:r>
      <w:proofErr w:type="spellEnd"/>
      <w:r w:rsidRPr="00420764">
        <w:t>, c’est-à-dire des éléments de fait qui permettent de présumer que les poursuites en question ont été engagées dans l’intention de nuire à l’activité politique du député en sa qualité de député au Parlement européen;</w:t>
      </w:r>
    </w:p>
    <w:p w:rsidR="00FC0820" w:rsidRPr="00420764" w:rsidRDefault="00FC0820" w:rsidP="00E10C7C">
      <w:pPr>
        <w:pStyle w:val="NormalHanging12a"/>
        <w:widowControl/>
      </w:pPr>
      <w:r w:rsidRPr="00420764">
        <w:t>P.</w:t>
      </w:r>
      <w:r w:rsidRPr="00420764">
        <w:tab/>
        <w:t>considérant, d’une part, que le Parlement ne saurait être assimilé à un tribunal et, d’autre part, que le député, dans le contexte d’une procédure de levée d’immunité, ne saurait être considéré comme un «accusé»</w:t>
      </w:r>
      <w:r w:rsidRPr="00420764">
        <w:rPr>
          <w:vertAlign w:val="superscript"/>
        </w:rPr>
        <w:footnoteReference w:id="2"/>
      </w:r>
      <w:r w:rsidRPr="00420764">
        <w:t>;</w:t>
      </w:r>
    </w:p>
    <w:p w:rsidR="00FC0820" w:rsidRPr="00420764" w:rsidRDefault="00FC0820" w:rsidP="00E10C7C">
      <w:pPr>
        <w:pStyle w:val="NormalHanging12a"/>
        <w:widowControl/>
      </w:pPr>
      <w:r w:rsidRPr="00420764">
        <w:t>1.</w:t>
      </w:r>
      <w:r w:rsidRPr="00420764">
        <w:tab/>
        <w:t>décide de lever l’immunité de Grzegorz Braun;</w:t>
      </w:r>
    </w:p>
    <w:p w:rsidR="003C3369" w:rsidRPr="00420764" w:rsidRDefault="00FC0820" w:rsidP="00E10C7C">
      <w:pPr>
        <w:pStyle w:val="NormalHanging12a"/>
        <w:widowControl/>
      </w:pPr>
      <w:r w:rsidRPr="00420764">
        <w:lastRenderedPageBreak/>
        <w:t>2.</w:t>
      </w:r>
      <w:r w:rsidRPr="00420764">
        <w:tab/>
        <w:t>charge sa Présidente de transmettre la présente décision et le rapport de sa commission compétente aux autorités compétentes de la République de Pologne et à Grzegorz Braun.</w:t>
      </w:r>
    </w:p>
    <w:sectPr w:rsidR="003C3369" w:rsidRPr="00420764" w:rsidSect="003C33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D8C" w:rsidRPr="003C3369" w:rsidRDefault="007F5D8C">
      <w:r w:rsidRPr="003C3369">
        <w:separator/>
      </w:r>
    </w:p>
  </w:endnote>
  <w:endnote w:type="continuationSeparator" w:id="0">
    <w:p w:rsidR="007F5D8C" w:rsidRPr="003C3369" w:rsidRDefault="007F5D8C">
      <w:r w:rsidRPr="003C33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D8C" w:rsidRPr="003C3369" w:rsidRDefault="007F5D8C">
      <w:r w:rsidRPr="003C3369">
        <w:separator/>
      </w:r>
    </w:p>
  </w:footnote>
  <w:footnote w:type="continuationSeparator" w:id="0">
    <w:p w:rsidR="007F5D8C" w:rsidRPr="003C3369" w:rsidRDefault="007F5D8C">
      <w:r w:rsidRPr="003C3369">
        <w:continuationSeparator/>
      </w:r>
    </w:p>
  </w:footnote>
  <w:footnote w:id="1">
    <w:p w:rsidR="00FC0820" w:rsidRPr="003C3369" w:rsidRDefault="00FC0820" w:rsidP="003C3369">
      <w:pPr>
        <w:pStyle w:val="FootnoteText"/>
        <w:ind w:left="567" w:hanging="567"/>
        <w:rPr>
          <w:sz w:val="24"/>
        </w:rPr>
      </w:pPr>
      <w:r w:rsidRPr="003C3369">
        <w:rPr>
          <w:rStyle w:val="FootnoteReference"/>
          <w:sz w:val="24"/>
        </w:rPr>
        <w:footnoteRef/>
      </w:r>
      <w:r w:rsidR="003C3369" w:rsidRPr="003C3369">
        <w:rPr>
          <w:sz w:val="24"/>
        </w:rPr>
        <w:t xml:space="preserve"> </w:t>
      </w:r>
      <w:r w:rsidR="003C3369" w:rsidRPr="003C3369">
        <w:rPr>
          <w:sz w:val="24"/>
        </w:rPr>
        <w:tab/>
      </w:r>
      <w:r w:rsidRPr="003C3369">
        <w:rPr>
          <w:sz w:val="24"/>
        </w:rPr>
        <w:t>Arrêt de la Cour de justice du 21 octobre 2008, Marra</w:t>
      </w:r>
      <w:r w:rsidR="0061105D">
        <w:rPr>
          <w:sz w:val="24"/>
        </w:rPr>
        <w:t>/</w:t>
      </w:r>
      <w:r w:rsidR="0061105D" w:rsidRPr="0061105D">
        <w:rPr>
          <w:sz w:val="24"/>
        </w:rPr>
        <w:t xml:space="preserve">De Gregorio et </w:t>
      </w:r>
      <w:proofErr w:type="spellStart"/>
      <w:r w:rsidR="0061105D" w:rsidRPr="0061105D">
        <w:rPr>
          <w:sz w:val="24"/>
        </w:rPr>
        <w:t>Clemente</w:t>
      </w:r>
      <w:proofErr w:type="spellEnd"/>
      <w:r w:rsidRPr="003C3369">
        <w:rPr>
          <w:sz w:val="24"/>
        </w:rPr>
        <w:t xml:space="preserve">, C-200/07 et C-201/07, ECLI:EU:C:2008:579; arrêt du Tribunal du 19 mars 2010, </w:t>
      </w:r>
      <w:proofErr w:type="spellStart"/>
      <w:r w:rsidRPr="003C3369">
        <w:rPr>
          <w:sz w:val="24"/>
        </w:rPr>
        <w:t>Gollnisch</w:t>
      </w:r>
      <w:proofErr w:type="spellEnd"/>
      <w:r w:rsidRPr="003C3369">
        <w:rPr>
          <w:sz w:val="24"/>
        </w:rPr>
        <w:t xml:space="preserve">/Parlement, T-42/06, ECLI:EU:T:2010:102; arrêt de la Cour de justice du 6 septembre 2011, </w:t>
      </w:r>
      <w:proofErr w:type="spellStart"/>
      <w:r w:rsidRPr="003C3369">
        <w:rPr>
          <w:sz w:val="24"/>
        </w:rPr>
        <w:t>Patriciello</w:t>
      </w:r>
      <w:proofErr w:type="spellEnd"/>
      <w:r w:rsidRPr="003C3369">
        <w:rPr>
          <w:sz w:val="24"/>
        </w:rPr>
        <w:t xml:space="preserve">, C-163/10, ECLI: EU:C:2011:543; arrêt du Tribunal du 17 janvier 2013, </w:t>
      </w:r>
      <w:proofErr w:type="spellStart"/>
      <w:r w:rsidRPr="003C3369">
        <w:rPr>
          <w:sz w:val="24"/>
        </w:rPr>
        <w:t>Gollnisch</w:t>
      </w:r>
      <w:proofErr w:type="spellEnd"/>
      <w:r w:rsidRPr="003C3369">
        <w:rPr>
          <w:sz w:val="24"/>
        </w:rPr>
        <w:t>/Parlement, T-346/11 et T-347/11, ECLI:EU:T:2013:23</w:t>
      </w:r>
      <w:r w:rsidR="00F21F20">
        <w:rPr>
          <w:sz w:val="24"/>
        </w:rPr>
        <w:t>;</w:t>
      </w:r>
      <w:r w:rsidRPr="003C3369">
        <w:rPr>
          <w:sz w:val="24"/>
        </w:rPr>
        <w:t xml:space="preserve"> arrêt de la Cour de justice du 19 décembre 2019, </w:t>
      </w:r>
      <w:proofErr w:type="spellStart"/>
      <w:r w:rsidRPr="003C3369">
        <w:rPr>
          <w:sz w:val="24"/>
        </w:rPr>
        <w:t>Junqueras</w:t>
      </w:r>
      <w:proofErr w:type="spellEnd"/>
      <w:r w:rsidRPr="003C3369">
        <w:rPr>
          <w:sz w:val="24"/>
        </w:rPr>
        <w:t xml:space="preserve"> Vies, C-502/19, ECLI:EU:C:2019:1115; arrêt du Tribunal du 5 juillet 2023, </w:t>
      </w:r>
      <w:proofErr w:type="spellStart"/>
      <w:r w:rsidRPr="003C3369">
        <w:rPr>
          <w:sz w:val="24"/>
        </w:rPr>
        <w:t>Puigdemont</w:t>
      </w:r>
      <w:proofErr w:type="spellEnd"/>
      <w:r w:rsidRPr="003C3369">
        <w:rPr>
          <w:sz w:val="24"/>
        </w:rPr>
        <w:t> i </w:t>
      </w:r>
      <w:proofErr w:type="spellStart"/>
      <w:r w:rsidRPr="003C3369">
        <w:rPr>
          <w:sz w:val="24"/>
        </w:rPr>
        <w:t>Casamajó</w:t>
      </w:r>
      <w:proofErr w:type="spellEnd"/>
      <w:r w:rsidRPr="003C3369">
        <w:rPr>
          <w:sz w:val="24"/>
        </w:rPr>
        <w:t xml:space="preserve"> </w:t>
      </w:r>
      <w:proofErr w:type="spellStart"/>
      <w:r w:rsidRPr="003C3369">
        <w:rPr>
          <w:sz w:val="24"/>
        </w:rPr>
        <w:t>e.a</w:t>
      </w:r>
      <w:proofErr w:type="spellEnd"/>
      <w:r w:rsidRPr="003C3369">
        <w:rPr>
          <w:sz w:val="24"/>
        </w:rPr>
        <w:t>./Parlement, T-272/21, ECLI:EU:T:2023:373.</w:t>
      </w:r>
    </w:p>
  </w:footnote>
  <w:footnote w:id="2">
    <w:p w:rsidR="00FC0820" w:rsidRPr="003C3369" w:rsidRDefault="00FC0820" w:rsidP="003C3369">
      <w:pPr>
        <w:pStyle w:val="FootnoteText"/>
        <w:ind w:left="567" w:hanging="567"/>
        <w:rPr>
          <w:sz w:val="24"/>
        </w:rPr>
      </w:pPr>
      <w:r w:rsidRPr="003C3369">
        <w:rPr>
          <w:rStyle w:val="FootnoteReference"/>
          <w:sz w:val="24"/>
        </w:rPr>
        <w:footnoteRef/>
      </w:r>
      <w:r w:rsidR="003C3369" w:rsidRPr="003C3369">
        <w:rPr>
          <w:sz w:val="24"/>
        </w:rPr>
        <w:t xml:space="preserve"> </w:t>
      </w:r>
      <w:r w:rsidR="003C3369" w:rsidRPr="003C3369">
        <w:rPr>
          <w:sz w:val="24"/>
        </w:rPr>
        <w:tab/>
      </w:r>
      <w:r w:rsidRPr="003C3369">
        <w:rPr>
          <w:sz w:val="24"/>
        </w:rPr>
        <w:t xml:space="preserve">Arrêt du Tribunal du 30 avril 2019, </w:t>
      </w:r>
      <w:proofErr w:type="spellStart"/>
      <w:r w:rsidRPr="003C3369">
        <w:rPr>
          <w:sz w:val="24"/>
        </w:rPr>
        <w:t>Briois</w:t>
      </w:r>
      <w:proofErr w:type="spellEnd"/>
      <w:r w:rsidRPr="003C3369">
        <w:rPr>
          <w:sz w:val="24"/>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33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FR"/>
    <w:docVar w:name="dvnumam" w:val="0"/>
    <w:docVar w:name="dvpe" w:val="770.079"/>
    <w:docVar w:name="dvrapporteur" w:val="Rapporteur: "/>
    <w:docVar w:name="dvtitre" w:val="Décision du Parlement européen du ... 2025 sur la demande de levée de l’immunité de Grzegorz Braun(2024/2102(IMM))"/>
  </w:docVars>
  <w:rsids>
    <w:rsidRoot w:val="007F5D8C"/>
    <w:rsid w:val="00002272"/>
    <w:rsid w:val="00003961"/>
    <w:rsid w:val="00064002"/>
    <w:rsid w:val="000677B9"/>
    <w:rsid w:val="000831BA"/>
    <w:rsid w:val="000A42CC"/>
    <w:rsid w:val="000E7DD9"/>
    <w:rsid w:val="0010095E"/>
    <w:rsid w:val="00125B37"/>
    <w:rsid w:val="00187494"/>
    <w:rsid w:val="0019787A"/>
    <w:rsid w:val="001F32AE"/>
    <w:rsid w:val="002767FF"/>
    <w:rsid w:val="002B18FE"/>
    <w:rsid w:val="002B5493"/>
    <w:rsid w:val="00343214"/>
    <w:rsid w:val="00361C00"/>
    <w:rsid w:val="00395FA1"/>
    <w:rsid w:val="003C3369"/>
    <w:rsid w:val="003E15D4"/>
    <w:rsid w:val="00411CCE"/>
    <w:rsid w:val="0041666E"/>
    <w:rsid w:val="00420764"/>
    <w:rsid w:val="00421060"/>
    <w:rsid w:val="00471C19"/>
    <w:rsid w:val="00481559"/>
    <w:rsid w:val="004867E3"/>
    <w:rsid w:val="00494A28"/>
    <w:rsid w:val="004C0004"/>
    <w:rsid w:val="004C5D52"/>
    <w:rsid w:val="004D2A6A"/>
    <w:rsid w:val="0050519A"/>
    <w:rsid w:val="005072A1"/>
    <w:rsid w:val="00514517"/>
    <w:rsid w:val="00545827"/>
    <w:rsid w:val="00560270"/>
    <w:rsid w:val="005C2568"/>
    <w:rsid w:val="005F1B17"/>
    <w:rsid w:val="006037C0"/>
    <w:rsid w:val="0061105D"/>
    <w:rsid w:val="006631B6"/>
    <w:rsid w:val="00680577"/>
    <w:rsid w:val="006F74FA"/>
    <w:rsid w:val="00731ADD"/>
    <w:rsid w:val="00734777"/>
    <w:rsid w:val="00747932"/>
    <w:rsid w:val="00751A4A"/>
    <w:rsid w:val="00756632"/>
    <w:rsid w:val="00762C74"/>
    <w:rsid w:val="00786EC0"/>
    <w:rsid w:val="007D1690"/>
    <w:rsid w:val="007E22AD"/>
    <w:rsid w:val="007F5D8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C7C"/>
    <w:rsid w:val="00E365E1"/>
    <w:rsid w:val="00E820A4"/>
    <w:rsid w:val="00E860B5"/>
    <w:rsid w:val="00EB006A"/>
    <w:rsid w:val="00EB4772"/>
    <w:rsid w:val="00ED169E"/>
    <w:rsid w:val="00ED4235"/>
    <w:rsid w:val="00F04346"/>
    <w:rsid w:val="00F075DC"/>
    <w:rsid w:val="00F149E9"/>
    <w:rsid w:val="00F21F20"/>
    <w:rsid w:val="00F5134D"/>
    <w:rsid w:val="00F74202"/>
    <w:rsid w:val="00F87713"/>
    <w:rsid w:val="00FB4360"/>
    <w:rsid w:val="00FC082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76B3C4-B78F-428D-818E-656EFDC06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C0820"/>
    <w:pPr>
      <w:spacing w:after="240"/>
      <w:ind w:left="567" w:hanging="567"/>
    </w:pPr>
  </w:style>
  <w:style w:type="paragraph" w:customStyle="1" w:styleId="EPComma">
    <w:name w:val="EPComma"/>
    <w:basedOn w:val="Normal"/>
    <w:rsid w:val="00FC0820"/>
    <w:pPr>
      <w:spacing w:before="480" w:after="240"/>
    </w:pPr>
  </w:style>
  <w:style w:type="paragraph" w:styleId="BalloonText">
    <w:name w:val="Balloon Text"/>
    <w:basedOn w:val="Normal"/>
    <w:link w:val="BalloonTextChar"/>
    <w:rsid w:val="00E10C7C"/>
    <w:rPr>
      <w:rFonts w:ascii="Segoe UI" w:hAnsi="Segoe UI" w:cs="Segoe UI"/>
      <w:sz w:val="18"/>
      <w:szCs w:val="18"/>
    </w:rPr>
  </w:style>
  <w:style w:type="character" w:customStyle="1" w:styleId="BalloonTextChar">
    <w:name w:val="Balloon Text Char"/>
    <w:basedOn w:val="DefaultParagraphFont"/>
    <w:link w:val="BalloonText"/>
    <w:rsid w:val="00E10C7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07C1-812F-446C-B7C1-6244E5C6B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1304</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Marianne Salou</cp:lastModifiedBy>
  <cp:revision>3</cp:revision>
  <cp:lastPrinted>2004-11-19T15:42:00Z</cp:lastPrinted>
  <dcterms:created xsi:type="dcterms:W3CDTF">2025-05-06T10:26:00Z</dcterms:created>
  <dcterms:modified xsi:type="dcterms:W3CDTF">2025-05-06T10:32:00Z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A10-0081/2025</vt:lpwstr>
  </property>
  <property fmtid="{D5CDD505-2E9C-101B-9397-08002B2CF9AE}" pid="4" name="&lt;Type&gt;">
    <vt:lpwstr>RR</vt:lpwstr>
  </property>
</Properties>
</file>