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02FB" w:rsidTr="0010095E">
        <w:trPr>
          <w:trHeight w:hRule="exact" w:val="1418"/>
        </w:trPr>
        <w:tc>
          <w:tcPr>
            <w:tcW w:w="6804" w:type="dxa"/>
            <w:shd w:val="clear" w:color="auto" w:fill="auto"/>
            <w:vAlign w:val="center"/>
          </w:tcPr>
          <w:p w:rsidR="00751A4A" w:rsidRPr="00EA02FB" w:rsidRDefault="00935F96" w:rsidP="0010095E">
            <w:pPr>
              <w:pStyle w:val="EPName"/>
            </w:pPr>
            <w:bookmarkStart w:id="0" w:name="_GoBack"/>
            <w:bookmarkEnd w:id="0"/>
            <w:r w:rsidRPr="00EA02FB">
              <w:t>Eiropas Parlaments</w:t>
            </w:r>
          </w:p>
          <w:p w:rsidR="00751A4A" w:rsidRPr="00EA02FB" w:rsidRDefault="005F1B17" w:rsidP="005F1B17">
            <w:pPr>
              <w:pStyle w:val="EPTerm"/>
              <w:rPr>
                <w:rStyle w:val="HideTWBExt"/>
                <w:noProof w:val="0"/>
                <w:vanish w:val="0"/>
                <w:color w:val="auto"/>
              </w:rPr>
            </w:pPr>
            <w:r w:rsidRPr="00EA02FB">
              <w:t>2024</w:t>
            </w:r>
            <w:r w:rsidR="00817416" w:rsidRPr="00EA02FB">
              <w:t>-202</w:t>
            </w:r>
            <w:r w:rsidRPr="00EA02FB">
              <w:t>9</w:t>
            </w:r>
          </w:p>
        </w:tc>
        <w:tc>
          <w:tcPr>
            <w:tcW w:w="2268" w:type="dxa"/>
            <w:shd w:val="clear" w:color="auto" w:fill="auto"/>
          </w:tcPr>
          <w:p w:rsidR="00751A4A" w:rsidRPr="00EA02FB" w:rsidRDefault="00187494" w:rsidP="0010095E">
            <w:pPr>
              <w:pStyle w:val="EPLogo"/>
            </w:pPr>
            <w:r w:rsidRPr="00EA02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02FB" w:rsidRDefault="00D058B8" w:rsidP="004C5D52">
      <w:pPr>
        <w:pStyle w:val="LineTop"/>
      </w:pPr>
    </w:p>
    <w:p w:rsidR="00680577" w:rsidRPr="00EA02FB" w:rsidRDefault="00935F96" w:rsidP="00680577">
      <w:pPr>
        <w:pStyle w:val="EPBodyTA1"/>
      </w:pPr>
      <w:r w:rsidRPr="00EA02FB">
        <w:t>PIEŅEMTIE TEKSTI</w:t>
      </w:r>
    </w:p>
    <w:p w:rsidR="00D058B8" w:rsidRPr="00EA02FB" w:rsidRDefault="00D058B8" w:rsidP="00D058B8">
      <w:pPr>
        <w:pStyle w:val="LineBottom"/>
      </w:pPr>
    </w:p>
    <w:p w:rsidR="00935F96" w:rsidRPr="00EA02FB" w:rsidRDefault="00935F96" w:rsidP="00935F96">
      <w:pPr>
        <w:pStyle w:val="ATHeading1"/>
      </w:pPr>
      <w:bookmarkStart w:id="1" w:name="TANumber"/>
      <w:r w:rsidRPr="00EA02FB">
        <w:t>P10_TA(2025)00</w:t>
      </w:r>
      <w:r w:rsidR="00EA02FB" w:rsidRPr="00EA02FB">
        <w:t>69</w:t>
      </w:r>
      <w:bookmarkEnd w:id="1"/>
    </w:p>
    <w:p w:rsidR="00935F96" w:rsidRPr="00EA02FB" w:rsidRDefault="00935F96" w:rsidP="00935F96">
      <w:pPr>
        <w:pStyle w:val="ATHeading2"/>
      </w:pPr>
      <w:bookmarkStart w:id="2" w:name="title"/>
      <w:r w:rsidRPr="00EA02FB">
        <w:t xml:space="preserve">Pieprasījums atcelt </w:t>
      </w:r>
      <w:r w:rsidRPr="00EA02FB">
        <w:rPr>
          <w:i/>
        </w:rPr>
        <w:t>Grzegorz Braun</w:t>
      </w:r>
      <w:r w:rsidRPr="00EA02FB">
        <w:t xml:space="preserve"> imunitāti</w:t>
      </w:r>
      <w:bookmarkEnd w:id="2"/>
    </w:p>
    <w:p w:rsidR="00935F96" w:rsidRPr="00EA02FB" w:rsidRDefault="00935F96" w:rsidP="00935F96">
      <w:pPr>
        <w:rPr>
          <w:i/>
          <w:vanish/>
        </w:rPr>
      </w:pPr>
      <w:r w:rsidRPr="00EA02FB">
        <w:rPr>
          <w:i/>
        </w:rPr>
        <w:fldChar w:fldCharType="begin"/>
      </w:r>
      <w:r w:rsidRPr="00EA02FB">
        <w:rPr>
          <w:i/>
        </w:rPr>
        <w:instrText xml:space="preserve"> TC"(</w:instrText>
      </w:r>
      <w:bookmarkStart w:id="3" w:name="DocNumber"/>
      <w:r w:rsidRPr="00EA02FB">
        <w:rPr>
          <w:i/>
        </w:rPr>
        <w:instrText>A10-0081/2025</w:instrText>
      </w:r>
      <w:bookmarkEnd w:id="3"/>
      <w:r w:rsidRPr="00EA02FB">
        <w:rPr>
          <w:i/>
        </w:rPr>
        <w:instrText xml:space="preserve"> - Referents: Dainius Žalimas)"\l3 \n&gt; \* MERGEFORMAT </w:instrText>
      </w:r>
      <w:r w:rsidRPr="00EA02FB">
        <w:rPr>
          <w:i/>
        </w:rPr>
        <w:fldChar w:fldCharType="end"/>
      </w:r>
    </w:p>
    <w:p w:rsidR="00935F96" w:rsidRPr="00EA02FB" w:rsidRDefault="00935F96" w:rsidP="00935F96">
      <w:pPr>
        <w:rPr>
          <w:vanish/>
        </w:rPr>
      </w:pPr>
      <w:bookmarkStart w:id="4" w:name="Commission"/>
      <w:r w:rsidRPr="00EA02FB">
        <w:rPr>
          <w:vanish/>
        </w:rPr>
        <w:t>Juridiskā komiteja</w:t>
      </w:r>
      <w:bookmarkEnd w:id="4"/>
    </w:p>
    <w:p w:rsidR="00935F96" w:rsidRPr="00EA02FB" w:rsidRDefault="00935F96" w:rsidP="00935F96">
      <w:pPr>
        <w:rPr>
          <w:vanish/>
        </w:rPr>
      </w:pPr>
      <w:bookmarkStart w:id="5" w:name="PE"/>
      <w:r w:rsidRPr="00EA02FB">
        <w:rPr>
          <w:vanish/>
        </w:rPr>
        <w:t>PE770.079</w:t>
      </w:r>
      <w:bookmarkEnd w:id="5"/>
    </w:p>
    <w:p w:rsidR="00D537C4" w:rsidRPr="00EA02FB" w:rsidRDefault="00935F96" w:rsidP="00123A85">
      <w:pPr>
        <w:pStyle w:val="ATHeading3"/>
      </w:pPr>
      <w:bookmarkStart w:id="6" w:name="Sujet"/>
      <w:r w:rsidRPr="00EA02FB">
        <w:t xml:space="preserve">Eiropas Parlamenta 2025. gada </w:t>
      </w:r>
      <w:r w:rsidR="00123A85" w:rsidRPr="00EA02FB">
        <w:t>6</w:t>
      </w:r>
      <w:r w:rsidRPr="00EA02FB">
        <w:t xml:space="preserve">. </w:t>
      </w:r>
      <w:r w:rsidR="00123A85" w:rsidRPr="00EA02FB">
        <w:t>maija</w:t>
      </w:r>
      <w:r w:rsidRPr="00EA02FB">
        <w:t xml:space="preserve"> lēmums par pieprasījumu atcelt </w:t>
      </w:r>
      <w:r w:rsidRPr="00EA02FB">
        <w:rPr>
          <w:i/>
        </w:rPr>
        <w:t>Grzegorz Braun</w:t>
      </w:r>
      <w:r w:rsidRPr="00EA02FB">
        <w:t xml:space="preserve"> imunitāti</w:t>
      </w:r>
      <w:bookmarkEnd w:id="6"/>
      <w:r w:rsidRPr="00EA02FB">
        <w:t xml:space="preserve"> </w:t>
      </w:r>
      <w:bookmarkStart w:id="7" w:name="References"/>
      <w:r w:rsidRPr="00EA02FB">
        <w:t>(2024/2102(IMM))</w:t>
      </w:r>
      <w:bookmarkStart w:id="8" w:name="TextBodyBegin"/>
      <w:bookmarkEnd w:id="7"/>
      <w:bookmarkEnd w:id="8"/>
    </w:p>
    <w:p w:rsidR="00D537C4" w:rsidRPr="00EA02FB" w:rsidRDefault="00D537C4" w:rsidP="00D537C4">
      <w:pPr>
        <w:pStyle w:val="EPComma"/>
      </w:pPr>
      <w:r w:rsidRPr="00EA02FB">
        <w:rPr>
          <w:i/>
          <w:iCs/>
        </w:rPr>
        <w:t>Eiropas Parlaments</w:t>
      </w:r>
      <w:r w:rsidRPr="00EA02FB">
        <w:t>,</w:t>
      </w:r>
    </w:p>
    <w:p w:rsidR="00D537C4" w:rsidRPr="00EA02FB" w:rsidRDefault="00D537C4" w:rsidP="00D537C4">
      <w:pPr>
        <w:pStyle w:val="NormalHanging12a"/>
      </w:pPr>
      <w:r w:rsidRPr="00EA02FB">
        <w:t>–</w:t>
      </w:r>
      <w:r w:rsidRPr="00EA02FB">
        <w:tab/>
        <w:t xml:space="preserve">ņemot vērā Polijas Republikas ģenerālprokurora 2024. gada 29. oktobra pieprasījumu atcelt </w:t>
      </w:r>
      <w:r w:rsidRPr="00EA02FB">
        <w:rPr>
          <w:i/>
          <w:iCs/>
        </w:rPr>
        <w:t>Grzegorz Braun</w:t>
      </w:r>
      <w:r w:rsidRPr="00EA02FB">
        <w:t xml:space="preserve"> imunitāti, ar kuru tika nosūtīts Varšavas reģionālās prokuratūras iesniegtais pieprasījums saistībā ar kriminālvajāšanu, kas uzsākta pret </w:t>
      </w:r>
      <w:r w:rsidRPr="00EA02FB">
        <w:rPr>
          <w:i/>
          <w:iCs/>
        </w:rPr>
        <w:t>Grzegorz Braun</w:t>
      </w:r>
      <w:r w:rsidRPr="00EA02FB">
        <w:t>, un par kuru paziņots 2024. gada 14. novembra plenārsēdē,</w:t>
      </w:r>
    </w:p>
    <w:p w:rsidR="00D537C4" w:rsidRPr="00EA02FB" w:rsidRDefault="00D537C4" w:rsidP="00D537C4">
      <w:pPr>
        <w:pStyle w:val="NormalHanging12a"/>
      </w:pPr>
      <w:r w:rsidRPr="00EA02FB">
        <w:t>–</w:t>
      </w:r>
      <w:r w:rsidRPr="00EA02FB">
        <w:tab/>
        <w:t xml:space="preserve">ņemot vērā to, ka tiek uzskatīts, ka </w:t>
      </w:r>
      <w:r w:rsidRPr="00EA02FB">
        <w:rPr>
          <w:i/>
          <w:iCs/>
        </w:rPr>
        <w:t>Grzegorz Braun</w:t>
      </w:r>
      <w:r w:rsidRPr="00EA02FB">
        <w:t xml:space="preserve"> ir atteicies no tiesībām tikt uzklausītam saskaņā ar Reglamenta 9. panta 6. punktu,</w:t>
      </w:r>
    </w:p>
    <w:p w:rsidR="00D537C4" w:rsidRPr="00EA02FB" w:rsidRDefault="00D537C4" w:rsidP="00D537C4">
      <w:pPr>
        <w:pStyle w:val="NormalHanging12a"/>
      </w:pPr>
      <w:r w:rsidRPr="00EA02FB">
        <w:t>–</w:t>
      </w:r>
      <w:r w:rsidRPr="00EA02FB">
        <w:tab/>
        <w:t>ņemot vērā Protokola Nr. 7 par privilēģijām un imunitāti  Eiropas Savienībā 8. un 9. pantu, kā arī 1976. gada 20. septembra Akta par Eiropas Parlamenta deputātu ievēlēšanu tiešās vispārējās vēlēšanās 6. panta 2. punktu,</w:t>
      </w:r>
    </w:p>
    <w:p w:rsidR="00D537C4" w:rsidRPr="00EA02FB" w:rsidRDefault="00D537C4" w:rsidP="00D537C4">
      <w:pPr>
        <w:pStyle w:val="NormalHanging12a"/>
      </w:pPr>
      <w:r w:rsidRPr="00EA02FB">
        <w:t>–</w:t>
      </w:r>
      <w:r w:rsidRPr="00EA02FB">
        <w:tab/>
        <w:t>ņemot vērā Eiropas Savienības Tiesas 2008. gada 21. oktobra, 2010. gada 19. marta, 2011. gada 6. septembra, 2013. gada 17. janvāra, 2019. gada 19. decembra un 2023. gada 5. jūlija spriedumu</w:t>
      </w:r>
      <w:r w:rsidRPr="00EA02FB">
        <w:rPr>
          <w:rStyle w:val="FootnoteReference"/>
          <w:color w:val="000000"/>
        </w:rPr>
        <w:footnoteReference w:id="1"/>
      </w:r>
      <w:r w:rsidRPr="00EA02FB">
        <w:t>,</w:t>
      </w:r>
    </w:p>
    <w:p w:rsidR="00D537C4" w:rsidRPr="00EA02FB" w:rsidRDefault="00D537C4" w:rsidP="00D537C4">
      <w:pPr>
        <w:pStyle w:val="NormalHanging12a"/>
      </w:pPr>
      <w:r w:rsidRPr="00EA02FB">
        <w:t>–</w:t>
      </w:r>
      <w:r w:rsidRPr="00EA02FB">
        <w:tab/>
        <w:t>ņemot vērā Polijas Republikas Konstitūcijas 105. panta 2. un 5. punktu,</w:t>
      </w:r>
    </w:p>
    <w:p w:rsidR="00D537C4" w:rsidRPr="00EA02FB" w:rsidRDefault="00D537C4" w:rsidP="00D537C4">
      <w:pPr>
        <w:pStyle w:val="NormalHanging12a"/>
      </w:pPr>
      <w:r w:rsidRPr="00EA02FB">
        <w:t>–</w:t>
      </w:r>
      <w:r w:rsidRPr="00EA02FB">
        <w:tab/>
        <w:t>ņemot vērā Reglamenta 5. panta 2. punktu, 6. panta 1. punktu un 9. pantu,</w:t>
      </w:r>
    </w:p>
    <w:p w:rsidR="00D537C4" w:rsidRPr="00EA02FB" w:rsidRDefault="00D537C4" w:rsidP="00D537C4">
      <w:pPr>
        <w:pStyle w:val="NormalHanging12a"/>
      </w:pPr>
      <w:r w:rsidRPr="00EA02FB">
        <w:lastRenderedPageBreak/>
        <w:t>–</w:t>
      </w:r>
      <w:r w:rsidRPr="00EA02FB">
        <w:tab/>
        <w:t>ņemot vērā Juridiskās komitejas ziņojumu (A10</w:t>
      </w:r>
      <w:r w:rsidRPr="00EA02FB">
        <w:noBreakHyphen/>
        <w:t>0081/2025),</w:t>
      </w:r>
    </w:p>
    <w:p w:rsidR="00D537C4" w:rsidRPr="00EA02FB" w:rsidRDefault="00D537C4" w:rsidP="00D537C4">
      <w:pPr>
        <w:pStyle w:val="NormalHanging12a"/>
      </w:pPr>
      <w:r w:rsidRPr="00EA02FB">
        <w:t>A.</w:t>
      </w:r>
      <w:r w:rsidRPr="00EA02FB">
        <w:tab/>
        <w:t xml:space="preserve">tā kā Polijas </w:t>
      </w:r>
      <w:r w:rsidR="00123A85" w:rsidRPr="00EA02FB">
        <w:t xml:space="preserve">Republikas </w:t>
      </w:r>
      <w:r w:rsidRPr="00EA02FB">
        <w:t xml:space="preserve">ģenerālprokurors 2024. gada 29. oktobra vēstulē nosūtīja Varšavas Reģionālās prokuratūras iesniegto pieprasījumu atcelt </w:t>
      </w:r>
      <w:r w:rsidRPr="00EA02FB">
        <w:rPr>
          <w:i/>
          <w:iCs/>
        </w:rPr>
        <w:t>Grzegorz Braun</w:t>
      </w:r>
      <w:r w:rsidRPr="00EA02FB">
        <w:t xml:space="preserve"> imunitāti saistībā ar vairākiem iespējamiem noziedzīgiem nodarījumiem, kas notikuši 2022. un 2023. gadā;</w:t>
      </w:r>
    </w:p>
    <w:p w:rsidR="00D537C4" w:rsidRPr="00EA02FB" w:rsidRDefault="00D537C4" w:rsidP="00D537C4">
      <w:pPr>
        <w:pStyle w:val="NormalHanging12a"/>
      </w:pPr>
      <w:r w:rsidRPr="00EA02FB">
        <w:rPr>
          <w:shd w:val="clear" w:color="auto" w:fill="FFFFFF"/>
        </w:rPr>
        <w:t>B.</w:t>
      </w:r>
      <w:r w:rsidRPr="00EA02FB">
        <w:rPr>
          <w:shd w:val="clear" w:color="auto" w:fill="FFFFFF"/>
        </w:rPr>
        <w:tab/>
      </w:r>
      <w:r w:rsidRPr="00EA02FB">
        <w:t xml:space="preserve">tā kā saskaņā ar pieprasījumu pastāv aizdomas, ka </w:t>
      </w:r>
      <w:r w:rsidRPr="00EA02FB">
        <w:rPr>
          <w:i/>
          <w:iCs/>
        </w:rPr>
        <w:t>Grzegorz Braun</w:t>
      </w:r>
      <w:r w:rsidRPr="00EA02FB">
        <w:t xml:space="preserve"> 2022. gada 1. martā Valsts kardioloģijas institūta (</w:t>
      </w:r>
      <w:r w:rsidRPr="00EA02FB">
        <w:rPr>
          <w:i/>
          <w:iCs/>
        </w:rPr>
        <w:t xml:space="preserve">National </w:t>
      </w:r>
      <w:proofErr w:type="spellStart"/>
      <w:r w:rsidRPr="00EA02FB">
        <w:rPr>
          <w:i/>
          <w:iCs/>
        </w:rPr>
        <w:t>Institute</w:t>
      </w:r>
      <w:proofErr w:type="spellEnd"/>
      <w:r w:rsidRPr="00EA02FB">
        <w:rPr>
          <w:i/>
          <w:iCs/>
        </w:rPr>
        <w:t xml:space="preserve"> </w:t>
      </w:r>
      <w:proofErr w:type="spellStart"/>
      <w:r w:rsidRPr="00EA02FB">
        <w:rPr>
          <w:i/>
          <w:iCs/>
        </w:rPr>
        <w:t>of</w:t>
      </w:r>
      <w:proofErr w:type="spellEnd"/>
      <w:r w:rsidRPr="00EA02FB">
        <w:rPr>
          <w:i/>
          <w:iCs/>
        </w:rPr>
        <w:t xml:space="preserve"> </w:t>
      </w:r>
      <w:proofErr w:type="spellStart"/>
      <w:r w:rsidRPr="00EA02FB">
        <w:rPr>
          <w:i/>
          <w:iCs/>
        </w:rPr>
        <w:t>Cardiology</w:t>
      </w:r>
      <w:proofErr w:type="spellEnd"/>
      <w:r w:rsidRPr="00EA02FB">
        <w:rPr>
          <w:i/>
          <w:iCs/>
        </w:rPr>
        <w:t xml:space="preserve"> — </w:t>
      </w:r>
      <w:proofErr w:type="spellStart"/>
      <w:r w:rsidRPr="00EA02FB">
        <w:rPr>
          <w:i/>
          <w:iCs/>
        </w:rPr>
        <w:t>State</w:t>
      </w:r>
      <w:proofErr w:type="spellEnd"/>
      <w:r w:rsidRPr="00EA02FB">
        <w:rPr>
          <w:i/>
          <w:iCs/>
        </w:rPr>
        <w:t xml:space="preserve"> </w:t>
      </w:r>
      <w:proofErr w:type="spellStart"/>
      <w:r w:rsidRPr="00EA02FB">
        <w:rPr>
          <w:i/>
          <w:iCs/>
        </w:rPr>
        <w:t>Research</w:t>
      </w:r>
      <w:proofErr w:type="spellEnd"/>
      <w:r w:rsidRPr="00EA02FB">
        <w:rPr>
          <w:i/>
          <w:iCs/>
        </w:rPr>
        <w:t xml:space="preserve"> </w:t>
      </w:r>
      <w:proofErr w:type="spellStart"/>
      <w:r w:rsidRPr="00EA02FB">
        <w:rPr>
          <w:i/>
          <w:iCs/>
        </w:rPr>
        <w:t>Institute</w:t>
      </w:r>
      <w:proofErr w:type="spellEnd"/>
      <w:r w:rsidRPr="00EA02FB">
        <w:t>) ēkā vērsās pret amatpersonas, kura konkrētajā brīdī darbojās kā Valsts kardioloģijas institūta direktors, fizisko neaizskaramību, pildot šīs valsts amatpersonas oficiālos pienākumus un saistībā ar tiem; tā kā inkriminētās darbības ir noziedzīgs nodarījums saskaņā ar Polijas Kriminālkodeksa 222. panta 1. punktu un Polijas Kriminālkodeksa 191. panta 1. punktu, piemērojot minētā kodeksa 11. panta 2. punktu;</w:t>
      </w:r>
    </w:p>
    <w:p w:rsidR="00D537C4" w:rsidRPr="00EA02FB" w:rsidRDefault="00D537C4" w:rsidP="00D537C4">
      <w:pPr>
        <w:pStyle w:val="NormalHanging12a"/>
      </w:pPr>
      <w:r w:rsidRPr="00EA02FB">
        <w:rPr>
          <w:shd w:val="clear" w:color="auto" w:fill="FFFFFF"/>
        </w:rPr>
        <w:t>C.</w:t>
      </w:r>
      <w:r w:rsidRPr="00EA02FB">
        <w:rPr>
          <w:shd w:val="clear" w:color="auto" w:fill="FFFFFF"/>
        </w:rPr>
        <w:tab/>
      </w:r>
      <w:r w:rsidRPr="00EA02FB">
        <w:t xml:space="preserve">tā kā </w:t>
      </w:r>
      <w:r w:rsidRPr="00EA02FB">
        <w:rPr>
          <w:i/>
          <w:iCs/>
        </w:rPr>
        <w:t>Grzegorz Braun</w:t>
      </w:r>
      <w:r w:rsidRPr="00EA02FB">
        <w:t xml:space="preserve"> tiek inkriminēts, ka viņš 2022. gada 1. martā aizvainojis Valsts kardioloģijas institūta direktoru, tam pildot valsts ierēdņa oficiālos pienākumus un saistībā ar tiem, izvirzot viņam apsūdzības un straumējot notikumus internetā, kas varētu būt kaitējis viņa ierēdņa reputācijai un varētu būt ļāvis zaudēt nepieciešamo uzticēšanos, lai viņš varētu pildīt Valsts kardioloģijas institūta direktora pienākumus un strādāt ārsta profesijā;</w:t>
      </w:r>
      <w:r w:rsidRPr="00EA02FB">
        <w:rPr>
          <w:color w:val="000000"/>
        </w:rPr>
        <w:t xml:space="preserve"> </w:t>
      </w:r>
      <w:r w:rsidRPr="00EA02FB">
        <w:t>tā kā inkriminētās darbības ir noziedzīgs nodarījums saskaņā ar Polijas Kriminālkodeksa 226. panta 1. punktu un Polijas Kriminālkodeksa 212. panta 1. un 2. punktu, piemērojot minētā kodeksa 11. panta 2. punktu;</w:t>
      </w:r>
    </w:p>
    <w:p w:rsidR="00D537C4" w:rsidRPr="00EA02FB" w:rsidRDefault="00D537C4" w:rsidP="00D537C4">
      <w:pPr>
        <w:pStyle w:val="NormalHanging12a"/>
      </w:pPr>
      <w:r w:rsidRPr="00EA02FB">
        <w:rPr>
          <w:shd w:val="clear" w:color="auto" w:fill="FFFFFF"/>
        </w:rPr>
        <w:t>D.</w:t>
      </w:r>
      <w:r w:rsidRPr="00EA02FB">
        <w:rPr>
          <w:shd w:val="clear" w:color="auto" w:fill="FFFFFF"/>
        </w:rPr>
        <w:tab/>
      </w:r>
      <w:r w:rsidRPr="00EA02FB">
        <w:t xml:space="preserve">tā kā pastāv aizdomas, ka 2023. gada 27. janvārī </w:t>
      </w:r>
      <w:r w:rsidRPr="00EA02FB">
        <w:rPr>
          <w:i/>
          <w:iCs/>
        </w:rPr>
        <w:t>Grzegorz Braun</w:t>
      </w:r>
      <w:r w:rsidRPr="00EA02FB">
        <w:t xml:space="preserve"> izpostīja Ziemassvētku eglīti un iznīcināja dekorācijas, kas piederēja divām Polijas apvienībām, kuru biroji atradās Krakovas apgabaltiesas ēkā, un tā kā šāda kaitējuma nodarīšana ir noziedzīgs nodarījums saskaņā ar Polijas Kriminālkodeksa 288. panta 1. punktu;</w:t>
      </w:r>
    </w:p>
    <w:p w:rsidR="00D537C4" w:rsidRPr="00EA02FB" w:rsidRDefault="00D537C4" w:rsidP="00D537C4">
      <w:pPr>
        <w:pStyle w:val="NormalHanging12a"/>
      </w:pPr>
      <w:r w:rsidRPr="00EA02FB">
        <w:rPr>
          <w:shd w:val="clear" w:color="auto" w:fill="FFFFFF"/>
        </w:rPr>
        <w:t>E.</w:t>
      </w:r>
      <w:r w:rsidRPr="00EA02FB">
        <w:rPr>
          <w:shd w:val="clear" w:color="auto" w:fill="FFFFFF"/>
        </w:rPr>
        <w:tab/>
      </w:r>
      <w:r w:rsidRPr="00EA02FB">
        <w:t xml:space="preserve">tā kā </w:t>
      </w:r>
      <w:r w:rsidRPr="00EA02FB">
        <w:rPr>
          <w:i/>
          <w:iCs/>
        </w:rPr>
        <w:t>Grzegorz Braun</w:t>
      </w:r>
      <w:r w:rsidRPr="00EA02FB">
        <w:t xml:space="preserve"> tiek inkriminēts, ka 2023. gada 30. maijā Vācijas Vēstures institūta galvenajā mītnē Varšavā viņš nodarījis kaitējumu Vācijas Vēstures institūtam piederošam īpašumam, kas ir noziedzīgs nodarījums saskaņā ar Polijas Kriminālkodeksa 288. panta 1. punktu;</w:t>
      </w:r>
    </w:p>
    <w:p w:rsidR="00D537C4" w:rsidRPr="00EA02FB" w:rsidRDefault="00D537C4" w:rsidP="00D537C4">
      <w:pPr>
        <w:pStyle w:val="NormalHanging12a"/>
      </w:pPr>
      <w:r w:rsidRPr="00EA02FB">
        <w:rPr>
          <w:shd w:val="clear" w:color="auto" w:fill="FFFFFF"/>
        </w:rPr>
        <w:t>F.</w:t>
      </w:r>
      <w:r w:rsidRPr="00EA02FB">
        <w:rPr>
          <w:shd w:val="clear" w:color="auto" w:fill="FFFFFF"/>
        </w:rPr>
        <w:tab/>
      </w:r>
      <w:r w:rsidRPr="00EA02FB">
        <w:t xml:space="preserve">tā kā </w:t>
      </w:r>
      <w:r w:rsidRPr="00EA02FB">
        <w:rPr>
          <w:i/>
          <w:iCs/>
        </w:rPr>
        <w:t>Grzegorz Braun</w:t>
      </w:r>
      <w:r w:rsidRPr="00EA02FB">
        <w:t xml:space="preserve"> tiek inkriminēts, ka 2023. gada 30. maijā viņš atteicies atstāt Vācijas Vēstures institūta galveno mītni, neraugoties uz kompetentas personas lūgumu darīt tā, un tas ir noziedzīgs nodarījums saskaņā ar Polijas Kriminālkodeksa 193. panta 1. punktu;</w:t>
      </w:r>
    </w:p>
    <w:p w:rsidR="00D537C4" w:rsidRPr="00EA02FB" w:rsidRDefault="00D537C4" w:rsidP="00D537C4">
      <w:pPr>
        <w:pStyle w:val="NormalHanging12a"/>
        <w:rPr>
          <w:color w:val="000000"/>
        </w:rPr>
      </w:pPr>
      <w:r w:rsidRPr="00EA02FB">
        <w:rPr>
          <w:shd w:val="clear" w:color="auto" w:fill="FFFFFF"/>
        </w:rPr>
        <w:t>G.</w:t>
      </w:r>
      <w:r w:rsidRPr="00EA02FB">
        <w:rPr>
          <w:shd w:val="clear" w:color="auto" w:fill="FFFFFF"/>
        </w:rPr>
        <w:tab/>
      </w:r>
      <w:r w:rsidRPr="00EA02FB">
        <w:t xml:space="preserve">tā kā pastāv aizdomas, ka 2023. gada 12. decembrī Polijas Republikas </w:t>
      </w:r>
      <w:proofErr w:type="spellStart"/>
      <w:r w:rsidRPr="00EA02FB">
        <w:t>Sejma</w:t>
      </w:r>
      <w:proofErr w:type="spellEnd"/>
      <w:r w:rsidRPr="00EA02FB">
        <w:t xml:space="preserve"> telpās </w:t>
      </w:r>
      <w:r w:rsidRPr="00EA02FB">
        <w:rPr>
          <w:i/>
          <w:iCs/>
        </w:rPr>
        <w:t>Grzegorz Braun</w:t>
      </w:r>
      <w:r w:rsidRPr="00EA02FB">
        <w:t xml:space="preserve"> publiski apvainoja cilvēku grupu viņu reliģiskās piederības dēļ un publiski apgānīja reliģiska kulta objektu (</w:t>
      </w:r>
      <w:proofErr w:type="spellStart"/>
      <w:r w:rsidRPr="00EA02FB">
        <w:t>menoru</w:t>
      </w:r>
      <w:proofErr w:type="spellEnd"/>
      <w:r w:rsidRPr="00EA02FB">
        <w:t>), nodzēšot tajā ievietotās sveces ar ugunsdzēšamo aparātu, tādējādi pārkāpjot ebreju reliģiskās jūtas, un visas šīs darbības ir noziedzīgi nodarījumi, kas paredzēti Polijas Kriminālkodeksa 257. pantā un Polijas Kriminālkodeksa 195. panta 1. punktā un 196. pantā, piemērojot minētā kodeksa 11. panta 2. punktu;</w:t>
      </w:r>
    </w:p>
    <w:p w:rsidR="00D537C4" w:rsidRPr="00EA02FB" w:rsidRDefault="00D537C4" w:rsidP="00D537C4">
      <w:pPr>
        <w:pStyle w:val="NormalHanging12a"/>
      </w:pPr>
      <w:r w:rsidRPr="00EA02FB">
        <w:rPr>
          <w:shd w:val="clear" w:color="auto" w:fill="FFFFFF"/>
        </w:rPr>
        <w:t>H.</w:t>
      </w:r>
      <w:r w:rsidRPr="00EA02FB">
        <w:rPr>
          <w:shd w:val="clear" w:color="auto" w:fill="FFFFFF"/>
        </w:rPr>
        <w:tab/>
      </w:r>
      <w:r w:rsidRPr="00EA02FB">
        <w:t xml:space="preserve">tā kā </w:t>
      </w:r>
      <w:r w:rsidRPr="00EA02FB">
        <w:rPr>
          <w:i/>
          <w:iCs/>
        </w:rPr>
        <w:t>Grzegorz Braun</w:t>
      </w:r>
      <w:r w:rsidRPr="00EA02FB">
        <w:t xml:space="preserve"> tiek inkriminēts, ka viņš 2023. gada 12. decembrī Polijas Republikas </w:t>
      </w:r>
      <w:proofErr w:type="spellStart"/>
      <w:r w:rsidRPr="00EA02FB">
        <w:t>Sejma</w:t>
      </w:r>
      <w:proofErr w:type="spellEnd"/>
      <w:r w:rsidRPr="00EA02FB">
        <w:t xml:space="preserve"> telpās vērsās pret kāda cietušā fizisko neaizskaramību, kurš iejaucās, lai aizsargātu sabiedrisko kārtību, mēģinot cietušo apsmidzināt no ugunsdzēšamā aparāta, kas satur pulverveida vielu;</w:t>
      </w:r>
      <w:r w:rsidRPr="00EA02FB">
        <w:rPr>
          <w:color w:val="000000"/>
        </w:rPr>
        <w:t xml:space="preserve"> </w:t>
      </w:r>
      <w:r w:rsidRPr="00EA02FB">
        <w:t xml:space="preserve">tā kā ar inkriminētajām darbībām </w:t>
      </w:r>
      <w:r w:rsidRPr="00EA02FB">
        <w:rPr>
          <w:i/>
          <w:iCs/>
        </w:rPr>
        <w:t>Grzegorz Braun</w:t>
      </w:r>
      <w:r w:rsidRPr="00EA02FB">
        <w:t xml:space="preserve"> </w:t>
      </w:r>
      <w:r w:rsidRPr="00EA02FB">
        <w:lastRenderedPageBreak/>
        <w:t>ir nodarījis cietušajam vieglus miesas bojājumus, ar kuriem nodarīts kaitējums veselībai uz laiku ne ilgāk par septiņām dienām, kas ir noziedzīgs nodarījums saskaņā ar Polijas Kriminālkodeksa 157. panta 2. punktu un Polijas Kriminālkodeksa 217.a panta 1. punktu, piemērojot minētā kodeksa 11. panta 2. punktu;</w:t>
      </w:r>
    </w:p>
    <w:p w:rsidR="00D537C4" w:rsidRPr="00EA02FB" w:rsidRDefault="00D537C4" w:rsidP="00D537C4">
      <w:pPr>
        <w:pStyle w:val="NormalHanging12a"/>
      </w:pPr>
      <w:r w:rsidRPr="00EA02FB">
        <w:t>I.</w:t>
      </w:r>
      <w:r w:rsidRPr="00EA02FB">
        <w:tab/>
        <w:t xml:space="preserve">tā kā izmeklēšana, kas tika veikta saistībā ar iespējamajiem noziedzīgajiem nodarījumiem, kuri izklāstīti pieprasījumā par imunitātes atcelšanu, sākotnēji tika uzsākta 2023. gada 25. maijā, kad </w:t>
      </w:r>
      <w:r w:rsidRPr="00EA02FB">
        <w:rPr>
          <w:i/>
          <w:iCs/>
        </w:rPr>
        <w:t>Grzegorz Braun</w:t>
      </w:r>
      <w:r w:rsidRPr="00EA02FB">
        <w:t xml:space="preserve"> bija imunitāte kā Polijas Republikas </w:t>
      </w:r>
      <w:proofErr w:type="spellStart"/>
      <w:r w:rsidRPr="00EA02FB">
        <w:t>Sejma</w:t>
      </w:r>
      <w:proofErr w:type="spellEnd"/>
      <w:r w:rsidRPr="00EA02FB">
        <w:t xml:space="preserve"> deputātam; tā kā 2024. gada 17. janvārī Polijas Republikas </w:t>
      </w:r>
      <w:proofErr w:type="spellStart"/>
      <w:r w:rsidRPr="00EA02FB">
        <w:t>Sejms</w:t>
      </w:r>
      <w:proofErr w:type="spellEnd"/>
      <w:r w:rsidRPr="00EA02FB">
        <w:t xml:space="preserve"> deva piekrišanu izvirzīt kriminālapsūdzību pret </w:t>
      </w:r>
      <w:r w:rsidRPr="00EA02FB">
        <w:rPr>
          <w:i/>
          <w:iCs/>
        </w:rPr>
        <w:t>Grzegorz Braun</w:t>
      </w:r>
      <w:r w:rsidRPr="00EA02FB">
        <w:t xml:space="preserve"> saistībā ar pieprasījumā izklāstītajiem nodarījumiem;</w:t>
      </w:r>
      <w:r w:rsidRPr="00EA02FB">
        <w:rPr>
          <w:shd w:val="clear" w:color="auto" w:fill="FFFFFF"/>
        </w:rPr>
        <w:t xml:space="preserve"> </w:t>
      </w:r>
      <w:r w:rsidRPr="00EA02FB">
        <w:t xml:space="preserve">tā kā </w:t>
      </w:r>
      <w:r w:rsidRPr="00EA02FB">
        <w:rPr>
          <w:i/>
          <w:iCs/>
        </w:rPr>
        <w:t>Grzegorz Braun</w:t>
      </w:r>
      <w:r w:rsidRPr="00EA02FB">
        <w:t xml:space="preserve"> tika ievēlēts Eiropas Parlamentā 2024. gada jūnija Eiropas Parlamenta vēlēšanās; tā kā </w:t>
      </w:r>
      <w:r w:rsidRPr="00EA02FB">
        <w:rPr>
          <w:i/>
          <w:iCs/>
        </w:rPr>
        <w:t>Grzegorz Braun</w:t>
      </w:r>
      <w:r w:rsidRPr="00EA02FB">
        <w:t xml:space="preserve"> inkriminēto nodarījumu izdarīšanas laikā nebija Eiropas Parlamenta deputāts;</w:t>
      </w:r>
    </w:p>
    <w:p w:rsidR="00D537C4" w:rsidRPr="00EA02FB" w:rsidRDefault="00D537C4" w:rsidP="00D537C4">
      <w:pPr>
        <w:pStyle w:val="NormalHanging12a"/>
      </w:pPr>
      <w:r w:rsidRPr="00EA02FB">
        <w:t>J.</w:t>
      </w:r>
      <w:r w:rsidRPr="00EA02FB">
        <w:tab/>
        <w:t xml:space="preserve">tā kā inkriminētie nodarījumi un no tiem izrietošais pieprasījums atcelt </w:t>
      </w:r>
      <w:r w:rsidRPr="00EA02FB">
        <w:rPr>
          <w:i/>
          <w:iCs/>
        </w:rPr>
        <w:t>Grzegorz Braun</w:t>
      </w:r>
      <w:r w:rsidRPr="00EA02FB">
        <w:t xml:space="preserve"> imunitāti nav saistīti nedz ar viedokli, ko viņš kā Eiropas Parlamenta deputāts ir paudis, nedz balsojumu, ko viņš veicis, pildot savus pienākumus saskaņā ar Protokola (Nr. 7) par privilēģijām un imunitāti Eiropas Savienībā 8. pantu;</w:t>
      </w:r>
    </w:p>
    <w:p w:rsidR="00D537C4" w:rsidRPr="00EA02FB" w:rsidRDefault="00D537C4" w:rsidP="00D537C4">
      <w:pPr>
        <w:pStyle w:val="NormalHanging12a"/>
      </w:pPr>
      <w:r w:rsidRPr="00EA02FB">
        <w:t>K.</w:t>
      </w:r>
      <w:r w:rsidRPr="00EA02FB">
        <w:tab/>
        <w:t>tā kā saskaņā ar Protokola Nr. 7 par privilēģijām un imunitāti Eiropas Savienībā 9. panta a) punktu Eiropas Parlamenta locekļiem savā valstī ir imunitāte, ko piešķir attiecīgās valsts parlamenta locekļiem;</w:t>
      </w:r>
    </w:p>
    <w:p w:rsidR="00D537C4" w:rsidRPr="00EA02FB" w:rsidRDefault="00D537C4" w:rsidP="00D537C4">
      <w:pPr>
        <w:pStyle w:val="NormalHanging12a"/>
      </w:pPr>
      <w:r w:rsidRPr="00EA02FB">
        <w:t>L.</w:t>
      </w:r>
      <w:r w:rsidRPr="00EA02FB">
        <w:tab/>
        <w:t xml:space="preserve">tā kā saskaņā ar Polijas Konstitūcijas 105. panta 2. un 5. punktu, sākot no vēlēšanu rezultātu pasludināšanas dienas un līdz attiecīgā deputāta mandāta termiņa beigām, viņu bez Polijas Republikas </w:t>
      </w:r>
      <w:proofErr w:type="spellStart"/>
      <w:r w:rsidRPr="00EA02FB">
        <w:t>Sejma</w:t>
      </w:r>
      <w:proofErr w:type="spellEnd"/>
      <w:r w:rsidRPr="00EA02FB">
        <w:t xml:space="preserve"> piekrišanas pie kriminālatbildības nesauc un bez minētās piekrišanas nedz aiztur, nedz apcietina, izņemot gadījumus, kuros viņš tiek pieķerts noziedzīga nodarījuma izdarīšanas brīdī un kuros viņa aizturēšana ir nepieciešama, lai nodrošinātu procesuālo darbību pienācīgu veikšanu;</w:t>
      </w:r>
    </w:p>
    <w:p w:rsidR="00D537C4" w:rsidRPr="00EA02FB" w:rsidRDefault="00D537C4" w:rsidP="00D537C4">
      <w:pPr>
        <w:pStyle w:val="NormalHanging12a"/>
      </w:pPr>
      <w:r w:rsidRPr="00EA02FB">
        <w:t>M.</w:t>
      </w:r>
      <w:r w:rsidRPr="00EA02FB">
        <w:tab/>
        <w:t>tā kā parlamentārās imunitātes mērķis ir aizsargāt Parlamentu un tā deputātus pret tiesvedību, kas tiek ierosināta par darbībām, kuras ir veiktas, pildot parlamentāros pienākumus, un kuras atrauti no šiem pienākumiem skatīt nevar;</w:t>
      </w:r>
    </w:p>
    <w:p w:rsidR="00D537C4" w:rsidRPr="00EA02FB" w:rsidRDefault="00D537C4" w:rsidP="00D537C4">
      <w:pPr>
        <w:pStyle w:val="NormalHanging12a"/>
      </w:pPr>
      <w:r w:rsidRPr="00EA02FB">
        <w:t>N.</w:t>
      </w:r>
      <w:r w:rsidRPr="00EA02FB">
        <w:tab/>
        <w:t>tā kā saskaņā ar Parlamenta Reglamenta 5. panta 2. punktu deputāta imunitāte nav deputāta personiska privilēģija, bet gan visa Parlamenta un tā deputātu neatkarības garantija;</w:t>
      </w:r>
    </w:p>
    <w:p w:rsidR="00D537C4" w:rsidRPr="00EA02FB" w:rsidRDefault="00D537C4" w:rsidP="00D537C4">
      <w:pPr>
        <w:pStyle w:val="NormalHanging12a"/>
      </w:pPr>
      <w:r w:rsidRPr="00EA02FB">
        <w:t>O.</w:t>
      </w:r>
      <w:r w:rsidRPr="00EA02FB">
        <w:tab/>
        <w:t xml:space="preserve">tā kā šajā lietā Parlamentam nav pierādījumu par </w:t>
      </w:r>
      <w:proofErr w:type="spellStart"/>
      <w:r w:rsidRPr="00EA02FB">
        <w:rPr>
          <w:i/>
          <w:iCs/>
        </w:rPr>
        <w:t>fumus</w:t>
      </w:r>
      <w:proofErr w:type="spellEnd"/>
      <w:r w:rsidRPr="00EA02FB">
        <w:rPr>
          <w:i/>
          <w:iCs/>
        </w:rPr>
        <w:t xml:space="preserve"> </w:t>
      </w:r>
      <w:proofErr w:type="spellStart"/>
      <w:r w:rsidRPr="00EA02FB">
        <w:rPr>
          <w:i/>
          <w:iCs/>
        </w:rPr>
        <w:t>persecutionis</w:t>
      </w:r>
      <w:proofErr w:type="spellEnd"/>
      <w:r w:rsidRPr="00EA02FB">
        <w:t>, proti, par faktiskiem apstākļiem, kas norādītu uz to, ka attiecīgais kriminālprocess ir ierosināts, lai kaitētu attiecīgā Eiropas Parlamenta deputāta politiskajai darbībai;</w:t>
      </w:r>
    </w:p>
    <w:p w:rsidR="00D537C4" w:rsidRPr="00EA02FB" w:rsidRDefault="00D537C4" w:rsidP="00D537C4">
      <w:pPr>
        <w:pStyle w:val="NormalHanging12a"/>
      </w:pPr>
      <w:r w:rsidRPr="00EA02FB">
        <w:t>P.</w:t>
      </w:r>
      <w:r w:rsidRPr="00EA02FB">
        <w:tab/>
        <w:t>tā kā, no vienas puses, Parlaments nevar tikt pielīdzināts tiesai un, no otras puses, deputāts imunitātes atcelšanas procedūras kontekstā nevar tikt uzskatīts par apsūdzēto</w:t>
      </w:r>
      <w:r w:rsidRPr="00EA02FB">
        <w:rPr>
          <w:vertAlign w:val="superscript"/>
        </w:rPr>
        <w:footnoteReference w:id="2"/>
      </w:r>
      <w:r w:rsidRPr="00EA02FB">
        <w:t>,</w:t>
      </w:r>
    </w:p>
    <w:p w:rsidR="00D537C4" w:rsidRPr="00EA02FB" w:rsidRDefault="00D537C4" w:rsidP="00D537C4">
      <w:pPr>
        <w:pStyle w:val="NormalHanging12a"/>
      </w:pPr>
      <w:r w:rsidRPr="00EA02FB">
        <w:t>1.</w:t>
      </w:r>
      <w:r w:rsidRPr="00EA02FB">
        <w:tab/>
        <w:t xml:space="preserve">nolemj atcelt </w:t>
      </w:r>
      <w:r w:rsidRPr="00EA02FB">
        <w:rPr>
          <w:i/>
          <w:iCs/>
        </w:rPr>
        <w:t>Grzegorz Braun</w:t>
      </w:r>
      <w:r w:rsidRPr="00EA02FB">
        <w:t xml:space="preserve"> imunitāti;</w:t>
      </w:r>
    </w:p>
    <w:p w:rsidR="00E365E1" w:rsidRPr="00EA02FB" w:rsidRDefault="00D537C4" w:rsidP="00123A85">
      <w:pPr>
        <w:pStyle w:val="NormalHanging12a"/>
      </w:pPr>
      <w:r w:rsidRPr="00EA02FB">
        <w:t>2.</w:t>
      </w:r>
      <w:r w:rsidRPr="00EA02FB">
        <w:tab/>
        <w:t xml:space="preserve">uzdod priekšsēdētājai šo lēmumu un atbildīgās komitejas ziņojumu nekavējoties nosūtīt </w:t>
      </w:r>
      <w:r w:rsidRPr="00EA02FB">
        <w:lastRenderedPageBreak/>
        <w:t xml:space="preserve">Polijas Republikas kompetentajām iestādēm un </w:t>
      </w:r>
      <w:r w:rsidRPr="00EA02FB">
        <w:rPr>
          <w:i/>
          <w:iCs/>
        </w:rPr>
        <w:t>Grzegorz Braun</w:t>
      </w:r>
      <w:r w:rsidRPr="00EA02FB">
        <w:t>.</w:t>
      </w:r>
    </w:p>
    <w:sectPr w:rsidR="00E365E1" w:rsidRPr="00EA02FB" w:rsidSect="001729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F96" w:rsidRPr="001729C2" w:rsidRDefault="00935F96">
      <w:r w:rsidRPr="001729C2">
        <w:separator/>
      </w:r>
    </w:p>
  </w:endnote>
  <w:endnote w:type="continuationSeparator" w:id="0">
    <w:p w:rsidR="00935F96" w:rsidRPr="001729C2" w:rsidRDefault="00935F96">
      <w:r w:rsidRPr="00172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F96" w:rsidRPr="001729C2" w:rsidRDefault="00935F96">
      <w:r w:rsidRPr="001729C2">
        <w:separator/>
      </w:r>
    </w:p>
  </w:footnote>
  <w:footnote w:type="continuationSeparator" w:id="0">
    <w:p w:rsidR="00935F96" w:rsidRPr="001729C2" w:rsidRDefault="00935F96">
      <w:r w:rsidRPr="001729C2">
        <w:continuationSeparator/>
      </w:r>
    </w:p>
  </w:footnote>
  <w:footnote w:id="1">
    <w:p w:rsidR="00D537C4" w:rsidRPr="001729C2" w:rsidRDefault="00D537C4" w:rsidP="001729C2">
      <w:pPr>
        <w:pStyle w:val="FootnoteText"/>
        <w:ind w:left="567" w:hanging="567"/>
        <w:rPr>
          <w:sz w:val="24"/>
          <w:lang w:val="lv-LV"/>
        </w:rPr>
      </w:pPr>
      <w:r w:rsidRPr="001729C2">
        <w:rPr>
          <w:rStyle w:val="FootnoteReference"/>
          <w:sz w:val="24"/>
          <w:lang w:val="lv-LV"/>
        </w:rPr>
        <w:footnoteRef/>
      </w:r>
      <w:r w:rsidR="001729C2" w:rsidRPr="001729C2">
        <w:rPr>
          <w:sz w:val="24"/>
          <w:lang w:val="lv-LV"/>
        </w:rPr>
        <w:t xml:space="preserve"> </w:t>
      </w:r>
      <w:r w:rsidR="001729C2" w:rsidRPr="001729C2">
        <w:rPr>
          <w:sz w:val="24"/>
          <w:lang w:val="lv-LV"/>
        </w:rPr>
        <w:tab/>
      </w:r>
      <w:r w:rsidRPr="001729C2">
        <w:rPr>
          <w:sz w:val="24"/>
          <w:lang w:val="lv-LV"/>
        </w:rPr>
        <w:t xml:space="preserve">Tiesas 2008. gada 21. oktobra spriedums, </w:t>
      </w:r>
      <w:proofErr w:type="spellStart"/>
      <w:r w:rsidRPr="001729C2">
        <w:rPr>
          <w:i/>
          <w:iCs/>
          <w:sz w:val="24"/>
          <w:lang w:val="lv-LV"/>
        </w:rPr>
        <w:t>Marra</w:t>
      </w:r>
      <w:proofErr w:type="spellEnd"/>
      <w:r w:rsidRPr="001729C2">
        <w:rPr>
          <w:i/>
          <w:iCs/>
          <w:sz w:val="24"/>
          <w:lang w:val="lv-LV"/>
        </w:rPr>
        <w:t>/</w:t>
      </w:r>
      <w:proofErr w:type="spellStart"/>
      <w:r w:rsidRPr="001729C2">
        <w:rPr>
          <w:i/>
          <w:iCs/>
          <w:sz w:val="24"/>
          <w:lang w:val="lv-LV"/>
        </w:rPr>
        <w:t>De</w:t>
      </w:r>
      <w:proofErr w:type="spellEnd"/>
      <w:r w:rsidRPr="001729C2">
        <w:rPr>
          <w:i/>
          <w:iCs/>
          <w:sz w:val="24"/>
          <w:lang w:val="lv-LV"/>
        </w:rPr>
        <w:t xml:space="preserve"> Gregorio un </w:t>
      </w:r>
      <w:proofErr w:type="spellStart"/>
      <w:r w:rsidRPr="001729C2">
        <w:rPr>
          <w:i/>
          <w:iCs/>
          <w:sz w:val="24"/>
          <w:lang w:val="lv-LV"/>
        </w:rPr>
        <w:t>Clemente</w:t>
      </w:r>
      <w:proofErr w:type="spellEnd"/>
      <w:r w:rsidRPr="001729C2">
        <w:rPr>
          <w:sz w:val="24"/>
          <w:lang w:val="lv-LV"/>
        </w:rPr>
        <w:t xml:space="preserve">, C-200/07 un C-201/07, ECLI:EU:C:2008:579; Tiesas 2010. gada 19. marta spriedums, </w:t>
      </w:r>
      <w:proofErr w:type="spellStart"/>
      <w:r w:rsidRPr="001729C2">
        <w:rPr>
          <w:i/>
          <w:iCs/>
          <w:sz w:val="24"/>
          <w:lang w:val="lv-LV"/>
        </w:rPr>
        <w:t>Gollnisch</w:t>
      </w:r>
      <w:proofErr w:type="spellEnd"/>
      <w:r w:rsidRPr="001729C2">
        <w:rPr>
          <w:sz w:val="24"/>
          <w:lang w:val="lv-LV"/>
        </w:rPr>
        <w:t xml:space="preserve">/Parlaments, T-42/06, ECLI:EU:T:2010:102; Tiesas 2011. gada 6. septembra spriedums, </w:t>
      </w:r>
      <w:proofErr w:type="spellStart"/>
      <w:r w:rsidRPr="001729C2">
        <w:rPr>
          <w:i/>
          <w:iCs/>
          <w:sz w:val="24"/>
          <w:lang w:val="lv-LV"/>
        </w:rPr>
        <w:t>Patriciello</w:t>
      </w:r>
      <w:proofErr w:type="spellEnd"/>
      <w:r w:rsidRPr="001729C2">
        <w:rPr>
          <w:sz w:val="24"/>
          <w:lang w:val="lv-LV"/>
        </w:rPr>
        <w:t xml:space="preserve">, C-163/10, ECLI: EU:C:2011:543; Vispārējās tiesas 2013. gada 17. janvāra spriedums, </w:t>
      </w:r>
      <w:proofErr w:type="spellStart"/>
      <w:r w:rsidRPr="001729C2">
        <w:rPr>
          <w:i/>
          <w:iCs/>
          <w:sz w:val="24"/>
          <w:lang w:val="lv-LV"/>
        </w:rPr>
        <w:t>Gollnisch</w:t>
      </w:r>
      <w:proofErr w:type="spellEnd"/>
      <w:r w:rsidRPr="001729C2">
        <w:rPr>
          <w:sz w:val="24"/>
          <w:lang w:val="lv-LV"/>
        </w:rPr>
        <w:t xml:space="preserve">/Parlaments, T-346/11 un T-347/11, ECLI:EU:T:2013:23. Tiesas 2019. gada 19. decembra spriedums, </w:t>
      </w:r>
      <w:proofErr w:type="spellStart"/>
      <w:r w:rsidRPr="001729C2">
        <w:rPr>
          <w:i/>
          <w:iCs/>
          <w:sz w:val="24"/>
          <w:lang w:val="lv-LV"/>
        </w:rPr>
        <w:t>Junqueras</w:t>
      </w:r>
      <w:proofErr w:type="spellEnd"/>
      <w:r w:rsidRPr="001729C2">
        <w:rPr>
          <w:i/>
          <w:iCs/>
          <w:sz w:val="24"/>
          <w:lang w:val="lv-LV"/>
        </w:rPr>
        <w:t xml:space="preserve"> Vies</w:t>
      </w:r>
      <w:r w:rsidRPr="001729C2">
        <w:rPr>
          <w:sz w:val="24"/>
          <w:lang w:val="lv-LV"/>
        </w:rPr>
        <w:t xml:space="preserve">, C-502/19, ECLI:EU:C:2019:1115. Vispārējās tiesas 2023. gada 5. jūlija spriedums, </w:t>
      </w:r>
      <w:proofErr w:type="spellStart"/>
      <w:r w:rsidRPr="001729C2">
        <w:rPr>
          <w:i/>
          <w:iCs/>
          <w:sz w:val="24"/>
          <w:lang w:val="lv-LV"/>
        </w:rPr>
        <w:t>Puigdemont</w:t>
      </w:r>
      <w:proofErr w:type="spellEnd"/>
      <w:r w:rsidRPr="001729C2">
        <w:rPr>
          <w:i/>
          <w:iCs/>
          <w:sz w:val="24"/>
          <w:lang w:val="lv-LV"/>
        </w:rPr>
        <w:t xml:space="preserve"> i </w:t>
      </w:r>
      <w:proofErr w:type="spellStart"/>
      <w:r w:rsidRPr="001729C2">
        <w:rPr>
          <w:i/>
          <w:iCs/>
          <w:sz w:val="24"/>
          <w:lang w:val="lv-LV"/>
        </w:rPr>
        <w:t>Casamajó</w:t>
      </w:r>
      <w:proofErr w:type="spellEnd"/>
      <w:r w:rsidRPr="001729C2">
        <w:rPr>
          <w:sz w:val="24"/>
          <w:lang w:val="lv-LV"/>
        </w:rPr>
        <w:t xml:space="preserve"> u.c./Parlaments, T-272/21/P, ECLI:EU:T:2023:373.</w:t>
      </w:r>
    </w:p>
  </w:footnote>
  <w:footnote w:id="2">
    <w:p w:rsidR="00D537C4" w:rsidRPr="001729C2" w:rsidRDefault="00D537C4" w:rsidP="001729C2">
      <w:pPr>
        <w:pStyle w:val="FootnoteText"/>
        <w:ind w:left="567" w:hanging="567"/>
        <w:rPr>
          <w:sz w:val="24"/>
          <w:lang w:val="lv-LV"/>
        </w:rPr>
      </w:pPr>
      <w:r w:rsidRPr="001729C2">
        <w:rPr>
          <w:rStyle w:val="FootnoteReference"/>
          <w:sz w:val="24"/>
          <w:lang w:val="lv-LV"/>
        </w:rPr>
        <w:footnoteRef/>
      </w:r>
      <w:r w:rsidR="001729C2" w:rsidRPr="001729C2">
        <w:rPr>
          <w:sz w:val="24"/>
          <w:lang w:val="lv-LV"/>
        </w:rPr>
        <w:t xml:space="preserve"> </w:t>
      </w:r>
      <w:r w:rsidR="001729C2" w:rsidRPr="001729C2">
        <w:rPr>
          <w:sz w:val="24"/>
          <w:lang w:val="lv-LV"/>
        </w:rPr>
        <w:tab/>
      </w:r>
      <w:r w:rsidRPr="001729C2">
        <w:rPr>
          <w:sz w:val="24"/>
          <w:lang w:val="lv-LV"/>
        </w:rPr>
        <w:t xml:space="preserve">Vispārējās tiesas 2019. gada 30. aprīļa spriedums, </w:t>
      </w:r>
      <w:proofErr w:type="spellStart"/>
      <w:r w:rsidRPr="001729C2">
        <w:rPr>
          <w:i/>
          <w:iCs/>
          <w:sz w:val="24"/>
          <w:lang w:val="lv-LV"/>
        </w:rPr>
        <w:t>Briois</w:t>
      </w:r>
      <w:proofErr w:type="spellEnd"/>
      <w:r w:rsidRPr="001729C2">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29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LV"/>
    <w:docVar w:name="dvnumam" w:val="0"/>
    <w:docVar w:name="dvpe" w:val="770.079"/>
    <w:docVar w:name="dvrapporteur" w:val="Referents: "/>
    <w:docVar w:name="dvtitre" w:val="Eiropas Parlamenta 2025. gada XX. XXX lēmums par pieprasījumu atcelt Grzegorz Braun imunitāti(2024/2102(IMM))"/>
  </w:docVars>
  <w:rsids>
    <w:rsidRoot w:val="00935F96"/>
    <w:rsid w:val="00002272"/>
    <w:rsid w:val="00064002"/>
    <w:rsid w:val="000677B9"/>
    <w:rsid w:val="000831BA"/>
    <w:rsid w:val="000A42CC"/>
    <w:rsid w:val="000E7DD9"/>
    <w:rsid w:val="0010095E"/>
    <w:rsid w:val="00123A85"/>
    <w:rsid w:val="00125B37"/>
    <w:rsid w:val="001729C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C3D"/>
    <w:rsid w:val="00817416"/>
    <w:rsid w:val="00842779"/>
    <w:rsid w:val="00865F67"/>
    <w:rsid w:val="00881A7B"/>
    <w:rsid w:val="008840E5"/>
    <w:rsid w:val="00887B3E"/>
    <w:rsid w:val="008C2AC6"/>
    <w:rsid w:val="00930C23"/>
    <w:rsid w:val="0093193B"/>
    <w:rsid w:val="00935F9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37C4"/>
    <w:rsid w:val="00D56C11"/>
    <w:rsid w:val="00D834A0"/>
    <w:rsid w:val="00D872DF"/>
    <w:rsid w:val="00D91E21"/>
    <w:rsid w:val="00DA4768"/>
    <w:rsid w:val="00DA7FCD"/>
    <w:rsid w:val="00E365E1"/>
    <w:rsid w:val="00E820A4"/>
    <w:rsid w:val="00EA02F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C5E2F"/>
  <w15:chartTrackingRefBased/>
  <w15:docId w15:val="{4845D372-58DC-436B-BD7E-057E5E58E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537C4"/>
    <w:rPr>
      <w:b/>
    </w:rPr>
  </w:style>
  <w:style w:type="paragraph" w:customStyle="1" w:styleId="NormalHanging12a">
    <w:name w:val="NormalHanging12a"/>
    <w:basedOn w:val="Normal"/>
    <w:rsid w:val="00D537C4"/>
    <w:pPr>
      <w:spacing w:after="240"/>
      <w:ind w:left="567" w:hanging="567"/>
    </w:pPr>
  </w:style>
  <w:style w:type="paragraph" w:customStyle="1" w:styleId="EPComma">
    <w:name w:val="EPComma"/>
    <w:basedOn w:val="Normal"/>
    <w:rsid w:val="00D537C4"/>
    <w:pPr>
      <w:spacing w:before="480" w:after="240"/>
    </w:pPr>
  </w:style>
  <w:style w:type="paragraph" w:styleId="BalloonText">
    <w:name w:val="Balloon Text"/>
    <w:basedOn w:val="Normal"/>
    <w:link w:val="BalloonTextChar"/>
    <w:rsid w:val="007F4C3D"/>
    <w:rPr>
      <w:rFonts w:ascii="Segoe UI" w:hAnsi="Segoe UI" w:cs="Segoe UI"/>
      <w:sz w:val="18"/>
      <w:szCs w:val="18"/>
    </w:rPr>
  </w:style>
  <w:style w:type="character" w:customStyle="1" w:styleId="BalloonTextChar">
    <w:name w:val="Balloon Text Char"/>
    <w:basedOn w:val="DefaultParagraphFont"/>
    <w:link w:val="BalloonText"/>
    <w:rsid w:val="007F4C3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2948A-E75F-4127-8F95-C37D1C6DC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6649</Characters>
  <Application>Microsoft Office Word</Application>
  <DocSecurity>0</DocSecurity>
  <Lines>144</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2025-05-06T10:51:00Z</dcterms:created>
  <dcterms:modified xsi:type="dcterms:W3CDTF">2025-05-06T10:51:00Z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A10-0081/2025</vt:lpwstr>
  </property>
  <property fmtid="{D5CDD505-2E9C-101B-9397-08002B2CF9AE}" pid="4" name="&lt;Type&gt;">
    <vt:lpwstr>RR</vt:lpwstr>
  </property>
</Properties>
</file>