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P10_TA(2025)0069</w:t>
      </w:r>
      <w:bookmarkEnd w:id="1"/>
    </w:p>
    <w:p>
      <w:pPr>
        <w:pStyle w:val="ATHeading2"/>
      </w:pPr>
      <w:bookmarkStart w:id="2" w:name="title"/>
      <w:r>
        <w:t xml:space="preserve">Žiadosť o zbavenie </w:t>
      </w:r>
      <w:proofErr w:type="spellStart"/>
      <w:r>
        <w:t>Grzegorza</w:t>
      </w:r>
      <w:proofErr w:type="spellEnd"/>
      <w:r>
        <w:t xml:space="preserve"> </w:t>
      </w:r>
      <w:proofErr w:type="spellStart"/>
      <w:r>
        <w:t>Brauna</w:t>
      </w:r>
      <w:proofErr w:type="spellEnd"/>
      <w:r>
        <w:t xml:space="preserve"> imunity</w:t>
      </w:r>
      <w:bookmarkEnd w:id="2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A10-0081/2025</w:instrText>
      </w:r>
      <w:bookmarkEnd w:id="3"/>
      <w:r>
        <w:rPr>
          <w:i/>
        </w:rPr>
        <w:instrText xml:space="preserve"> - Spravodajca: </w:instrText>
      </w:r>
      <w:proofErr w:type="spellStart"/>
      <w:r>
        <w:rPr>
          <w:i/>
        </w:rPr>
        <w:instrText>Dainius</w:instrText>
      </w:r>
      <w:proofErr w:type="spellEnd"/>
      <w:r>
        <w:rPr>
          <w:i/>
        </w:rPr>
        <w:instrText xml:space="preserve"> </w:instrText>
      </w:r>
      <w:proofErr w:type="spellStart"/>
      <w:r>
        <w:rPr>
          <w:i/>
        </w:rPr>
        <w:instrText>Žalimas</w:instrText>
      </w:r>
      <w:proofErr w:type="spellEnd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Commission"/>
      <w:r>
        <w:rPr>
          <w:vanish/>
        </w:rPr>
        <w:t>Výbor pre právne veci</w:t>
      </w:r>
      <w:bookmarkEnd w:id="4"/>
    </w:p>
    <w:p>
      <w:pPr>
        <w:rPr>
          <w:vanish/>
        </w:rPr>
      </w:pPr>
      <w:bookmarkStart w:id="5" w:name="PE"/>
      <w:r>
        <w:rPr>
          <w:vanish/>
        </w:rPr>
        <w:t>PE770.079</w:t>
      </w:r>
      <w:bookmarkEnd w:id="5"/>
    </w:p>
    <w:p>
      <w:pPr>
        <w:pStyle w:val="ATHeading3"/>
      </w:pPr>
      <w:bookmarkStart w:id="6" w:name="Sujet"/>
      <w:r>
        <w:t xml:space="preserve">Rozhodnutie Európskeho parlamentu zo 6. mája 2025 o žiadosti o zbavenie </w:t>
      </w:r>
      <w:proofErr w:type="spellStart"/>
      <w:r>
        <w:t>Grzegorza</w:t>
      </w:r>
      <w:proofErr w:type="spellEnd"/>
      <w:r>
        <w:t xml:space="preserve"> </w:t>
      </w:r>
      <w:proofErr w:type="spellStart"/>
      <w:r>
        <w:t>Brauna</w:t>
      </w:r>
      <w:proofErr w:type="spellEnd"/>
      <w:r>
        <w:t xml:space="preserve"> imunity</w:t>
      </w:r>
      <w:bookmarkEnd w:id="6"/>
      <w:r>
        <w:t xml:space="preserve"> </w:t>
      </w:r>
      <w:bookmarkStart w:id="7" w:name="References"/>
      <w:r>
        <w:t>(2024/2102(IMM))</w:t>
      </w:r>
      <w:bookmarkEnd w:id="7"/>
    </w:p>
    <w:p>
      <w:pPr>
        <w:pStyle w:val="EPComma"/>
      </w:pPr>
      <w:bookmarkStart w:id="8" w:name="TextBodyBegin"/>
      <w:bookmarkEnd w:id="8"/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 xml:space="preserve">so zreteľom na žiadosť o zbavenie </w:t>
      </w:r>
      <w:proofErr w:type="spellStart"/>
      <w:r>
        <w:t>Grzegorza</w:t>
      </w:r>
      <w:proofErr w:type="spellEnd"/>
      <w:r>
        <w:t xml:space="preserve"> </w:t>
      </w:r>
      <w:proofErr w:type="spellStart"/>
      <w:r>
        <w:t>Brauna</w:t>
      </w:r>
      <w:proofErr w:type="spellEnd"/>
      <w:r>
        <w:t xml:space="preserve"> imunity z 29. októbra 2024, ktorou generálny prokurátor Poľskej republiky postúpil žiadosť krajskej prokuratúry vo Varšave v súvislosti s trestným konaním začatým proti </w:t>
      </w:r>
      <w:proofErr w:type="spellStart"/>
      <w:r>
        <w:t>Grzegorzovi</w:t>
      </w:r>
      <w:proofErr w:type="spellEnd"/>
      <w:r>
        <w:t xml:space="preserve"> </w:t>
      </w:r>
      <w:proofErr w:type="spellStart"/>
      <w:r>
        <w:t>Braunovi</w:t>
      </w:r>
      <w:proofErr w:type="spellEnd"/>
      <w:r>
        <w:t xml:space="preserve"> a ktorá bola oznámená na plenárnej schôdzi 14. novembra 2024,</w:t>
      </w:r>
    </w:p>
    <w:p>
      <w:pPr>
        <w:pStyle w:val="NormalHanging12a"/>
      </w:pPr>
      <w:r>
        <w:t>–</w:t>
      </w:r>
      <w:r>
        <w:tab/>
        <w:t xml:space="preserve">so zreteľom na skutočnosť, že sa predpokladá, že Grzegorz </w:t>
      </w:r>
      <w:proofErr w:type="spellStart"/>
      <w:r>
        <w:t>Braun</w:t>
      </w:r>
      <w:proofErr w:type="spellEnd"/>
      <w:r>
        <w:t xml:space="preserve"> sa vzdal svojho práva byť vypočutý podľa článku 9 ods. 6 rokovacieho poriadku,</w:t>
      </w:r>
    </w:p>
    <w:p>
      <w:pPr>
        <w:pStyle w:val="NormalHanging12a"/>
      </w:pPr>
      <w:r>
        <w:t>–</w:t>
      </w:r>
      <w:r>
        <w:tab/>
        <w:t>so zreteľom na články 8 a 9 Protokolu č. 7 o výsadách a imunitách Európskej únie, ako aj na článok 6 ods. 2 Aktu z 20. septembra 1976 o priamych a všeobecných voľbách poslancov Európskeho parlamentu,</w:t>
      </w:r>
    </w:p>
    <w:p>
      <w:pPr>
        <w:pStyle w:val="NormalHanging12a"/>
      </w:pPr>
      <w:r>
        <w:t>–</w:t>
      </w:r>
      <w:r>
        <w:tab/>
        <w:t>so zreteľom na rozsudky Súdneho dvora Európskej únie z 21. októbra 2008, 19. marca 2010, 6. septembra 2011, 17. januára 2013, 19. decembra 2019 a 5. júla 2023</w:t>
      </w:r>
      <w:r>
        <w:rPr>
          <w:rStyle w:val="FootnoteReference"/>
          <w:color w:val="000000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  <w:t>so zreteľom na článok 105 ods. 2 a 5 Ústavy Poľskej republiky,</w:t>
      </w:r>
    </w:p>
    <w:p>
      <w:pPr>
        <w:pStyle w:val="NormalHanging12a"/>
      </w:pPr>
      <w:r>
        <w:t>–</w:t>
      </w:r>
      <w:r>
        <w:tab/>
        <w:t>so zreteľom na článok 5 ods. 2, článok 6 ods. 1 a článok 9 rokovacieho poriadku,</w:t>
      </w:r>
    </w:p>
    <w:p>
      <w:pPr>
        <w:pStyle w:val="NormalHanging12a"/>
      </w:pPr>
      <w:r>
        <w:t>–</w:t>
      </w:r>
      <w:r>
        <w:tab/>
        <w:t>so zreteľom na správu Výboru pre právne veci (A10-0081/2025),</w:t>
      </w:r>
    </w:p>
    <w:p>
      <w:pPr>
        <w:pStyle w:val="NormalHanging12a"/>
      </w:pPr>
      <w:r>
        <w:lastRenderedPageBreak/>
        <w:t>A.</w:t>
      </w:r>
      <w:r>
        <w:tab/>
        <w:t xml:space="preserve">keďže generálny prokurátor Poľskej republiky listom z 29. októbra 2024 zaslal žiadosť o zbavenie </w:t>
      </w:r>
      <w:proofErr w:type="spellStart"/>
      <w:r>
        <w:t>Grzegorza</w:t>
      </w:r>
      <w:proofErr w:type="spellEnd"/>
      <w:r>
        <w:t xml:space="preserve"> </w:t>
      </w:r>
      <w:proofErr w:type="spellStart"/>
      <w:r>
        <w:t>Brauna</w:t>
      </w:r>
      <w:proofErr w:type="spellEnd"/>
      <w:r>
        <w:t xml:space="preserve"> imunity, ktorú predložila krajská prokuratúra vo Varšave v súvislosti s viacerými údajnými trestnými činmi, ku ktorým došlo v rokoch 2022 a 2023;</w:t>
      </w:r>
    </w:p>
    <w:p>
      <w:pPr>
        <w:pStyle w:val="NormalHanging12a"/>
      </w:pPr>
      <w:r>
        <w:rPr>
          <w:shd w:val="clear" w:color="auto" w:fill="FFFFFF"/>
        </w:rPr>
        <w:t>B.</w:t>
      </w:r>
      <w:r>
        <w:rPr>
          <w:shd w:val="clear" w:color="auto" w:fill="FFFFFF"/>
        </w:rPr>
        <w:tab/>
      </w:r>
      <w:r>
        <w:t xml:space="preserve">keďže podľa žiadosti Grzegorz </w:t>
      </w:r>
      <w:proofErr w:type="spellStart"/>
      <w:r>
        <w:t>Braun</w:t>
      </w:r>
      <w:proofErr w:type="spellEnd"/>
      <w:r>
        <w:t xml:space="preserve"> 1. marca 2022 v budove Národného kardiologického inštitútu – Štátneho výskumného inštitútu údajne narušil telesnú integritu verejného činiteľa, ktorý vykonával funkciu riaditeľa Národného kardiologického inštitútu, a to počas plnenia úradných povinností týmto verejným činiteľom a v súvislosti s ním; keďže uvedené údajné skutky predstavujú trestný čin podľa článku 222 ods. 1 poľského Trestného zákona súbežne s jeho článkom 191 ods. 1 a v spojení s článkom 11 ods. 2 tohto zákona;</w:t>
      </w:r>
    </w:p>
    <w:p>
      <w:pPr>
        <w:pStyle w:val="NormalHanging12a"/>
      </w:pPr>
      <w:r>
        <w:rPr>
          <w:shd w:val="clear" w:color="auto" w:fill="FFFFFF"/>
        </w:rPr>
        <w:t>C.</w:t>
      </w:r>
      <w:r>
        <w:rPr>
          <w:shd w:val="clear" w:color="auto" w:fill="FFFFFF"/>
        </w:rPr>
        <w:tab/>
        <w:t>keďže</w:t>
      </w:r>
      <w:r>
        <w:rPr>
          <w:color w:val="000000"/>
        </w:rPr>
        <w:t xml:space="preserve"> 1. marca 2022</w:t>
      </w:r>
      <w:r>
        <w:t xml:space="preserve"> Grzegorz </w:t>
      </w:r>
      <w:proofErr w:type="spellStart"/>
      <w:r>
        <w:t>Braun</w:t>
      </w:r>
      <w:proofErr w:type="spellEnd"/>
      <w:r>
        <w:t xml:space="preserve"> údajne </w:t>
      </w:r>
      <w:r>
        <w:rPr>
          <w:color w:val="000000"/>
        </w:rPr>
        <w:t xml:space="preserve">urážal riaditeľa Národného kardiologického inštitútu počas plnenia úradných povinností týmto verejným činiteľom a v súvislosti s ním, a to tým, že proti nemu vzniesol obvinenia a dianie vysielal na internete, čo údajne mohlo poškodiť verejnú povesť úradníka a pravdepodobne spôsobiť stratu potrebnej dôvery, ktorá mu bola zverená na výkon jeho funkcie riaditeľa Národného kardiologického inštitútu a vykonávanie lekárskeho povolania; </w:t>
      </w:r>
      <w:r>
        <w:t xml:space="preserve">keďže uvedené údajné skutky predstavujú </w:t>
      </w:r>
      <w:r>
        <w:rPr>
          <w:color w:val="000000"/>
        </w:rPr>
        <w:t>trestný čin podľa článku 226 ods. 1 poľského Trestného zákona súbežne s jeho článkom 212 ods. 1 a ods. 2 v spojení s článkom 11 ods. 2 tohto zákona</w:t>
      </w:r>
      <w:r>
        <w:t>;</w:t>
      </w:r>
    </w:p>
    <w:p>
      <w:pPr>
        <w:pStyle w:val="NormalHanging12a"/>
      </w:pPr>
      <w:r>
        <w:rPr>
          <w:shd w:val="clear" w:color="auto" w:fill="FFFFFF"/>
        </w:rPr>
        <w:t>D.</w:t>
      </w:r>
      <w:r>
        <w:rPr>
          <w:shd w:val="clear" w:color="auto" w:fill="FFFFFF"/>
        </w:rPr>
        <w:tab/>
        <w:t xml:space="preserve">keďže </w:t>
      </w:r>
      <w:r>
        <w:rPr>
          <w:color w:val="000000"/>
        </w:rPr>
        <w:t>27. januára 2023</w:t>
      </w:r>
      <w:r>
        <w:t xml:space="preserve"> Grzegorz </w:t>
      </w:r>
      <w:proofErr w:type="spellStart"/>
      <w:r>
        <w:t>Braun</w:t>
      </w:r>
      <w:proofErr w:type="spellEnd"/>
      <w:r>
        <w:t xml:space="preserve"> </w:t>
      </w:r>
      <w:r>
        <w:rPr>
          <w:color w:val="000000"/>
        </w:rPr>
        <w:t>údajne poškodil vianočný stromček a zničil dekorácie, ktoré boli majetkom dvoch poľských združení, ktorých kancelárie sa nachádzali v budove Krajského súdu v Krakove, a keďže spôsobenie takejto škody predstavuje trestný čin podľa článku 288 ods. 1 poľského Trestného zákona</w:t>
      </w:r>
      <w:r>
        <w:t>;</w:t>
      </w:r>
    </w:p>
    <w:p>
      <w:pPr>
        <w:pStyle w:val="NormalHanging12a"/>
      </w:pPr>
      <w:r>
        <w:rPr>
          <w:shd w:val="clear" w:color="auto" w:fill="FFFFFF"/>
        </w:rPr>
        <w:t>E.</w:t>
      </w:r>
      <w:r>
        <w:rPr>
          <w:shd w:val="clear" w:color="auto" w:fill="FFFFFF"/>
        </w:rPr>
        <w:tab/>
      </w:r>
      <w:r>
        <w:t xml:space="preserve">keďže 30. mája 2023 Grzegorz </w:t>
      </w:r>
      <w:proofErr w:type="spellStart"/>
      <w:r>
        <w:t>Braun</w:t>
      </w:r>
      <w:proofErr w:type="spellEnd"/>
      <w:r>
        <w:t xml:space="preserve"> v sídle Nemeckého historického inštitútu vo Varšave</w:t>
      </w:r>
      <w:r>
        <w:rPr>
          <w:color w:val="000000"/>
        </w:rPr>
        <w:t xml:space="preserve"> </w:t>
      </w:r>
      <w:r>
        <w:t>údajne poškodil majetok patriaci Nemeckému historickému inštitútu, čo predstavuje trestný čin podľa článku 288 ods. 1 poľského Trestného zákona;</w:t>
      </w:r>
    </w:p>
    <w:p>
      <w:pPr>
        <w:pStyle w:val="NormalHanging12a"/>
      </w:pPr>
      <w:r>
        <w:rPr>
          <w:shd w:val="clear" w:color="auto" w:fill="FFFFFF"/>
        </w:rPr>
        <w:t>F.</w:t>
      </w:r>
      <w:r>
        <w:rPr>
          <w:shd w:val="clear" w:color="auto" w:fill="FFFFFF"/>
        </w:rPr>
        <w:tab/>
      </w:r>
      <w:r>
        <w:t xml:space="preserve">keďže </w:t>
      </w:r>
      <w:r>
        <w:rPr>
          <w:color w:val="000000"/>
        </w:rPr>
        <w:t xml:space="preserve">30. mája 2023 </w:t>
      </w:r>
      <w:r>
        <w:t xml:space="preserve">Grzegorz </w:t>
      </w:r>
      <w:proofErr w:type="spellStart"/>
      <w:r>
        <w:t>Braun</w:t>
      </w:r>
      <w:proofErr w:type="spellEnd"/>
      <w:r>
        <w:t xml:space="preserve"> </w:t>
      </w:r>
      <w:r>
        <w:rPr>
          <w:color w:val="000000"/>
        </w:rPr>
        <w:t>údajne neopustil sídlo Nemeckého historického inštitútu napriek tomu, že ho o to požiadala oprávnená osoba, čo predstavuje trestný čin podľa článku 193 ods. 1 poľského Trestného zákona</w:t>
      </w:r>
      <w:r>
        <w:t>;</w:t>
      </w:r>
    </w:p>
    <w:p>
      <w:pPr>
        <w:pStyle w:val="NormalHanging12a"/>
        <w:rPr>
          <w:color w:val="000000"/>
        </w:rPr>
      </w:pPr>
      <w:r>
        <w:rPr>
          <w:shd w:val="clear" w:color="auto" w:fill="FFFFFF"/>
        </w:rPr>
        <w:t>G.</w:t>
      </w:r>
      <w:r>
        <w:rPr>
          <w:shd w:val="clear" w:color="auto" w:fill="FFFFFF"/>
        </w:rPr>
        <w:tab/>
        <w:t>keďže</w:t>
      </w:r>
      <w:r>
        <w:t xml:space="preserve"> </w:t>
      </w:r>
      <w:r>
        <w:rPr>
          <w:color w:val="000000"/>
        </w:rPr>
        <w:t xml:space="preserve">12. decembra 2023 Grzegorz </w:t>
      </w:r>
      <w:proofErr w:type="spellStart"/>
      <w:r>
        <w:rPr>
          <w:color w:val="000000"/>
        </w:rPr>
        <w:t>Braun</w:t>
      </w:r>
      <w:proofErr w:type="spellEnd"/>
      <w:r>
        <w:rPr>
          <w:color w:val="000000"/>
        </w:rPr>
        <w:t xml:space="preserve"> v priestoroch </w:t>
      </w:r>
      <w:proofErr w:type="spellStart"/>
      <w:r>
        <w:rPr>
          <w:color w:val="000000"/>
        </w:rPr>
        <w:t>Sejmu</w:t>
      </w:r>
      <w:proofErr w:type="spellEnd"/>
      <w:r>
        <w:rPr>
          <w:color w:val="000000"/>
        </w:rPr>
        <w:t xml:space="preserve"> Poľskej republiky</w:t>
      </w:r>
      <w:r>
        <w:t xml:space="preserve"> údajne </w:t>
      </w:r>
      <w:r>
        <w:rPr>
          <w:color w:val="000000"/>
        </w:rPr>
        <w:t>verejne urážal skupinu ľudí na základe ich náboženskej príslušnosti a údajne verejne urážal predmet náboženských bohoslužieb (</w:t>
      </w:r>
      <w:proofErr w:type="spellStart"/>
      <w:r>
        <w:rPr>
          <w:color w:val="000000"/>
        </w:rPr>
        <w:t>menorah</w:t>
      </w:r>
      <w:proofErr w:type="spellEnd"/>
      <w:r>
        <w:rPr>
          <w:color w:val="000000"/>
        </w:rPr>
        <w:t>) tým, že zahasil sviečky na ňom hasiacim prístrojom, čím údajne urazil náboženské cítenie Židov, čo predstavuje trestný čin podľa článku 257 poľského Trestného zákona, súbežne s jeho článkom 195 ods. 1 a článkom 196 a v spojení s článkom 11 ods. 2 tohto zákona</w:t>
      </w:r>
      <w:r>
        <w:t>;</w:t>
      </w:r>
    </w:p>
    <w:p>
      <w:pPr>
        <w:pStyle w:val="NormalHanging12a"/>
      </w:pPr>
      <w:r>
        <w:rPr>
          <w:shd w:val="clear" w:color="auto" w:fill="FFFFFF"/>
        </w:rPr>
        <w:t>H.</w:t>
      </w:r>
      <w:r>
        <w:rPr>
          <w:shd w:val="clear" w:color="auto" w:fill="FFFFFF"/>
        </w:rPr>
        <w:tab/>
      </w:r>
      <w:r>
        <w:t xml:space="preserve">keďže </w:t>
      </w:r>
      <w:r>
        <w:rPr>
          <w:color w:val="000000"/>
        </w:rPr>
        <w:t xml:space="preserve">12. decembra 2023 v priestoroch </w:t>
      </w:r>
      <w:proofErr w:type="spellStart"/>
      <w:r>
        <w:rPr>
          <w:color w:val="000000"/>
        </w:rPr>
        <w:t>Sejmu</w:t>
      </w:r>
      <w:proofErr w:type="spellEnd"/>
      <w:r>
        <w:rPr>
          <w:color w:val="000000"/>
        </w:rPr>
        <w:t xml:space="preserve"> Poľskej republiky</w:t>
      </w:r>
      <w:r>
        <w:t xml:space="preserve"> Grzegorz </w:t>
      </w:r>
      <w:proofErr w:type="spellStart"/>
      <w:r>
        <w:t>Braun</w:t>
      </w:r>
      <w:proofErr w:type="spellEnd"/>
      <w:r>
        <w:rPr>
          <w:color w:val="000000"/>
        </w:rPr>
        <w:t xml:space="preserve"> údajne narušil telesnú integritu poškodenej osoby, ktorá zasiahla s cieľom chrániť verejný poriadok, a to tým, že na túto osobu namieril sprej z hasiaceho prístroja s obsahom práškovej látky; keďže</w:t>
      </w:r>
      <w:r>
        <w:t xml:space="preserve"> Grzegorz </w:t>
      </w:r>
      <w:proofErr w:type="spellStart"/>
      <w:r>
        <w:t>Braun</w:t>
      </w:r>
      <w:proofErr w:type="spellEnd"/>
      <w:r>
        <w:rPr>
          <w:color w:val="000000"/>
        </w:rPr>
        <w:t xml:space="preserve"> údajne spôsobil poškodenej osobe menšie zranenie s dĺžkou liečby sedem dní, čo predstavuje trestný čin podľa článku 157 ods. 2 poľského Trestného zákona súbežne s jeho článkom 217a a v spojení s článkom 11 ods. 2 tohto zákona</w:t>
      </w:r>
      <w:r>
        <w:t>;</w:t>
      </w:r>
    </w:p>
    <w:p>
      <w:pPr>
        <w:pStyle w:val="NormalHanging12a"/>
      </w:pPr>
      <w:r>
        <w:lastRenderedPageBreak/>
        <w:t>I.</w:t>
      </w:r>
      <w:r>
        <w:tab/>
        <w:t xml:space="preserve">keďže </w:t>
      </w:r>
      <w:r>
        <w:rPr>
          <w:color w:val="000000"/>
        </w:rPr>
        <w:t>vyšetrovanie vykonané v súvislosti s údajnými trestnými činmi uvedenými v žiadosti o zbavenie imunity sa pôvodne začalo 25. mája 2023, teda v čase,</w:t>
      </w:r>
      <w:r>
        <w:t xml:space="preserve"> keď Grzegorz </w:t>
      </w:r>
      <w:proofErr w:type="spellStart"/>
      <w:r>
        <w:t>Braun</w:t>
      </w:r>
      <w:proofErr w:type="spellEnd"/>
      <w:r>
        <w:t xml:space="preserve"> požíval imunitu ako poslanec </w:t>
      </w:r>
      <w:proofErr w:type="spellStart"/>
      <w:r>
        <w:t>Sejmu</w:t>
      </w:r>
      <w:proofErr w:type="spellEnd"/>
      <w:r>
        <w:t xml:space="preserve"> </w:t>
      </w:r>
      <w:r>
        <w:rPr>
          <w:color w:val="000000"/>
        </w:rPr>
        <w:t>Poľskej republiky</w:t>
      </w:r>
      <w:r>
        <w:t xml:space="preserve">; keďže </w:t>
      </w:r>
      <w:r>
        <w:rPr>
          <w:color w:val="000000"/>
        </w:rPr>
        <w:t xml:space="preserve">17. januára 2024 </w:t>
      </w:r>
      <w:proofErr w:type="spellStart"/>
      <w:r>
        <w:rPr>
          <w:color w:val="000000"/>
        </w:rPr>
        <w:t>Sejm</w:t>
      </w:r>
      <w:proofErr w:type="spellEnd"/>
      <w:r>
        <w:rPr>
          <w:color w:val="000000"/>
        </w:rPr>
        <w:t xml:space="preserve"> Poľskej republiky udelil súhlas s trestným stíhaním </w:t>
      </w:r>
      <w:proofErr w:type="spellStart"/>
      <w:r>
        <w:rPr>
          <w:color w:val="000000"/>
        </w:rPr>
        <w:t>Grzegorza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Brauna</w:t>
      </w:r>
      <w:proofErr w:type="spellEnd"/>
      <w:r>
        <w:rPr>
          <w:color w:val="000000"/>
        </w:rPr>
        <w:t xml:space="preserve"> v súvislosti s trestnými činmi uvedenými v žiadosti;</w:t>
      </w:r>
      <w:r>
        <w:rPr>
          <w:shd w:val="clear" w:color="auto" w:fill="FFFFFF"/>
        </w:rPr>
        <w:t xml:space="preserve"> keďže </w:t>
      </w:r>
      <w:r>
        <w:t xml:space="preserve">Grzegorz </w:t>
      </w:r>
      <w:proofErr w:type="spellStart"/>
      <w:r>
        <w:t>Braun</w:t>
      </w:r>
      <w:proofErr w:type="spellEnd"/>
      <w:r>
        <w:rPr>
          <w:shd w:val="clear" w:color="auto" w:fill="FFFFFF"/>
        </w:rPr>
        <w:t xml:space="preserve"> bol zvolený do Európskeho parlamentu v európskych voľbách v júni 2024</w:t>
      </w:r>
      <w:r>
        <w:t>; keďže</w:t>
      </w:r>
      <w:r>
        <w:rPr>
          <w:shd w:val="clear" w:color="auto" w:fill="FFFFFF"/>
        </w:rPr>
        <w:t xml:space="preserve"> </w:t>
      </w:r>
      <w:r>
        <w:t xml:space="preserve">Grzegorz </w:t>
      </w:r>
      <w:proofErr w:type="spellStart"/>
      <w:r>
        <w:t>Braun</w:t>
      </w:r>
      <w:proofErr w:type="spellEnd"/>
      <w:r>
        <w:rPr>
          <w:shd w:val="clear" w:color="auto" w:fill="FFFFFF"/>
        </w:rPr>
        <w:t xml:space="preserve"> teda nebol v čase spáchania údajného trestného činu poslancom Európskeho parlamentu;</w:t>
      </w:r>
    </w:p>
    <w:p>
      <w:pPr>
        <w:pStyle w:val="NormalHanging12a"/>
      </w:pPr>
      <w:r>
        <w:t>J.</w:t>
      </w:r>
      <w:r>
        <w:tab/>
        <w:t xml:space="preserve">keďže údajné trestné činy a následná žiadosť o zbavenie </w:t>
      </w:r>
      <w:proofErr w:type="spellStart"/>
      <w:r>
        <w:t>Grzegorza</w:t>
      </w:r>
      <w:proofErr w:type="spellEnd"/>
      <w:r>
        <w:t xml:space="preserve"> </w:t>
      </w:r>
      <w:proofErr w:type="spellStart"/>
      <w:r>
        <w:t>Brauna</w:t>
      </w:r>
      <w:proofErr w:type="spellEnd"/>
      <w:r>
        <w:t xml:space="preserve"> imunity nesúvisia s jeho vyjadreným názorom alebo hlasovaním pri výkone jeho úloh v zmysle článku 8 Protokolu č. 7 o výsadách a imunitách Európskej únie;</w:t>
      </w:r>
    </w:p>
    <w:p>
      <w:pPr>
        <w:pStyle w:val="NormalHanging12a"/>
      </w:pPr>
      <w:r>
        <w:t>K.</w:t>
      </w:r>
      <w:r>
        <w:tab/>
        <w:t>keďže v článku 9 prvom odseku písm. a) Protokolu č. 7 o výsadách a imunitách Európskej únie sa stanovuje, že poslanci Európskeho parlamentu požívajú na území ich vlastného štátu imunitu priznanú členom ich parlamentu;</w:t>
      </w:r>
    </w:p>
    <w:p>
      <w:pPr>
        <w:pStyle w:val="NormalHanging12a"/>
      </w:pPr>
      <w:r>
        <w:t>L.</w:t>
      </w:r>
      <w:r>
        <w:tab/>
        <w:t xml:space="preserve">keďže v súlade s článkom 105 ods. 2 a 5 poľskej ústavy odo dňa oznámenia výsledkov volieb až do dňa skončenia svojho mandátu poslanca nesmie byť poslanec bez súhlasu </w:t>
      </w:r>
      <w:proofErr w:type="spellStart"/>
      <w:r>
        <w:t>Sejmu</w:t>
      </w:r>
      <w:proofErr w:type="spellEnd"/>
      <w:r>
        <w:t xml:space="preserve"> Poľskej republiky trestne stíhaný ani zadržaný či zatknutý s výnimkou prípadov, keď bol zadržaný pri páchaní trestného činu a keď je jeho zadržanie potrebné na účel riadneho priebehu konania;</w:t>
      </w:r>
    </w:p>
    <w:p>
      <w:pPr>
        <w:pStyle w:val="NormalHanging12a"/>
      </w:pPr>
      <w:r>
        <w:t>M.</w:t>
      </w:r>
      <w:r>
        <w:tab/>
        <w:t>keďže účelom poslaneckej imunity je chrániť Európsky parlament a jeho poslancov pred súdnymi konaniami v súvislosti s činnosťami vykonávanými pri výkone poslaneckých povinností, ktoré nemožno oddeliť od týchto povinností;</w:t>
      </w:r>
    </w:p>
    <w:p>
      <w:pPr>
        <w:pStyle w:val="NormalHanging12a"/>
      </w:pPr>
      <w:r>
        <w:t>N.</w:t>
      </w:r>
      <w:r>
        <w:tab/>
        <w:t>keďže v súlade s článkom 5 ods. 2 rokovacieho poriadku poslanecká imunita nie je osobná výsada poslanca, ale záruka nezávislosti Európskeho parlamentu ako celku a jeho poslancov;</w:t>
      </w:r>
    </w:p>
    <w:p>
      <w:pPr>
        <w:pStyle w:val="NormalHanging12a"/>
      </w:pPr>
      <w:r>
        <w:t>O.</w:t>
      </w:r>
      <w:r>
        <w:tab/>
        <w:t xml:space="preserve">keďže Európsky parlament v tomto prípade nenašiel žiadny dôkaz </w:t>
      </w:r>
      <w:proofErr w:type="spellStart"/>
      <w:r>
        <w:rPr>
          <w:i/>
        </w:rPr>
        <w:t>fumus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persecutionis</w:t>
      </w:r>
      <w:proofErr w:type="spellEnd"/>
      <w:r>
        <w:t>, t. j. skutkové okolnosti, ktoré by naznačovali, že predmetné súdne konanie sa začalo s úmyslom poškodiť politickú činnosť poslanca ako člena Európskeho parlamentu;</w:t>
      </w:r>
    </w:p>
    <w:p>
      <w:pPr>
        <w:pStyle w:val="NormalHanging12a"/>
      </w:pPr>
      <w:r>
        <w:t>P.</w:t>
      </w:r>
      <w:r>
        <w:tab/>
        <w:t>keďže na jednej strane Európsky parlament nemožno považovať za súd a na druhej strane poslanec nemôže byť v súvislosti s postupom zbavenia imunity považovaný za „obvineného“</w:t>
      </w:r>
      <w:r>
        <w:rPr>
          <w:vertAlign w:val="superscript"/>
        </w:rPr>
        <w:footnoteReference w:id="2"/>
      </w:r>
      <w:r>
        <w:t>;</w:t>
      </w:r>
    </w:p>
    <w:p>
      <w:pPr>
        <w:pStyle w:val="NormalHanging12a"/>
      </w:pPr>
      <w:r>
        <w:t>1.</w:t>
      </w:r>
      <w:r>
        <w:tab/>
        <w:t xml:space="preserve">rozhodol zbaviť </w:t>
      </w:r>
      <w:proofErr w:type="spellStart"/>
      <w:r>
        <w:t>Grzegorza</w:t>
      </w:r>
      <w:proofErr w:type="spellEnd"/>
      <w:r>
        <w:t xml:space="preserve"> </w:t>
      </w:r>
      <w:proofErr w:type="spellStart"/>
      <w:r>
        <w:t>Brauna</w:t>
      </w:r>
      <w:proofErr w:type="spellEnd"/>
      <w:r>
        <w:t xml:space="preserve"> imunity;</w:t>
      </w:r>
    </w:p>
    <w:p>
      <w:pPr>
        <w:pStyle w:val="NormalHanging12a"/>
      </w:pPr>
      <w:r>
        <w:t>2.</w:t>
      </w:r>
      <w:r>
        <w:tab/>
        <w:t xml:space="preserve">poveruje svoju predsedníčku, aby bezodkladne postúpila toto rozhodnutie a správu gestorského výboru príslušným orgánom Poľskej republiky a </w:t>
      </w:r>
      <w:proofErr w:type="spellStart"/>
      <w:r>
        <w:t>Grzegorzovi</w:t>
      </w:r>
      <w:proofErr w:type="spellEnd"/>
      <w:r>
        <w:t xml:space="preserve"> </w:t>
      </w:r>
      <w:proofErr w:type="spellStart"/>
      <w:r>
        <w:t>Braunovi</w:t>
      </w:r>
      <w:proofErr w:type="spellEnd"/>
      <w:r>
        <w:t>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szCs w:val="24"/>
          <w:lang w:val="sk-SK"/>
        </w:rPr>
        <w:t xml:space="preserve">Rozsudok Súdneho dvora z 21. októbra 2008, </w:t>
      </w:r>
      <w:r>
        <w:rPr>
          <w:sz w:val="24"/>
          <w:szCs w:val="24"/>
        </w:rPr>
        <w:t xml:space="preserve">Marra/De Gregorio a </w:t>
      </w:r>
      <w:proofErr w:type="spellStart"/>
      <w:r>
        <w:rPr>
          <w:sz w:val="24"/>
          <w:szCs w:val="24"/>
        </w:rPr>
        <w:t>Clemente</w:t>
      </w:r>
      <w:proofErr w:type="spellEnd"/>
      <w:r>
        <w:rPr>
          <w:sz w:val="24"/>
          <w:szCs w:val="24"/>
        </w:rPr>
        <w:t xml:space="preserve">, C-200/07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C-201/07, ECLI:EU:C:2008:579; rozsudok Všeobecného súdu z 19. </w:t>
      </w:r>
      <w:proofErr w:type="gramStart"/>
      <w:r>
        <w:rPr>
          <w:sz w:val="24"/>
          <w:szCs w:val="24"/>
        </w:rPr>
        <w:t>marca</w:t>
      </w:r>
      <w:proofErr w:type="gramEnd"/>
      <w:r>
        <w:rPr>
          <w:sz w:val="24"/>
          <w:szCs w:val="24"/>
        </w:rPr>
        <w:t xml:space="preserve"> 2010, </w:t>
      </w:r>
      <w:proofErr w:type="spellStart"/>
      <w:r>
        <w:rPr>
          <w:sz w:val="24"/>
          <w:szCs w:val="24"/>
        </w:rPr>
        <w:t>Gollnisch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Parlament</w:t>
      </w:r>
      <w:proofErr w:type="spellEnd"/>
      <w:r>
        <w:rPr>
          <w:sz w:val="24"/>
          <w:szCs w:val="24"/>
        </w:rPr>
        <w:t xml:space="preserve">, T-42/06, ECLI:EU:T:2010:102; </w:t>
      </w:r>
      <w:proofErr w:type="spellStart"/>
      <w:r>
        <w:rPr>
          <w:sz w:val="24"/>
          <w:szCs w:val="24"/>
        </w:rPr>
        <w:t>rozsudok</w:t>
      </w:r>
      <w:proofErr w:type="spellEnd"/>
      <w:r>
        <w:rPr>
          <w:sz w:val="24"/>
          <w:szCs w:val="24"/>
        </w:rPr>
        <w:t xml:space="preserve"> Súdneho dvora zo 6. </w:t>
      </w:r>
      <w:proofErr w:type="spellStart"/>
      <w:proofErr w:type="gramStart"/>
      <w:r>
        <w:rPr>
          <w:sz w:val="24"/>
          <w:szCs w:val="24"/>
        </w:rPr>
        <w:t>septembra</w:t>
      </w:r>
      <w:proofErr w:type="spellEnd"/>
      <w:proofErr w:type="gramEnd"/>
      <w:r>
        <w:rPr>
          <w:sz w:val="24"/>
          <w:szCs w:val="24"/>
        </w:rPr>
        <w:t xml:space="preserve"> 2011, </w:t>
      </w:r>
      <w:proofErr w:type="spellStart"/>
      <w:r>
        <w:rPr>
          <w:sz w:val="24"/>
          <w:szCs w:val="24"/>
        </w:rPr>
        <w:t>Patriciello</w:t>
      </w:r>
      <w:proofErr w:type="spellEnd"/>
      <w:r>
        <w:rPr>
          <w:sz w:val="24"/>
          <w:szCs w:val="24"/>
        </w:rPr>
        <w:t>, C-163/10, ECLI: EU:C:2011:543; rozsudok Všeobecného súdu zo 17. </w:t>
      </w:r>
      <w:proofErr w:type="spellStart"/>
      <w:proofErr w:type="gramStart"/>
      <w:r>
        <w:rPr>
          <w:sz w:val="24"/>
          <w:szCs w:val="24"/>
        </w:rPr>
        <w:t>januára</w:t>
      </w:r>
      <w:proofErr w:type="spellEnd"/>
      <w:proofErr w:type="gramEnd"/>
      <w:r>
        <w:rPr>
          <w:sz w:val="24"/>
          <w:szCs w:val="24"/>
        </w:rPr>
        <w:t xml:space="preserve"> 2013, </w:t>
      </w:r>
      <w:proofErr w:type="spellStart"/>
      <w:r>
        <w:rPr>
          <w:sz w:val="24"/>
          <w:szCs w:val="24"/>
        </w:rPr>
        <w:t>Gollnisch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Parlament</w:t>
      </w:r>
      <w:proofErr w:type="spellEnd"/>
      <w:r>
        <w:rPr>
          <w:sz w:val="24"/>
          <w:szCs w:val="24"/>
        </w:rPr>
        <w:t>, T-346/11 a T-347/11, ECLI:EU:T:2013:23; rozsudok Súdneho dvora z 19. </w:t>
      </w:r>
      <w:proofErr w:type="spellStart"/>
      <w:proofErr w:type="gramStart"/>
      <w:r>
        <w:rPr>
          <w:sz w:val="24"/>
          <w:szCs w:val="24"/>
        </w:rPr>
        <w:t>decembra</w:t>
      </w:r>
      <w:proofErr w:type="spellEnd"/>
      <w:proofErr w:type="gramEnd"/>
      <w:r>
        <w:rPr>
          <w:sz w:val="24"/>
          <w:szCs w:val="24"/>
        </w:rPr>
        <w:t xml:space="preserve"> 2019, </w:t>
      </w:r>
      <w:proofErr w:type="spellStart"/>
      <w:r>
        <w:rPr>
          <w:sz w:val="24"/>
          <w:szCs w:val="24"/>
        </w:rPr>
        <w:t>Junqueras</w:t>
      </w:r>
      <w:proofErr w:type="spellEnd"/>
      <w:r>
        <w:rPr>
          <w:sz w:val="24"/>
          <w:szCs w:val="24"/>
        </w:rPr>
        <w:t xml:space="preserve"> Vies, C-502/19, ECLI:EU:C:2019:1115; rozsudok Všeobecného súdu z 5. </w:t>
      </w:r>
      <w:proofErr w:type="spellStart"/>
      <w:proofErr w:type="gramStart"/>
      <w:r>
        <w:rPr>
          <w:sz w:val="24"/>
          <w:szCs w:val="24"/>
        </w:rPr>
        <w:t>júla</w:t>
      </w:r>
      <w:proofErr w:type="spellEnd"/>
      <w:proofErr w:type="gramEnd"/>
      <w:r>
        <w:rPr>
          <w:sz w:val="24"/>
          <w:szCs w:val="24"/>
        </w:rPr>
        <w:t xml:space="preserve"> 2023, </w:t>
      </w:r>
      <w:proofErr w:type="spellStart"/>
      <w:r>
        <w:rPr>
          <w:sz w:val="24"/>
          <w:szCs w:val="24"/>
        </w:rPr>
        <w:t>Puigdemont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Casamajó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iní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Parlament</w:t>
      </w:r>
      <w:proofErr w:type="spellEnd"/>
      <w:r>
        <w:rPr>
          <w:sz w:val="24"/>
          <w:szCs w:val="24"/>
        </w:rPr>
        <w:t>, T-272/21, ECLI:EU:T:2023:373</w:t>
      </w:r>
      <w:r>
        <w:rPr>
          <w:szCs w:val="24"/>
        </w:rPr>
        <w:t>.</w:t>
      </w:r>
    </w:p>
  </w:footnote>
  <w:footnote w:id="2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Rozsudok Všeobecného súdu z 30. apríla 2019, </w:t>
      </w:r>
      <w:proofErr w:type="spellStart"/>
      <w:r>
        <w:rPr>
          <w:sz w:val="24"/>
          <w:lang w:val="sk-SK"/>
        </w:rPr>
        <w:t>Briois</w:t>
      </w:r>
      <w:proofErr w:type="spellEnd"/>
      <w:r>
        <w:rPr>
          <w:sz w:val="24"/>
          <w:lang w:val="sk-SK"/>
        </w:rPr>
        <w:t>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1/2025"/>
    <w:docVar w:name="dvlangue" w:val="SK"/>
    <w:docVar w:name="dvnumam" w:val="0"/>
    <w:docVar w:name="dvpe" w:val="770.079"/>
    <w:docVar w:name="dvrapporteur" w:val="Spravodajca: "/>
    <w:docVar w:name="dvtitre" w:val="Rozhodnutie Európskeho parlamentu zo 6. mája 2025 o žiadosti o zbavenie Grzegorza Brauna imunity(2024/2102(IMM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8B6E16-DD94-47AC-BB41-62C4EAB73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Comma">
    <w:name w:val="EPComma"/>
    <w:basedOn w:val="Normal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5AA794-2005-48EA-8113-11887273C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1061</Words>
  <Characters>5992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4</cp:revision>
  <cp:lastPrinted>2004-11-19T15:42:00Z</cp:lastPrinted>
  <dcterms:created xsi:type="dcterms:W3CDTF">2025-05-06T09:31:00Z</dcterms:created>
  <dcterms:modified xsi:type="dcterms:W3CDTF">2025-05-06T09:33:00Z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A10-0081/2025</vt:lpwstr>
  </property>
  <property fmtid="{D5CDD505-2E9C-101B-9397-08002B2CF9AE}" pid="4" name="&lt;Type&gt;">
    <vt:lpwstr>RR</vt:lpwstr>
  </property>
</Properties>
</file>