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5B1D" w14:paraId="5637F0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FF3220" w14:textId="77777777" w:rsidR="00751A4A" w:rsidRPr="00D45B1D" w:rsidRDefault="00C26893" w:rsidP="0010095E">
            <w:pPr>
              <w:pStyle w:val="EPName"/>
            </w:pPr>
            <w:r w:rsidRPr="00D45B1D">
              <w:t>Europa-Parlamentet</w:t>
            </w:r>
          </w:p>
          <w:p w14:paraId="3932E6C4" w14:textId="77777777" w:rsidR="00751A4A" w:rsidRPr="00D45B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5B1D">
              <w:t>2024</w:t>
            </w:r>
            <w:r w:rsidR="00817416" w:rsidRPr="00D45B1D">
              <w:t>-202</w:t>
            </w:r>
            <w:r w:rsidRPr="00D45B1D">
              <w:t>9</w:t>
            </w:r>
          </w:p>
        </w:tc>
        <w:tc>
          <w:tcPr>
            <w:tcW w:w="2268" w:type="dxa"/>
            <w:shd w:val="clear" w:color="auto" w:fill="auto"/>
          </w:tcPr>
          <w:p w14:paraId="70CBD1AE" w14:textId="77777777" w:rsidR="00751A4A" w:rsidRPr="00D45B1D" w:rsidRDefault="00187494" w:rsidP="0010095E">
            <w:pPr>
              <w:pStyle w:val="EPLogo"/>
            </w:pPr>
            <w:r w:rsidRPr="00D45B1D">
              <w:rPr>
                <w:noProof/>
                <w:lang w:val="en-GB"/>
              </w:rPr>
              <w:drawing>
                <wp:inline distT="0" distB="0" distL="0" distR="0" wp14:anchorId="5D408C8D" wp14:editId="105CD4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0AAFFC" w14:textId="77777777" w:rsidR="00D058B8" w:rsidRPr="00D45B1D" w:rsidRDefault="00D058B8" w:rsidP="004C5D52">
      <w:pPr>
        <w:pStyle w:val="LineTop"/>
      </w:pPr>
    </w:p>
    <w:p w14:paraId="240E339C" w14:textId="77777777" w:rsidR="00680577" w:rsidRPr="00D45B1D" w:rsidRDefault="00C26893" w:rsidP="00680577">
      <w:pPr>
        <w:pStyle w:val="EPBodyTA1"/>
      </w:pPr>
      <w:r w:rsidRPr="00D45B1D">
        <w:t>VEDTAGNE TEKSTER</w:t>
      </w:r>
    </w:p>
    <w:p w14:paraId="4FDEB213" w14:textId="77777777" w:rsidR="00D058B8" w:rsidRPr="00D45B1D" w:rsidRDefault="00D058B8" w:rsidP="00D058B8">
      <w:pPr>
        <w:pStyle w:val="LineBottom"/>
      </w:pPr>
    </w:p>
    <w:p w14:paraId="2D626AE7" w14:textId="54E27188" w:rsidR="00C26893" w:rsidRPr="0056284F" w:rsidRDefault="00C26893" w:rsidP="00C26893">
      <w:pPr>
        <w:pStyle w:val="ATHeading1"/>
      </w:pPr>
      <w:bookmarkStart w:id="0" w:name="TANumber"/>
      <w:r w:rsidRPr="0056284F">
        <w:t>P10_TA(2025)00</w:t>
      </w:r>
      <w:r w:rsidR="000A56BA">
        <w:t>71</w:t>
      </w:r>
      <w:bookmarkStart w:id="1" w:name="_GoBack"/>
      <w:bookmarkEnd w:id="0"/>
      <w:bookmarkEnd w:id="1"/>
    </w:p>
    <w:p w14:paraId="33ABFE41" w14:textId="77777777" w:rsidR="00C26893" w:rsidRPr="0056284F" w:rsidRDefault="00C26893" w:rsidP="00C26893">
      <w:pPr>
        <w:pStyle w:val="ATHeading2"/>
      </w:pPr>
      <w:bookmarkStart w:id="2" w:name="title"/>
      <w:r w:rsidRPr="0056284F">
        <w:t xml:space="preserve">Ændring af forordning (EU) 2016/1011 for så vidt angår anvendelsesområdet for reglerne for </w:t>
      </w:r>
      <w:proofErr w:type="spellStart"/>
      <w:r w:rsidRPr="0056284F">
        <w:t>benchmarks</w:t>
      </w:r>
      <w:proofErr w:type="spellEnd"/>
      <w:r w:rsidRPr="0056284F">
        <w:t xml:space="preserve">, brugen i Unionen af </w:t>
      </w:r>
      <w:proofErr w:type="spellStart"/>
      <w:r w:rsidRPr="0056284F">
        <w:t>benchmarks</w:t>
      </w:r>
      <w:proofErr w:type="spellEnd"/>
      <w:r w:rsidRPr="0056284F">
        <w:t xml:space="preserve"> leveret af en administrator, der er etableret i et tredjeland, og visse indberetningskrav</w:t>
      </w:r>
      <w:bookmarkEnd w:id="2"/>
    </w:p>
    <w:p w14:paraId="6845D163" w14:textId="77777777" w:rsidR="00C26893" w:rsidRPr="00D45B1D" w:rsidRDefault="00C26893" w:rsidP="00C26893">
      <w:pPr>
        <w:rPr>
          <w:i/>
          <w:vanish/>
        </w:rPr>
      </w:pPr>
      <w:r w:rsidRPr="00D45B1D">
        <w:rPr>
          <w:i/>
        </w:rPr>
        <w:fldChar w:fldCharType="begin"/>
      </w:r>
      <w:r w:rsidRPr="00D45B1D">
        <w:rPr>
          <w:i/>
        </w:rPr>
        <w:instrText xml:space="preserve"> TC"(</w:instrText>
      </w:r>
      <w:bookmarkStart w:id="3" w:name="DocNumber"/>
      <w:r w:rsidRPr="00D45B1D">
        <w:rPr>
          <w:i/>
        </w:rPr>
        <w:instrText>A10-0060/2025</w:instrText>
      </w:r>
      <w:bookmarkEnd w:id="3"/>
      <w:r w:rsidRPr="00D45B1D">
        <w:rPr>
          <w:i/>
        </w:rPr>
        <w:instrText xml:space="preserve"> - Ordfører: </w:instrText>
      </w:r>
      <w:proofErr w:type="spellStart"/>
      <w:r w:rsidRPr="00D45B1D">
        <w:rPr>
          <w:i/>
        </w:rPr>
        <w:instrText>Jonás</w:instrText>
      </w:r>
      <w:proofErr w:type="spellEnd"/>
      <w:r w:rsidRPr="00D45B1D">
        <w:rPr>
          <w:i/>
        </w:rPr>
        <w:instrText xml:space="preserve"> </w:instrText>
      </w:r>
      <w:proofErr w:type="spellStart"/>
      <w:r w:rsidRPr="00D45B1D">
        <w:rPr>
          <w:i/>
        </w:rPr>
        <w:instrText>Fernández</w:instrText>
      </w:r>
      <w:proofErr w:type="spellEnd"/>
      <w:r w:rsidRPr="00D45B1D">
        <w:rPr>
          <w:i/>
        </w:rPr>
        <w:instrText xml:space="preserve">)"\l3 \n&gt; \* MERGEFORMAT </w:instrText>
      </w:r>
      <w:r w:rsidRPr="00D45B1D">
        <w:rPr>
          <w:i/>
        </w:rPr>
        <w:fldChar w:fldCharType="end"/>
      </w:r>
    </w:p>
    <w:p w14:paraId="597EB1A2" w14:textId="77777777" w:rsidR="00C26893" w:rsidRPr="0056284F" w:rsidRDefault="00C26893" w:rsidP="00C26893">
      <w:pPr>
        <w:rPr>
          <w:vanish/>
        </w:rPr>
      </w:pPr>
      <w:bookmarkStart w:id="4" w:name="Commission"/>
      <w:r w:rsidRPr="0056284F">
        <w:rPr>
          <w:vanish/>
        </w:rPr>
        <w:t>Økonomi- og Valutaudvalget</w:t>
      </w:r>
      <w:bookmarkEnd w:id="4"/>
    </w:p>
    <w:p w14:paraId="6C71788E" w14:textId="77777777" w:rsidR="00C26893" w:rsidRPr="0056284F" w:rsidRDefault="00C26893" w:rsidP="00C26893">
      <w:pPr>
        <w:rPr>
          <w:vanish/>
        </w:rPr>
      </w:pPr>
      <w:bookmarkStart w:id="5" w:name="PE"/>
      <w:r w:rsidRPr="0056284F">
        <w:rPr>
          <w:vanish/>
        </w:rPr>
        <w:t>PE772.074</w:t>
      </w:r>
      <w:bookmarkEnd w:id="5"/>
    </w:p>
    <w:p w14:paraId="582ABE38" w14:textId="4E9D703B" w:rsidR="00C26893" w:rsidRPr="0056284F" w:rsidRDefault="00C26893" w:rsidP="00C26893">
      <w:pPr>
        <w:pStyle w:val="ATHeading3"/>
      </w:pPr>
      <w:bookmarkStart w:id="6" w:name="Sujet"/>
      <w:r w:rsidRPr="0056284F">
        <w:t xml:space="preserve">Europa-Parlamentets lovgivningsmæssige beslutning af </w:t>
      </w:r>
      <w:r w:rsidR="002A316F" w:rsidRPr="0056284F">
        <w:t>6</w:t>
      </w:r>
      <w:r w:rsidRPr="0056284F">
        <w:t xml:space="preserve">. maj 2025 om Rådets førstebehandlingsholdning med henblik på vedtagelse af Europa-Parlamentets og Rådets forordning om ændring af forordning (EU) 2016/1011 for så vidt angår anvendelsesområdet for reglerne for </w:t>
      </w:r>
      <w:proofErr w:type="spellStart"/>
      <w:r w:rsidRPr="0056284F">
        <w:t>benchmarks</w:t>
      </w:r>
      <w:proofErr w:type="spellEnd"/>
      <w:r w:rsidRPr="0056284F">
        <w:t xml:space="preserve">, brugen i Unionen af </w:t>
      </w:r>
      <w:proofErr w:type="spellStart"/>
      <w:r w:rsidRPr="0056284F">
        <w:t>benchmarks</w:t>
      </w:r>
      <w:proofErr w:type="spellEnd"/>
      <w:r w:rsidRPr="0056284F">
        <w:t xml:space="preserve"> leveret af en administrator, der er etableret i et tredjeland, og visse indberetningskrav</w:t>
      </w:r>
      <w:bookmarkEnd w:id="6"/>
      <w:r w:rsidRPr="0056284F">
        <w:t xml:space="preserve"> </w:t>
      </w:r>
      <w:bookmarkStart w:id="7" w:name="References"/>
      <w:r w:rsidRPr="0056284F">
        <w:t>(5123/1/2025 – C10-0055/2025 – 2023/0379(COD))</w:t>
      </w:r>
      <w:bookmarkEnd w:id="7"/>
    </w:p>
    <w:p w14:paraId="7AD05410" w14:textId="77777777" w:rsidR="00CE51A9" w:rsidRPr="0056284F" w:rsidRDefault="00CE51A9" w:rsidP="00CE51A9">
      <w:pPr>
        <w:pStyle w:val="NormalBold"/>
      </w:pPr>
      <w:r w:rsidRPr="00D45B1D">
        <w:t>(Almindelig lovgivningsprocedure: andenbehandling)</w:t>
      </w:r>
    </w:p>
    <w:p w14:paraId="2535F555" w14:textId="77777777" w:rsidR="00CE51A9" w:rsidRPr="0056284F" w:rsidRDefault="00CE51A9" w:rsidP="00CE51A9">
      <w:pPr>
        <w:pStyle w:val="EPComma"/>
      </w:pPr>
      <w:r w:rsidRPr="0056284F">
        <w:rPr>
          <w:i/>
          <w:iCs/>
        </w:rPr>
        <w:t>Europa-Parlamentet</w:t>
      </w:r>
      <w:r w:rsidRPr="0056284F">
        <w:t>,</w:t>
      </w:r>
    </w:p>
    <w:p w14:paraId="221179C0" w14:textId="77777777" w:rsidR="00CE51A9" w:rsidRPr="0056284F" w:rsidRDefault="00CE51A9" w:rsidP="00CE51A9">
      <w:pPr>
        <w:pStyle w:val="NormalHanging12a"/>
      </w:pPr>
      <w:r w:rsidRPr="0056284F">
        <w:t>–</w:t>
      </w:r>
      <w:r w:rsidRPr="0056284F">
        <w:tab/>
        <w:t>der henviser til Rådets førstebehandlingsholdning (5123/1/2025 – C10</w:t>
      </w:r>
      <w:r w:rsidRPr="0056284F">
        <w:noBreakHyphen/>
        <w:t>0055/2025),</w:t>
      </w:r>
    </w:p>
    <w:p w14:paraId="13787340" w14:textId="4BA8E14B" w:rsidR="00CE51A9" w:rsidRPr="0056284F" w:rsidRDefault="00CE51A9" w:rsidP="00CE51A9">
      <w:pPr>
        <w:pStyle w:val="NormalHanging12a"/>
      </w:pPr>
      <w:r w:rsidRPr="0056284F">
        <w:t>–</w:t>
      </w:r>
      <w:r w:rsidRPr="0056284F">
        <w:tab/>
        <w:t xml:space="preserve">der henviser til udtalelse </w:t>
      </w:r>
      <w:r w:rsidR="002A316F" w:rsidRPr="0056284F">
        <w:t xml:space="preserve">af 14. februar 2024 </w:t>
      </w:r>
      <w:r w:rsidRPr="0056284F">
        <w:t>fra Det Europæiske Økonomiske og Sociale Udvalg</w:t>
      </w:r>
      <w:r w:rsidRPr="00D45B1D">
        <w:rPr>
          <w:rStyle w:val="FootnoteReference"/>
        </w:rPr>
        <w:footnoteReference w:id="1"/>
      </w:r>
      <w:r w:rsidRPr="00D45B1D">
        <w:t>,</w:t>
      </w:r>
    </w:p>
    <w:p w14:paraId="0EEA1015" w14:textId="77777777" w:rsidR="00CE51A9" w:rsidRPr="0056284F" w:rsidRDefault="00CE51A9" w:rsidP="00CE51A9">
      <w:pPr>
        <w:pStyle w:val="NormalHanging12a"/>
      </w:pPr>
      <w:r w:rsidRPr="0056284F">
        <w:t>–</w:t>
      </w:r>
      <w:r w:rsidRPr="0056284F">
        <w:tab/>
        <w:t>der henviser til sin holdning ved førstebehandling</w:t>
      </w:r>
      <w:r w:rsidRPr="00D45B1D">
        <w:rPr>
          <w:rStyle w:val="FootnoteReference"/>
        </w:rPr>
        <w:footnoteReference w:id="2"/>
      </w:r>
      <w:r w:rsidRPr="00D45B1D">
        <w:t xml:space="preserve"> til Kommissionens forslag </w:t>
      </w:r>
      <w:r w:rsidRPr="0056284F">
        <w:t>til Europa-Parlamentet og Rådet (</w:t>
      </w:r>
      <w:proofErr w:type="gramStart"/>
      <w:r w:rsidRPr="0056284F">
        <w:t>COM(</w:t>
      </w:r>
      <w:proofErr w:type="gramEnd"/>
      <w:r w:rsidRPr="0056284F">
        <w:t>2023)</w:t>
      </w:r>
      <w:r w:rsidR="002A316F" w:rsidRPr="0056284F">
        <w:t>0</w:t>
      </w:r>
      <w:r w:rsidRPr="0056284F">
        <w:t>660),</w:t>
      </w:r>
    </w:p>
    <w:p w14:paraId="4477A116" w14:textId="77777777" w:rsidR="00CE51A9" w:rsidRPr="0056284F" w:rsidRDefault="00CE51A9" w:rsidP="00CE51A9">
      <w:pPr>
        <w:pStyle w:val="NormalHanging12a"/>
      </w:pPr>
      <w:r w:rsidRPr="0056284F">
        <w:t>–</w:t>
      </w:r>
      <w:r w:rsidRPr="0056284F">
        <w:tab/>
        <w:t>der henviser til artikel 294, stk. 7, i traktaten om Den Europæiske Unions funktionsmåde,</w:t>
      </w:r>
    </w:p>
    <w:p w14:paraId="3C6BB052" w14:textId="77777777" w:rsidR="00CE51A9" w:rsidRPr="0056284F" w:rsidRDefault="00CE51A9" w:rsidP="00CE51A9">
      <w:pPr>
        <w:pStyle w:val="NormalHanging12a"/>
      </w:pPr>
      <w:r w:rsidRPr="0056284F">
        <w:t>–</w:t>
      </w:r>
      <w:r w:rsidRPr="0056284F">
        <w:tab/>
        <w:t>der henviser til, at det kompetente udvalg har godkendt den foreløbige aftale i henhold til forretningsordenens artikel 75, stk. 4,</w:t>
      </w:r>
    </w:p>
    <w:p w14:paraId="0A57FFC7" w14:textId="77777777" w:rsidR="00CE51A9" w:rsidRPr="0056284F" w:rsidRDefault="00CE51A9" w:rsidP="00CE51A9">
      <w:pPr>
        <w:pStyle w:val="NormalHanging12a"/>
      </w:pPr>
      <w:r w:rsidRPr="0056284F">
        <w:t>–</w:t>
      </w:r>
      <w:r w:rsidRPr="0056284F">
        <w:tab/>
        <w:t>der henviser til forretningsordenens artikel 68,</w:t>
      </w:r>
    </w:p>
    <w:p w14:paraId="6CFC1B6E" w14:textId="77777777" w:rsidR="00CE51A9" w:rsidRPr="0056284F" w:rsidRDefault="00CE51A9" w:rsidP="00CE51A9">
      <w:pPr>
        <w:pStyle w:val="NormalHanging12a"/>
      </w:pPr>
      <w:r w:rsidRPr="0056284F">
        <w:t>–</w:t>
      </w:r>
      <w:r w:rsidRPr="0056284F">
        <w:tab/>
        <w:t>der henviser til indstilling ved andenbehandling fra Økonomi- og Valutaudvalget (A10-</w:t>
      </w:r>
      <w:r w:rsidRPr="0056284F">
        <w:lastRenderedPageBreak/>
        <w:t>0060/2025),</w:t>
      </w:r>
    </w:p>
    <w:p w14:paraId="1EB53643" w14:textId="77777777" w:rsidR="00CE51A9" w:rsidRPr="0056284F" w:rsidRDefault="00CE51A9" w:rsidP="00CE51A9">
      <w:pPr>
        <w:pStyle w:val="NormalHanging12a"/>
      </w:pPr>
      <w:r w:rsidRPr="0056284F">
        <w:t>1.</w:t>
      </w:r>
      <w:r w:rsidRPr="0056284F">
        <w:tab/>
        <w:t>godkender Rådets førstebehandlingsholdning;</w:t>
      </w:r>
    </w:p>
    <w:p w14:paraId="28EF6003" w14:textId="77777777" w:rsidR="00CE51A9" w:rsidRPr="0056284F" w:rsidRDefault="00CE51A9" w:rsidP="00CE51A9">
      <w:pPr>
        <w:pStyle w:val="NormalHanging12a"/>
      </w:pPr>
      <w:r w:rsidRPr="0056284F">
        <w:t>2.</w:t>
      </w:r>
      <w:r w:rsidRPr="0056284F">
        <w:tab/>
        <w:t>konstaterer, at retsakten er vedtaget i overensstemmelse med Rådets holdning;</w:t>
      </w:r>
    </w:p>
    <w:p w14:paraId="02432B5C" w14:textId="77777777" w:rsidR="00CE51A9" w:rsidRPr="0056284F" w:rsidRDefault="00CE51A9" w:rsidP="00CE51A9">
      <w:pPr>
        <w:pStyle w:val="NormalHanging12a"/>
      </w:pPr>
      <w:r w:rsidRPr="0056284F">
        <w:t>3.</w:t>
      </w:r>
      <w:r w:rsidRPr="0056284F">
        <w:tab/>
        <w:t>pålægger sin formand sammen med Rådets formand at undertegne retsakten, jf. artikel 297, stk. 1, i traktaten om Den Europæiske Unions funktionsmåde;</w:t>
      </w:r>
    </w:p>
    <w:p w14:paraId="65E31AD9" w14:textId="77777777" w:rsidR="00CE51A9" w:rsidRPr="0056284F" w:rsidRDefault="00CE51A9" w:rsidP="00CE51A9">
      <w:pPr>
        <w:pStyle w:val="NormalHanging12a"/>
      </w:pPr>
      <w:r w:rsidRPr="0056284F">
        <w:t>4.</w:t>
      </w:r>
      <w:r w:rsidRPr="0056284F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56284F">
        <w:rPr>
          <w:i/>
        </w:rPr>
        <w:t>Den Europæiske Unions Tidende</w:t>
      </w:r>
      <w:r w:rsidRPr="0056284F">
        <w:t>;</w:t>
      </w:r>
    </w:p>
    <w:p w14:paraId="5489DA0A" w14:textId="77777777" w:rsidR="0014027B" w:rsidRPr="0056284F" w:rsidRDefault="00CE51A9" w:rsidP="0014027B">
      <w:pPr>
        <w:pStyle w:val="NormalHanging12a"/>
      </w:pPr>
      <w:r w:rsidRPr="0056284F">
        <w:t>5.</w:t>
      </w:r>
      <w:r w:rsidRPr="0056284F">
        <w:tab/>
        <w:t>pålægger sin formand at sende Parlamentets holdning til Rådet og Kommissionen samt til de nationale parlamenter.</w:t>
      </w:r>
    </w:p>
    <w:p w14:paraId="477E8EFE" w14:textId="77777777" w:rsidR="00E365E1" w:rsidRPr="0056284F" w:rsidRDefault="00E365E1" w:rsidP="00C26893"/>
    <w:sectPr w:rsidR="00E365E1" w:rsidRPr="0056284F" w:rsidSect="001402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1CC2BB" w14:textId="77777777" w:rsidR="00C26893" w:rsidRPr="0014027B" w:rsidRDefault="00C26893">
      <w:r w:rsidRPr="0014027B">
        <w:separator/>
      </w:r>
    </w:p>
  </w:endnote>
  <w:endnote w:type="continuationSeparator" w:id="0">
    <w:p w14:paraId="358ED1AE" w14:textId="77777777" w:rsidR="00C26893" w:rsidRPr="0014027B" w:rsidRDefault="00C26893">
      <w:r w:rsidRPr="001402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BBC1E" w14:textId="77777777" w:rsidR="00064002" w:rsidRPr="001402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E1AE7" w14:textId="77777777" w:rsidR="00064002" w:rsidRPr="001402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F6889" w14:textId="77777777" w:rsidR="00064002" w:rsidRPr="001402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8B0F9" w14:textId="77777777" w:rsidR="00C26893" w:rsidRPr="0014027B" w:rsidRDefault="00C26893">
      <w:r w:rsidRPr="0014027B">
        <w:separator/>
      </w:r>
    </w:p>
  </w:footnote>
  <w:footnote w:type="continuationSeparator" w:id="0">
    <w:p w14:paraId="108364F5" w14:textId="77777777" w:rsidR="00C26893" w:rsidRPr="0014027B" w:rsidRDefault="00C26893">
      <w:r w:rsidRPr="0014027B">
        <w:continuationSeparator/>
      </w:r>
    </w:p>
  </w:footnote>
  <w:footnote w:id="1">
    <w:p w14:paraId="46D13942" w14:textId="77777777" w:rsidR="00CE51A9" w:rsidRPr="0014027B" w:rsidRDefault="00CE51A9" w:rsidP="0014027B">
      <w:pPr>
        <w:pStyle w:val="FootnoteText"/>
        <w:ind w:left="567" w:hanging="567"/>
        <w:rPr>
          <w:sz w:val="24"/>
          <w:lang w:val="da-DK"/>
        </w:rPr>
      </w:pPr>
      <w:r w:rsidRPr="0014027B">
        <w:rPr>
          <w:rStyle w:val="FootnoteReference"/>
          <w:sz w:val="24"/>
          <w:lang w:val="da-DK"/>
        </w:rPr>
        <w:footnoteRef/>
      </w:r>
      <w:r w:rsidR="0014027B" w:rsidRPr="0014027B">
        <w:rPr>
          <w:sz w:val="24"/>
          <w:lang w:val="da-DK"/>
        </w:rPr>
        <w:t xml:space="preserve"> </w:t>
      </w:r>
      <w:r w:rsidR="0014027B" w:rsidRPr="0014027B">
        <w:rPr>
          <w:sz w:val="24"/>
          <w:lang w:val="da-DK"/>
        </w:rPr>
        <w:tab/>
      </w:r>
      <w:r w:rsidRPr="0014027B">
        <w:rPr>
          <w:sz w:val="24"/>
          <w:lang w:val="da-DK"/>
        </w:rPr>
        <w:t xml:space="preserve">EUT C, C/2024/2485, 23.4.2024, ELI: </w:t>
      </w:r>
      <w:hyperlink r:id="rId1" w:history="1">
        <w:r w:rsidRPr="0014027B">
          <w:rPr>
            <w:rStyle w:val="Hyperlink"/>
            <w:sz w:val="24"/>
            <w:lang w:val="da-DK"/>
          </w:rPr>
          <w:t>http://data.europa.eu/eli/C/2024/2485/oj</w:t>
        </w:r>
      </w:hyperlink>
      <w:r w:rsidRPr="0014027B">
        <w:rPr>
          <w:sz w:val="24"/>
          <w:lang w:val="da-DK"/>
        </w:rPr>
        <w:t>.</w:t>
      </w:r>
    </w:p>
  </w:footnote>
  <w:footnote w:id="2">
    <w:p w14:paraId="638E62C7" w14:textId="03A06469" w:rsidR="00CE51A9" w:rsidRPr="0014027B" w:rsidRDefault="00CE51A9" w:rsidP="0014027B">
      <w:pPr>
        <w:pStyle w:val="FootnoteText"/>
        <w:ind w:left="567" w:hanging="567"/>
        <w:rPr>
          <w:sz w:val="24"/>
          <w:lang w:val="da-DK"/>
        </w:rPr>
      </w:pPr>
      <w:r w:rsidRPr="0014027B">
        <w:rPr>
          <w:rStyle w:val="FootnoteReference"/>
          <w:sz w:val="24"/>
          <w:lang w:val="da-DK"/>
        </w:rPr>
        <w:footnoteRef/>
      </w:r>
      <w:r w:rsidR="0014027B" w:rsidRPr="0014027B">
        <w:rPr>
          <w:sz w:val="24"/>
          <w:lang w:val="da-DK"/>
        </w:rPr>
        <w:t xml:space="preserve"> </w:t>
      </w:r>
      <w:r w:rsidR="0014027B" w:rsidRPr="0014027B">
        <w:rPr>
          <w:sz w:val="24"/>
          <w:lang w:val="da-DK"/>
        </w:rPr>
        <w:tab/>
      </w:r>
      <w:r w:rsidR="005D4814">
        <w:rPr>
          <w:sz w:val="24"/>
          <w:lang w:val="da-DK"/>
        </w:rPr>
        <w:t>Vedtagne tekster, 24.</w:t>
      </w:r>
      <w:r w:rsidR="007F0ADB">
        <w:rPr>
          <w:sz w:val="24"/>
          <w:lang w:val="da-DK"/>
        </w:rPr>
        <w:t>4</w:t>
      </w:r>
      <w:r w:rsidR="005D4814">
        <w:rPr>
          <w:sz w:val="24"/>
          <w:lang w:val="da-DK"/>
        </w:rPr>
        <w:t xml:space="preserve">.2024, </w:t>
      </w:r>
      <w:r w:rsidRPr="0014027B">
        <w:rPr>
          <w:sz w:val="24"/>
          <w:lang w:val="da-DK"/>
        </w:rPr>
        <w:t>P9_</w:t>
      </w:r>
      <w:proofErr w:type="gramStart"/>
      <w:r w:rsidRPr="0014027B">
        <w:rPr>
          <w:sz w:val="24"/>
          <w:lang w:val="da-DK"/>
        </w:rPr>
        <w:t>TA(</w:t>
      </w:r>
      <w:proofErr w:type="gramEnd"/>
      <w:r w:rsidRPr="0014027B">
        <w:rPr>
          <w:sz w:val="24"/>
          <w:lang w:val="da-DK"/>
        </w:rPr>
        <w:t>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BF242" w14:textId="77777777" w:rsidR="00064002" w:rsidRPr="001402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2AC57" w14:textId="77777777" w:rsidR="00064002" w:rsidRPr="001402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FEB9C" w14:textId="77777777" w:rsidR="00064002" w:rsidRPr="001402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DA"/>
    <w:docVar w:name="dvnumam" w:val="0"/>
    <w:docVar w:name="dvpe" w:val="772.074"/>
    <w:docVar w:name="dvrapporteur" w:val="Ordfører: "/>
    <w:docVar w:name="dvstar" w:val="***II"/>
    <w:docVar w:name="dvtitre" w:val="Europa-Parlamentets lovgivningsmæssige beslutning af xx. maj 2025 om Rådets førstebehandlingsholdning med henblik på vedtagelse af Europa-Parlamentets og Rådets forordning om ændring af forordning (EU) 2016/1011 for så vidt angår anvendelsesområdet for reglerne for benchmarks, brugen i Unionen af benchmarks leveret af en administrator, der er etableret i et tredjeland, og visse indberetningskrav(5123/1/2025 – C10-0055/2025 – 2023/0379(COD))"/>
  </w:docVars>
  <w:rsids>
    <w:rsidRoot w:val="00C26893"/>
    <w:rsid w:val="00002272"/>
    <w:rsid w:val="00064002"/>
    <w:rsid w:val="000677B9"/>
    <w:rsid w:val="000831BA"/>
    <w:rsid w:val="000A42CC"/>
    <w:rsid w:val="000A56BA"/>
    <w:rsid w:val="000E7DD9"/>
    <w:rsid w:val="0010095E"/>
    <w:rsid w:val="00125B37"/>
    <w:rsid w:val="0014027B"/>
    <w:rsid w:val="00187494"/>
    <w:rsid w:val="001F32AE"/>
    <w:rsid w:val="002767FF"/>
    <w:rsid w:val="002A316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84F"/>
    <w:rsid w:val="005C2568"/>
    <w:rsid w:val="005D4814"/>
    <w:rsid w:val="005F1B17"/>
    <w:rsid w:val="006037C0"/>
    <w:rsid w:val="006631B6"/>
    <w:rsid w:val="00680577"/>
    <w:rsid w:val="00696DF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AD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893"/>
    <w:rsid w:val="00C61C0C"/>
    <w:rsid w:val="00C941CB"/>
    <w:rsid w:val="00CC2357"/>
    <w:rsid w:val="00CE51A9"/>
    <w:rsid w:val="00CF071A"/>
    <w:rsid w:val="00D058B8"/>
    <w:rsid w:val="00D45B1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0B64A"/>
  <w15:chartTrackingRefBased/>
  <w15:docId w15:val="{B59F24E8-ED9F-48C6-869E-6DDFA9F67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51A9"/>
    <w:pPr>
      <w:spacing w:before="480" w:after="240"/>
    </w:pPr>
  </w:style>
  <w:style w:type="paragraph" w:customStyle="1" w:styleId="NormalBold">
    <w:name w:val="NormalBold"/>
    <w:basedOn w:val="Normal"/>
    <w:rsid w:val="00CE51A9"/>
    <w:rPr>
      <w:b/>
    </w:rPr>
  </w:style>
  <w:style w:type="paragraph" w:customStyle="1" w:styleId="NormalHanging12a">
    <w:name w:val="NormalHanging12a"/>
    <w:basedOn w:val="Normal"/>
    <w:rsid w:val="00CE51A9"/>
    <w:pPr>
      <w:spacing w:after="240"/>
      <w:ind w:left="567" w:hanging="567"/>
    </w:pPr>
  </w:style>
  <w:style w:type="character" w:styleId="Hyperlink">
    <w:name w:val="Hyperlink"/>
    <w:basedOn w:val="DefaultParagraphFont"/>
    <w:rsid w:val="00CE51A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A31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316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A316F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2A31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316F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2A31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316F"/>
    <w:rPr>
      <w:rFonts w:ascii="Segoe UI" w:hAnsi="Segoe UI" w:cs="Segoe UI"/>
      <w:sz w:val="18"/>
      <w:szCs w:val="18"/>
      <w:lang w:val="da-DK"/>
    </w:rPr>
  </w:style>
  <w:style w:type="character" w:styleId="FollowedHyperlink">
    <w:name w:val="FollowedHyperlink"/>
    <w:basedOn w:val="DefaultParagraphFont"/>
    <w:rsid w:val="002A31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53608-B769-4517-906D-ABC15B745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1972</Characters>
  <Application>Microsoft Office Word</Application>
  <DocSecurity>0</DocSecurity>
  <Lines>38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2025-05-06T10:25:00Z</dcterms:created>
  <dcterms:modified xsi:type="dcterms:W3CDTF">2025-05-06T10:25:00Z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P10_TA-PROV(2025)0071_A10-0060_2025_</vt:lpwstr>
  </property>
  <property fmtid="{D5CDD505-2E9C-101B-9397-08002B2CF9AE}" pid="4" name="&lt;Type&gt;">
    <vt:lpwstr>RR</vt:lpwstr>
  </property>
</Properties>
</file>