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F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7F92" w:rsidRDefault="009A3B41" w:rsidP="0010095E">
            <w:pPr>
              <w:pStyle w:val="EPName"/>
            </w:pPr>
            <w:bookmarkStart w:id="0" w:name="_GoBack"/>
            <w:bookmarkEnd w:id="0"/>
            <w:r w:rsidRPr="001A7F92">
              <w:t>Eiropas Parlaments</w:t>
            </w:r>
          </w:p>
          <w:p w:rsidR="00751A4A" w:rsidRPr="001A7F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F92">
              <w:t>2024</w:t>
            </w:r>
            <w:r w:rsidR="00817416" w:rsidRPr="001A7F92">
              <w:t>-202</w:t>
            </w:r>
            <w:r w:rsidRPr="001A7F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7F92" w:rsidRDefault="00187494" w:rsidP="0010095E">
            <w:pPr>
              <w:pStyle w:val="EPLogo"/>
            </w:pPr>
            <w:r w:rsidRPr="001A7F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7F92" w:rsidRDefault="00D058B8" w:rsidP="004C5D52">
      <w:pPr>
        <w:pStyle w:val="LineTop"/>
      </w:pPr>
    </w:p>
    <w:p w:rsidR="00680577" w:rsidRPr="001A7F92" w:rsidRDefault="009A3B41" w:rsidP="00680577">
      <w:pPr>
        <w:pStyle w:val="EPBodyTA1"/>
      </w:pPr>
      <w:r w:rsidRPr="001A7F92">
        <w:t>PIEŅEMTIE TEKSTI</w:t>
      </w:r>
    </w:p>
    <w:p w:rsidR="00D058B8" w:rsidRPr="001A7F92" w:rsidRDefault="00D058B8" w:rsidP="00D058B8">
      <w:pPr>
        <w:pStyle w:val="LineBottom"/>
      </w:pPr>
    </w:p>
    <w:p w:rsidR="009A3B41" w:rsidRPr="001A7F92" w:rsidRDefault="009A3B41" w:rsidP="009A3B41">
      <w:pPr>
        <w:pStyle w:val="ATHeading1"/>
      </w:pPr>
      <w:bookmarkStart w:id="1" w:name="TANumber"/>
      <w:r w:rsidRPr="001A7F92">
        <w:t>P10_TA(2025)00</w:t>
      </w:r>
      <w:r w:rsidR="001A7F92" w:rsidRPr="001A7F92">
        <w:t>71</w:t>
      </w:r>
      <w:bookmarkEnd w:id="1"/>
    </w:p>
    <w:p w:rsidR="009A3B41" w:rsidRPr="001A7F92" w:rsidRDefault="005441F1" w:rsidP="005441F1">
      <w:pPr>
        <w:pStyle w:val="ATHeading2"/>
      </w:pPr>
      <w:bookmarkStart w:id="2" w:name="title"/>
      <w:r w:rsidRPr="001A7F92">
        <w:t>Regulas (ES) 2016/1011 grozīšana attiecībā uz etalonu noteikumu tvērumu, tādu etalonu izmantošanu Savienībā, kurus izstrādā administrators, kas atrodas trešā valstī, un konkrētām ziņošanas prasībām</w:t>
      </w:r>
      <w:bookmarkEnd w:id="2"/>
    </w:p>
    <w:p w:rsidR="009A3B41" w:rsidRPr="001A7F92" w:rsidRDefault="009A3B41" w:rsidP="009A3B41">
      <w:pPr>
        <w:rPr>
          <w:i/>
          <w:vanish/>
        </w:rPr>
      </w:pPr>
      <w:r w:rsidRPr="001A7F92">
        <w:rPr>
          <w:i/>
        </w:rPr>
        <w:fldChar w:fldCharType="begin"/>
      </w:r>
      <w:r w:rsidRPr="001A7F92">
        <w:rPr>
          <w:i/>
        </w:rPr>
        <w:instrText xml:space="preserve"> TC"(</w:instrText>
      </w:r>
      <w:bookmarkStart w:id="3" w:name="DocNumber"/>
      <w:r w:rsidRPr="001A7F92">
        <w:rPr>
          <w:i/>
        </w:rPr>
        <w:instrText>A10-0060/2025</w:instrText>
      </w:r>
      <w:bookmarkEnd w:id="3"/>
      <w:r w:rsidRPr="001A7F92">
        <w:rPr>
          <w:i/>
        </w:rPr>
        <w:instrText xml:space="preserve"> - Referents: Jonás Fernández)"\l3 \n&gt; \* MERGEFORMAT </w:instrText>
      </w:r>
      <w:r w:rsidRPr="001A7F92">
        <w:rPr>
          <w:i/>
        </w:rPr>
        <w:fldChar w:fldCharType="end"/>
      </w:r>
    </w:p>
    <w:p w:rsidR="009A3B41" w:rsidRPr="001A7F92" w:rsidRDefault="009A3B41" w:rsidP="009A3B41">
      <w:pPr>
        <w:rPr>
          <w:vanish/>
        </w:rPr>
      </w:pPr>
      <w:bookmarkStart w:id="4" w:name="Commission"/>
      <w:r w:rsidRPr="001A7F92">
        <w:rPr>
          <w:vanish/>
        </w:rPr>
        <w:t>Ekonomikas un monetārā komiteja</w:t>
      </w:r>
      <w:bookmarkEnd w:id="4"/>
    </w:p>
    <w:p w:rsidR="009A3B41" w:rsidRPr="001A7F92" w:rsidRDefault="009A3B41" w:rsidP="009A3B41">
      <w:pPr>
        <w:rPr>
          <w:vanish/>
        </w:rPr>
      </w:pPr>
      <w:bookmarkStart w:id="5" w:name="PE"/>
      <w:r w:rsidRPr="001A7F92">
        <w:rPr>
          <w:vanish/>
        </w:rPr>
        <w:t>PE772.074</w:t>
      </w:r>
      <w:bookmarkEnd w:id="5"/>
    </w:p>
    <w:p w:rsidR="009A3B41" w:rsidRPr="001A7F92" w:rsidRDefault="009A3B41" w:rsidP="009A3B41">
      <w:pPr>
        <w:pStyle w:val="ATHeading3"/>
      </w:pPr>
      <w:bookmarkStart w:id="6" w:name="Sujet"/>
      <w:r w:rsidRPr="001A7F92">
        <w:t xml:space="preserve">Eiropas Parlamenta 2025. gada </w:t>
      </w:r>
      <w:r w:rsidR="005441F1" w:rsidRPr="001A7F92">
        <w:t>6. maija</w:t>
      </w:r>
      <w:r w:rsidRPr="001A7F92">
        <w:t xml:space="preserve"> normatīvā rezolūcija par Padomes nostāju pirmajā lasījumā, lai pieņemtu Eiropas Parlamenta un Padomes Regulu, ar ko Regulu (ES) 2016/1011 groza attiecībā uz etalonu noteikumu tvērumu, tādu etalonu izmantošanu Savienībā, kurus izstrādā administrators, kas atrodas trešā valstī, un konkrētām ziņošanas prasībām</w:t>
      </w:r>
      <w:bookmarkEnd w:id="6"/>
      <w:r w:rsidRPr="001A7F92">
        <w:t xml:space="preserve"> </w:t>
      </w:r>
      <w:bookmarkStart w:id="7" w:name="References"/>
      <w:r w:rsidRPr="001A7F92">
        <w:t>(5123/1/2025 – C10-0055/2025 – 2023/0379(COD))</w:t>
      </w:r>
      <w:bookmarkEnd w:id="7"/>
    </w:p>
    <w:p w:rsidR="00F84DF4" w:rsidRPr="001A7F92" w:rsidRDefault="00F84DF4" w:rsidP="00F84DF4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</w:pPr>
      <w:bookmarkStart w:id="8" w:name="TextBodyBegin"/>
      <w:bookmarkEnd w:id="8"/>
      <w:r w:rsidRPr="001A7F92">
        <w:rPr>
          <w:b/>
        </w:rPr>
        <w:t>(Parastā likumdošanas procedūra: otrais lasījums)</w:t>
      </w:r>
    </w:p>
    <w:p w:rsidR="00F84DF4" w:rsidRPr="001A7F92" w:rsidRDefault="00F84DF4" w:rsidP="00F84DF4">
      <w:pPr>
        <w:pStyle w:val="EPComma"/>
      </w:pPr>
      <w:r w:rsidRPr="001A7F92">
        <w:rPr>
          <w:i/>
        </w:rPr>
        <w:t>Eiropas Parlaments</w:t>
      </w:r>
      <w:r w:rsidRPr="001A7F92">
        <w:t>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Padomes nostāju pirmajā lasījumā (5123/1/2025 – C10</w:t>
      </w:r>
      <w:r w:rsidRPr="001A7F92">
        <w:noBreakHyphen/>
        <w:t>0055/2025),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Eiropas Ekonomikas un sociālo lietu komitejas 2024. gada 14. februāra atzinumu</w:t>
      </w:r>
      <w:r w:rsidRPr="001A7F92">
        <w:rPr>
          <w:rStyle w:val="FootnoteReference"/>
        </w:rPr>
        <w:footnoteReference w:id="1"/>
      </w:r>
      <w:r w:rsidRPr="001A7F92">
        <w:t>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Parlamenta nostāju pirmajā lasījumā</w:t>
      </w:r>
      <w:r w:rsidRPr="001A7F92">
        <w:rPr>
          <w:rStyle w:val="FootnoteReference"/>
        </w:rPr>
        <w:footnoteReference w:id="2"/>
      </w:r>
      <w:r w:rsidRPr="001A7F92">
        <w:t xml:space="preserve"> attiecībā uz Komisijas priekšlikumu Eiropas Parlamentam un Padomei (COM(2023)</w:t>
      </w:r>
      <w:r w:rsidR="005441F1" w:rsidRPr="001A7F92">
        <w:t>0</w:t>
      </w:r>
      <w:r w:rsidRPr="001A7F92">
        <w:t>660),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Līguma par Eiropas Savienības darbību 294. panta 7. punktu,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provizorisko vienošanos, ko atbildīgā komiteja apstiprināja saskaņā ar Reglamenta 75. panta 4. punktu,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Reglamenta 68. pantu,</w:t>
      </w:r>
    </w:p>
    <w:p w:rsidR="00F84DF4" w:rsidRPr="001A7F92" w:rsidRDefault="00F84DF4" w:rsidP="00F84DF4">
      <w:pPr>
        <w:pStyle w:val="NormalHanging12a"/>
      </w:pPr>
      <w:r w:rsidRPr="001A7F92">
        <w:t>–</w:t>
      </w:r>
      <w:r w:rsidRPr="001A7F92">
        <w:tab/>
        <w:t>ņemot vērā Ekonomikas un monetārās komitejas ieteikumu otrajam lasījumam (A10</w:t>
      </w:r>
      <w:r w:rsidRPr="001A7F92">
        <w:noBreakHyphen/>
        <w:t>0060/2025),</w:t>
      </w:r>
    </w:p>
    <w:p w:rsidR="00F84DF4" w:rsidRPr="001A7F92" w:rsidRDefault="00F84DF4" w:rsidP="00F84DF4">
      <w:pPr>
        <w:pStyle w:val="NormalHanging12a"/>
      </w:pPr>
      <w:r w:rsidRPr="001A7F92">
        <w:t>1.</w:t>
      </w:r>
      <w:r w:rsidRPr="001A7F92">
        <w:tab/>
        <w:t>apstiprina Padomes nostāju pirmajā lasījumā;</w:t>
      </w:r>
    </w:p>
    <w:p w:rsidR="00F84DF4" w:rsidRPr="001A7F92" w:rsidRDefault="00F84DF4" w:rsidP="00F84DF4">
      <w:pPr>
        <w:pStyle w:val="NormalHanging12a"/>
      </w:pPr>
      <w:r w:rsidRPr="001A7F92">
        <w:lastRenderedPageBreak/>
        <w:t>2.</w:t>
      </w:r>
      <w:r w:rsidRPr="001A7F92">
        <w:tab/>
        <w:t>konstatē, ka akts ir pieņemts saskaņā ar Padomes nostāju;</w:t>
      </w:r>
    </w:p>
    <w:p w:rsidR="00F84DF4" w:rsidRPr="001A7F92" w:rsidRDefault="00F84DF4" w:rsidP="00F84DF4">
      <w:pPr>
        <w:pStyle w:val="NormalHanging12a"/>
      </w:pPr>
      <w:r w:rsidRPr="001A7F92">
        <w:t>3.</w:t>
      </w:r>
      <w:r w:rsidRPr="001A7F92">
        <w:tab/>
        <w:t>uzdod priekšsēdētājai parakstīt aktu kopā ar Padomes priekšsēdētāju saskaņā ar Līguma par Eiropas Savienības darbību 297. panta 1. punktu;</w:t>
      </w:r>
    </w:p>
    <w:p w:rsidR="00F84DF4" w:rsidRPr="001A7F92" w:rsidRDefault="00F84DF4" w:rsidP="00F84DF4">
      <w:pPr>
        <w:pStyle w:val="NormalHanging12a"/>
      </w:pPr>
      <w:r w:rsidRPr="001A7F92">
        <w:t>4.</w:t>
      </w:r>
      <w:r w:rsidRPr="001A7F92">
        <w:tab/>
        <w:t xml:space="preserve">uzdod ģenerālsekretāram parakstīt aktu pēc tam, kad ir notikusi pārbaude par to, vai ir pienācīgi ievērotas visas procedūras, un pēc saskaņošanas ar Padomes ģenerālsekretāru nodrošināt tā publicēšanu </w:t>
      </w:r>
      <w:r w:rsidRPr="001A7F92">
        <w:rPr>
          <w:i/>
        </w:rPr>
        <w:t>Eiropas Savienības Oficiālajā Vēstnesī</w:t>
      </w:r>
      <w:r w:rsidRPr="001A7F92">
        <w:t>;</w:t>
      </w:r>
    </w:p>
    <w:p w:rsidR="00301B96" w:rsidRPr="001A7F92" w:rsidRDefault="00F84DF4" w:rsidP="00301B96">
      <w:pPr>
        <w:pStyle w:val="NormalHanging12a"/>
      </w:pPr>
      <w:r w:rsidRPr="001A7F92">
        <w:t>5.</w:t>
      </w:r>
      <w:r w:rsidRPr="001A7F92">
        <w:tab/>
        <w:t>uzdod priekšsēdētājai Parlamenta nostāju nosūtīt Padomei, Komisijai un dalībvalstu parlamentiem.</w:t>
      </w:r>
    </w:p>
    <w:p w:rsidR="00E365E1" w:rsidRPr="001A7F92" w:rsidRDefault="00E365E1" w:rsidP="009A3B41"/>
    <w:sectPr w:rsidR="00E365E1" w:rsidRPr="001A7F92" w:rsidSect="00301B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B41" w:rsidRPr="00301B96" w:rsidRDefault="009A3B41">
      <w:r w:rsidRPr="00301B96">
        <w:separator/>
      </w:r>
    </w:p>
  </w:endnote>
  <w:endnote w:type="continuationSeparator" w:id="0">
    <w:p w:rsidR="009A3B41" w:rsidRPr="00301B96" w:rsidRDefault="009A3B41">
      <w:r w:rsidRPr="00301B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B41" w:rsidRPr="00301B96" w:rsidRDefault="009A3B41">
      <w:r w:rsidRPr="00301B96">
        <w:separator/>
      </w:r>
    </w:p>
  </w:footnote>
  <w:footnote w:type="continuationSeparator" w:id="0">
    <w:p w:rsidR="009A3B41" w:rsidRPr="00301B96" w:rsidRDefault="009A3B41">
      <w:r w:rsidRPr="00301B96">
        <w:continuationSeparator/>
      </w:r>
    </w:p>
  </w:footnote>
  <w:footnote w:id="1">
    <w:p w:rsidR="00F84DF4" w:rsidRPr="00301B96" w:rsidRDefault="00F84DF4" w:rsidP="00301B96">
      <w:pPr>
        <w:pStyle w:val="FootnoteText"/>
        <w:ind w:left="567" w:hanging="567"/>
        <w:rPr>
          <w:sz w:val="24"/>
          <w:lang w:val="lv-LV"/>
        </w:rPr>
      </w:pPr>
      <w:r w:rsidRPr="00301B96">
        <w:rPr>
          <w:rStyle w:val="FootnoteReference"/>
          <w:sz w:val="24"/>
          <w:lang w:val="lv-LV"/>
        </w:rPr>
        <w:footnoteRef/>
      </w:r>
      <w:r w:rsidR="00301B96" w:rsidRPr="00301B96">
        <w:rPr>
          <w:sz w:val="24"/>
          <w:lang w:val="lv-LV"/>
        </w:rPr>
        <w:t xml:space="preserve"> </w:t>
      </w:r>
      <w:r w:rsidR="00301B96" w:rsidRPr="00301B96">
        <w:rPr>
          <w:sz w:val="24"/>
          <w:lang w:val="lv-LV"/>
        </w:rPr>
        <w:tab/>
      </w:r>
      <w:r w:rsidRPr="00301B96">
        <w:rPr>
          <w:sz w:val="24"/>
          <w:lang w:val="lv-LV"/>
        </w:rPr>
        <w:t xml:space="preserve">OV C, C/2024/2485, 23.4.2024., ELI: </w:t>
      </w:r>
      <w:hyperlink r:id="rId1" w:history="1">
        <w:r w:rsidRPr="00301B96">
          <w:rPr>
            <w:rStyle w:val="Hyperlink"/>
            <w:sz w:val="24"/>
            <w:lang w:val="lv-LV"/>
          </w:rPr>
          <w:t>http://data.europa.eu/eli/C/2024/2485/oj</w:t>
        </w:r>
      </w:hyperlink>
      <w:r w:rsidRPr="00301B96">
        <w:rPr>
          <w:sz w:val="24"/>
          <w:lang w:val="lv-LV"/>
        </w:rPr>
        <w:t>.</w:t>
      </w:r>
    </w:p>
  </w:footnote>
  <w:footnote w:id="2">
    <w:p w:rsidR="00F84DF4" w:rsidRPr="00301B96" w:rsidRDefault="00F84DF4" w:rsidP="00301B96">
      <w:pPr>
        <w:pStyle w:val="FootnoteText"/>
        <w:ind w:left="567" w:hanging="567"/>
        <w:rPr>
          <w:sz w:val="24"/>
          <w:lang w:val="lv-LV"/>
        </w:rPr>
      </w:pPr>
      <w:r w:rsidRPr="00301B96">
        <w:rPr>
          <w:rStyle w:val="FootnoteReference"/>
          <w:sz w:val="24"/>
          <w:lang w:val="lv-LV"/>
        </w:rPr>
        <w:footnoteRef/>
      </w:r>
      <w:r w:rsidR="00301B96" w:rsidRPr="00301B96">
        <w:rPr>
          <w:sz w:val="24"/>
          <w:lang w:val="lv-LV"/>
        </w:rPr>
        <w:t xml:space="preserve"> </w:t>
      </w:r>
      <w:r w:rsidR="00301B96" w:rsidRPr="00301B96">
        <w:rPr>
          <w:sz w:val="24"/>
          <w:lang w:val="lv-LV"/>
        </w:rPr>
        <w:tab/>
      </w:r>
      <w:r w:rsidR="005441F1">
        <w:rPr>
          <w:sz w:val="24"/>
          <w:lang w:val="lv-LV"/>
        </w:rPr>
        <w:t xml:space="preserve">Pieņemtie teksti, 24.4.2024., </w:t>
      </w:r>
      <w:r w:rsidRPr="00301B96">
        <w:rPr>
          <w:sz w:val="24"/>
          <w:lang w:val="lv-LV"/>
        </w:rPr>
        <w:t>P9_TA(2024)0357.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B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LV"/>
    <w:docVar w:name="dvnumam" w:val="0"/>
    <w:docVar w:name="dvpe" w:val="772.074"/>
    <w:docVar w:name="dvrapporteur" w:val="Referents: "/>
    <w:docVar w:name="dvstar" w:val="***II"/>
    <w:docVar w:name="dvtitre" w:val="Eiropas Parlamenta 2025. gada XX. XXX normatīvā rezolūcija par Padomes nostāju pirmajā lasījumā, lai pieņemtu Eiropas Parlamenta un Padomes Regulu, ar ko Regulu (ES) 2016/1011 groza attiecībā uz etalonu noteikumu tvērumu, tādu etalonu izmantošanu Savienībā, kurus izstrādā administrators, kas atrodas trešā valstī, un konkrētām ziņošanas prasībām(5123/1/2025 – C10-0055/2025 – 2023/0379(COD))"/>
  </w:docVars>
  <w:rsids>
    <w:rsidRoot w:val="009A3B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F92"/>
    <w:rsid w:val="001F32AE"/>
    <w:rsid w:val="002767FF"/>
    <w:rsid w:val="002B18FE"/>
    <w:rsid w:val="002B5493"/>
    <w:rsid w:val="00301B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1F1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B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DF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08CB3"/>
  <w15:chartTrackingRefBased/>
  <w15:docId w15:val="{374A859D-6409-4AB9-9772-7C62C920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4DF4"/>
    <w:pPr>
      <w:spacing w:before="480" w:after="240"/>
    </w:pPr>
  </w:style>
  <w:style w:type="paragraph" w:customStyle="1" w:styleId="NormalBold12a">
    <w:name w:val="NormalBold12a"/>
    <w:basedOn w:val="Normal"/>
    <w:rsid w:val="00F84DF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84DF4"/>
    <w:pPr>
      <w:spacing w:after="240"/>
      <w:ind w:left="567" w:hanging="567"/>
    </w:pPr>
  </w:style>
  <w:style w:type="character" w:styleId="Hyperlink">
    <w:name w:val="Hyperlink"/>
    <w:basedOn w:val="DefaultParagraphFont"/>
    <w:rsid w:val="00F84DF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441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41F1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D95D5-A2CF-44F9-8FE1-A1983272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1821</Characters>
  <Application>Microsoft Office Word</Application>
  <DocSecurity>0</DocSecurity>
  <Lines>39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2025-05-06T10:53:00Z</dcterms:created>
  <dcterms:modified xsi:type="dcterms:W3CDTF">2025-05-06T10:53:00Z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A10-0060/2025</vt:lpwstr>
  </property>
  <property fmtid="{D5CDD505-2E9C-101B-9397-08002B2CF9AE}" pid="4" name="&lt;Type&gt;">
    <vt:lpwstr>RR</vt:lpwstr>
  </property>
</Properties>
</file>