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451" w14:paraId="2BEDD0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5566BD" w14:textId="77777777" w:rsidR="00751A4A" w:rsidRPr="00806451" w:rsidRDefault="00447DCA" w:rsidP="0010095E">
            <w:pPr>
              <w:pStyle w:val="EPName"/>
            </w:pPr>
            <w:r w:rsidRPr="00806451">
              <w:t>Европейски</w:t>
            </w:r>
            <w:r w:rsidR="00184D31" w:rsidRPr="00806451">
              <w:t xml:space="preserve"> парламент</w:t>
            </w:r>
          </w:p>
          <w:p w14:paraId="4B5327FE" w14:textId="77777777" w:rsidR="00751A4A" w:rsidRPr="008064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451">
              <w:t>2024</w:t>
            </w:r>
            <w:r w:rsidR="00447DCA">
              <w:rPr>
                <w:lang w:val="en-GB"/>
              </w:rPr>
              <w:t> – </w:t>
            </w:r>
            <w:r w:rsidR="00817416" w:rsidRPr="00806451">
              <w:t>202</w:t>
            </w:r>
            <w:r w:rsidRPr="00806451">
              <w:t>9</w:t>
            </w:r>
          </w:p>
        </w:tc>
        <w:tc>
          <w:tcPr>
            <w:tcW w:w="2268" w:type="dxa"/>
            <w:shd w:val="clear" w:color="auto" w:fill="auto"/>
          </w:tcPr>
          <w:p w14:paraId="5032121D" w14:textId="77777777" w:rsidR="00751A4A" w:rsidRPr="00806451" w:rsidRDefault="00187494" w:rsidP="0010095E">
            <w:pPr>
              <w:pStyle w:val="EPLogo"/>
            </w:pPr>
            <w:r w:rsidRPr="00806451">
              <w:rPr>
                <w:noProof/>
                <w:lang w:val="en-GB"/>
              </w:rPr>
              <w:drawing>
                <wp:inline distT="0" distB="0" distL="0" distR="0" wp14:anchorId="208473F9" wp14:editId="1461ED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FFE04" w14:textId="77777777" w:rsidR="00D058B8" w:rsidRPr="00806451" w:rsidRDefault="00D058B8" w:rsidP="004C5D52">
      <w:pPr>
        <w:pStyle w:val="LineTop"/>
      </w:pPr>
    </w:p>
    <w:p w14:paraId="46A0C50E" w14:textId="77777777" w:rsidR="00680577" w:rsidRPr="00806451" w:rsidRDefault="00184D31" w:rsidP="00680577">
      <w:pPr>
        <w:pStyle w:val="EPBodyTA1"/>
      </w:pPr>
      <w:r w:rsidRPr="00806451">
        <w:t>ПРИЕТИ ТЕКСТОВЕ</w:t>
      </w:r>
    </w:p>
    <w:p w14:paraId="20B48F9E" w14:textId="77777777" w:rsidR="00D058B8" w:rsidRPr="00806451" w:rsidRDefault="00D058B8" w:rsidP="00D058B8">
      <w:pPr>
        <w:pStyle w:val="LineBottom"/>
      </w:pPr>
    </w:p>
    <w:p w14:paraId="49F65898" w14:textId="5DD5D6EB" w:rsidR="00184D31" w:rsidRPr="00806451" w:rsidRDefault="00184D31" w:rsidP="00184D31">
      <w:pPr>
        <w:pStyle w:val="ATHeading1"/>
      </w:pPr>
      <w:bookmarkStart w:id="0" w:name="TANumber"/>
      <w:r w:rsidRPr="00806451">
        <w:t>P10_TA(2025)00</w:t>
      </w:r>
      <w:r w:rsidR="006B0A05">
        <w:rPr>
          <w:lang w:val="en-GB"/>
        </w:rPr>
        <w:t>74</w:t>
      </w:r>
      <w:bookmarkEnd w:id="0"/>
    </w:p>
    <w:p w14:paraId="0AB1A1E7" w14:textId="77777777" w:rsidR="00184D31" w:rsidRPr="00806451" w:rsidRDefault="00184D31" w:rsidP="00184D31">
      <w:pPr>
        <w:pStyle w:val="ATHeading2"/>
      </w:pPr>
      <w:bookmarkStart w:id="1" w:name="title"/>
      <w:r w:rsidRPr="00806451">
        <w:t>Мобилизиране на средства от Европейския фонд за приспособяване към глобализацията за съкратени работници – EGF/2024/003 BE/Van Hool – Белгия</w:t>
      </w:r>
      <w:bookmarkEnd w:id="1"/>
    </w:p>
    <w:p w14:paraId="5B9CD6DC" w14:textId="77777777" w:rsidR="00184D31" w:rsidRPr="00806451" w:rsidRDefault="00184D31" w:rsidP="00184D31">
      <w:pPr>
        <w:rPr>
          <w:i/>
          <w:vanish/>
        </w:rPr>
      </w:pPr>
      <w:r w:rsidRPr="00806451">
        <w:rPr>
          <w:i/>
        </w:rPr>
        <w:fldChar w:fldCharType="begin"/>
      </w:r>
      <w:r w:rsidRPr="00806451">
        <w:rPr>
          <w:i/>
        </w:rPr>
        <w:instrText xml:space="preserve"> TC"(</w:instrText>
      </w:r>
      <w:bookmarkStart w:id="2" w:name="DocNumber"/>
      <w:r w:rsidRPr="00806451">
        <w:rPr>
          <w:i/>
        </w:rPr>
        <w:instrText>A10-0080/2025</w:instrText>
      </w:r>
      <w:bookmarkEnd w:id="2"/>
      <w:r w:rsidRPr="00806451">
        <w:rPr>
          <w:i/>
        </w:rPr>
        <w:instrText xml:space="preserve"> - Докладчик: Януш Левандовски)"\l3 \n&gt; \* MERGEFORMAT </w:instrText>
      </w:r>
      <w:r w:rsidRPr="00806451">
        <w:rPr>
          <w:i/>
        </w:rPr>
        <w:fldChar w:fldCharType="end"/>
      </w:r>
    </w:p>
    <w:p w14:paraId="2AEB9BC0" w14:textId="77777777" w:rsidR="00184D31" w:rsidRPr="00806451" w:rsidRDefault="00184D31" w:rsidP="00184D31">
      <w:pPr>
        <w:rPr>
          <w:vanish/>
        </w:rPr>
      </w:pPr>
      <w:bookmarkStart w:id="3" w:name="Commission"/>
      <w:r w:rsidRPr="00806451">
        <w:rPr>
          <w:vanish/>
        </w:rPr>
        <w:t>Комисия по бюджети</w:t>
      </w:r>
      <w:bookmarkEnd w:id="3"/>
    </w:p>
    <w:p w14:paraId="2BC2E8D2" w14:textId="77777777" w:rsidR="00184D31" w:rsidRPr="00806451" w:rsidRDefault="00184D31" w:rsidP="00184D31">
      <w:pPr>
        <w:rPr>
          <w:vanish/>
        </w:rPr>
      </w:pPr>
      <w:bookmarkStart w:id="4" w:name="PE"/>
      <w:r w:rsidRPr="00806451">
        <w:rPr>
          <w:vanish/>
        </w:rPr>
        <w:t>PE771.884</w:t>
      </w:r>
      <w:bookmarkEnd w:id="4"/>
    </w:p>
    <w:p w14:paraId="6F6A927C" w14:textId="4977CF45" w:rsidR="00184D31" w:rsidRPr="00806451" w:rsidRDefault="00184D31" w:rsidP="00184D31">
      <w:pPr>
        <w:pStyle w:val="ATHeading3"/>
      </w:pPr>
      <w:bookmarkStart w:id="5" w:name="Sujet"/>
      <w:r w:rsidRPr="00806451">
        <w:t xml:space="preserve">Резолюция на Европейския парламент от </w:t>
      </w:r>
      <w:r w:rsidR="00447DCA" w:rsidRPr="00432E81">
        <w:t xml:space="preserve">6 </w:t>
      </w:r>
      <w:r w:rsidR="00447DCA">
        <w:t>май</w:t>
      </w:r>
      <w:r w:rsidRPr="00806451">
        <w:t xml:space="preserve"> 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</w:t>
      </w:r>
      <w:bookmarkStart w:id="6" w:name="_GoBack"/>
      <w:bookmarkEnd w:id="6"/>
      <w:r w:rsidRPr="00806451">
        <w:t>ение от Белгия – EGF/2024/003 BE/Van Hool</w:t>
      </w:r>
      <w:bookmarkEnd w:id="5"/>
      <w:r w:rsidRPr="00806451">
        <w:t xml:space="preserve"> </w:t>
      </w:r>
      <w:bookmarkStart w:id="7" w:name="References"/>
      <w:r w:rsidRPr="00806451">
        <w:t>(COM(2025)0001 – C10-0056/2025 – 2025/0061(BUD))</w:t>
      </w:r>
      <w:bookmarkEnd w:id="7"/>
    </w:p>
    <w:p w14:paraId="668282D9" w14:textId="77777777" w:rsidR="00601FA5" w:rsidRPr="00806451" w:rsidRDefault="00601FA5" w:rsidP="00601FA5">
      <w:pPr>
        <w:pStyle w:val="EPComma"/>
        <w:rPr>
          <w:noProof/>
        </w:rPr>
      </w:pPr>
      <w:r w:rsidRPr="00806451">
        <w:rPr>
          <w:i/>
        </w:rPr>
        <w:t>Европейският парламент</w:t>
      </w:r>
      <w:r w:rsidRPr="00806451">
        <w:t>,</w:t>
      </w:r>
    </w:p>
    <w:p w14:paraId="37E2BCF0" w14:textId="526E1FF8" w:rsidR="00601FA5" w:rsidRPr="00806451" w:rsidRDefault="00601FA5" w:rsidP="00447DCA">
      <w:pPr>
        <w:pStyle w:val="NormalHanging12a"/>
        <w:rPr>
          <w:noProof/>
        </w:rPr>
      </w:pPr>
      <w:r w:rsidRPr="00806451">
        <w:t>–</w:t>
      </w:r>
      <w:r w:rsidRPr="00806451">
        <w:tab/>
        <w:t xml:space="preserve">като взе предвид предложението на Комисията до </w:t>
      </w:r>
      <w:r w:rsidR="00447DCA">
        <w:t>П</w:t>
      </w:r>
      <w:r w:rsidRPr="00806451">
        <w:t>арламент</w:t>
      </w:r>
      <w:r w:rsidR="00447DCA">
        <w:t>а</w:t>
      </w:r>
      <w:r w:rsidRPr="00806451">
        <w:t xml:space="preserve"> и </w:t>
      </w:r>
      <w:r w:rsidR="00447DCA">
        <w:t xml:space="preserve">до </w:t>
      </w:r>
      <w:r w:rsidRPr="00806451">
        <w:t>Съвета (COM(2025)0001 – C10</w:t>
      </w:r>
      <w:r w:rsidRPr="00806451">
        <w:noBreakHyphen/>
        <w:t>0056/2025),</w:t>
      </w:r>
    </w:p>
    <w:p w14:paraId="10771191" w14:textId="77777777" w:rsidR="00601FA5" w:rsidRPr="00806451" w:rsidRDefault="00601FA5" w:rsidP="00601FA5">
      <w:pPr>
        <w:pStyle w:val="NormalHanging12a"/>
        <w:rPr>
          <w:noProof/>
        </w:rPr>
      </w:pPr>
      <w:r w:rsidRPr="00806451">
        <w:t>–</w:t>
      </w:r>
      <w:r w:rsidRPr="00806451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806451">
        <w:rPr>
          <w:rStyle w:val="FootnoteReference"/>
          <w:noProof/>
        </w:rPr>
        <w:footnoteReference w:id="1"/>
      </w:r>
      <w:r w:rsidRPr="00806451">
        <w:t xml:space="preserve"> („Регламент за ЕФПГ“),</w:t>
      </w:r>
    </w:p>
    <w:p w14:paraId="42E99B00" w14:textId="77777777" w:rsidR="00601FA5" w:rsidRPr="00806451" w:rsidRDefault="00601FA5" w:rsidP="00601FA5">
      <w:pPr>
        <w:pStyle w:val="NormalHanging12a"/>
        <w:rPr>
          <w:noProof/>
        </w:rPr>
      </w:pPr>
      <w:r w:rsidRPr="00806451">
        <w:t>–</w:t>
      </w:r>
      <w:r w:rsidRPr="00806451">
        <w:tab/>
        <w:t>като взе предвид Регламент (EC, Евратом) 2020/2093 на Съвета от 17 декември 2020 г. за определяне на многогодишната финансова рамка за годините 2021 – 2027</w:t>
      </w:r>
      <w:r w:rsidRPr="00806451">
        <w:rPr>
          <w:rStyle w:val="FootnoteReference"/>
          <w:noProof/>
        </w:rPr>
        <w:footnoteReference w:id="2"/>
      </w:r>
      <w:r w:rsidRPr="00806451">
        <w:rPr>
          <w:color w:val="000000"/>
          <w:bdr w:val="none" w:sz="0" w:space="0" w:color="auto" w:frame="1"/>
        </w:rPr>
        <w:t>, изменен с Регламент (ЕС, Евратом)</w:t>
      </w:r>
      <w:r w:rsidRPr="00806451">
        <w:rPr>
          <w:bdr w:val="none" w:sz="0" w:space="0" w:color="auto" w:frame="1"/>
        </w:rPr>
        <w:t xml:space="preserve"> 2024/765</w:t>
      </w:r>
      <w:r w:rsidRPr="00806451">
        <w:rPr>
          <w:rStyle w:val="FootnoteReference"/>
          <w:bdr w:val="none" w:sz="0" w:space="0" w:color="auto" w:frame="1"/>
        </w:rPr>
        <w:footnoteReference w:id="3"/>
      </w:r>
      <w:r w:rsidRPr="00806451">
        <w:t>, и по-специално член 8 от него,</w:t>
      </w:r>
    </w:p>
    <w:p w14:paraId="16EC391A" w14:textId="77777777" w:rsidR="00601FA5" w:rsidRPr="00806451" w:rsidRDefault="00601FA5" w:rsidP="00601FA5">
      <w:pPr>
        <w:pStyle w:val="NormalHanging12a"/>
        <w:rPr>
          <w:noProof/>
        </w:rPr>
      </w:pPr>
      <w:r w:rsidRPr="00806451">
        <w:t>–</w:t>
      </w:r>
      <w:r w:rsidRPr="00806451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806451">
        <w:lastRenderedPageBreak/>
        <w:t>включително пътна карта за въвеждането на нови собствени ресурси</w:t>
      </w:r>
      <w:r w:rsidRPr="00806451">
        <w:rPr>
          <w:rStyle w:val="FootnoteReference"/>
          <w:noProof/>
        </w:rPr>
        <w:footnoteReference w:id="4"/>
      </w:r>
      <w:r w:rsidRPr="00806451">
        <w:t>, и по-специално точка 9 от него,</w:t>
      </w:r>
    </w:p>
    <w:p w14:paraId="7F5755B6" w14:textId="77777777" w:rsidR="00601FA5" w:rsidRPr="00806451" w:rsidRDefault="00601FA5" w:rsidP="00601FA5">
      <w:pPr>
        <w:pStyle w:val="NormalHanging12a"/>
        <w:rPr>
          <w:noProof/>
        </w:rPr>
      </w:pPr>
      <w:r w:rsidRPr="00806451">
        <w:t>–</w:t>
      </w:r>
      <w:r w:rsidRPr="00806451">
        <w:tab/>
        <w:t>като взе предвид писмото на комисията по заетост и социални въпроси,</w:t>
      </w:r>
    </w:p>
    <w:p w14:paraId="54801AF5" w14:textId="77777777" w:rsidR="00601FA5" w:rsidRPr="00806451" w:rsidRDefault="00601FA5" w:rsidP="00601FA5">
      <w:pPr>
        <w:pStyle w:val="NormalHanging12a"/>
      </w:pPr>
      <w:r w:rsidRPr="00806451">
        <w:t>–</w:t>
      </w:r>
      <w:r w:rsidRPr="00806451">
        <w:tab/>
        <w:t xml:space="preserve">като взе предвид доклада на комисията по бюджети (A10-0080/2025), </w:t>
      </w:r>
    </w:p>
    <w:p w14:paraId="5196FBF3" w14:textId="77777777" w:rsidR="00601FA5" w:rsidRPr="00806451" w:rsidRDefault="00601FA5" w:rsidP="00601FA5">
      <w:pPr>
        <w:pStyle w:val="NormalHanging12a"/>
        <w:rPr>
          <w:noProof/>
        </w:rPr>
      </w:pPr>
      <w:r w:rsidRPr="00806451">
        <w:t>А.</w:t>
      </w:r>
      <w:r w:rsidRPr="00806451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да подпомогне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284C760A" w14:textId="77777777" w:rsidR="00601FA5" w:rsidRPr="00806451" w:rsidRDefault="00601FA5" w:rsidP="00601FA5">
      <w:pPr>
        <w:pStyle w:val="NormalHanging12a"/>
      </w:pPr>
      <w:r w:rsidRPr="00806451">
        <w:t xml:space="preserve">Б. </w:t>
      </w:r>
      <w:r w:rsidRPr="00806451">
        <w:tab/>
        <w:t>като има предвид, че Белгия подаде заявление EGF/2024/003 BE/Van Hool за финансов принос от Европейския фонд за приспособяване към глобализацията (ЕФПГ) вследствие на 2411 съкращения</w:t>
      </w:r>
      <w:r w:rsidRPr="00806451">
        <w:rPr>
          <w:rStyle w:val="FootnoteReference"/>
        </w:rPr>
        <w:footnoteReference w:id="5"/>
      </w:r>
      <w:r w:rsidRPr="00806451">
        <w:t xml:space="preserve"> в икономическия отрасъл от разделение 29 по NACE Revision 2 („Производство на автомобили, ремаркета и полуремаркета“) в региона на ниво 2 по NUTS провинция Антверпен (Provincie Antwerpen, BE21) в рамките на референтен период от четири месеца за подаване на заявлението от 8 април 2024 г. до 8 август 2024 г.; </w:t>
      </w:r>
    </w:p>
    <w:p w14:paraId="18593288" w14:textId="77777777" w:rsidR="00601FA5" w:rsidRPr="00806451" w:rsidRDefault="00601FA5" w:rsidP="00601FA5">
      <w:pPr>
        <w:pStyle w:val="NormalHanging12a"/>
      </w:pPr>
      <w:r w:rsidRPr="00806451">
        <w:t xml:space="preserve">В. </w:t>
      </w:r>
      <w:r w:rsidRPr="00806451">
        <w:tab/>
        <w:t xml:space="preserve">като има предвид, че заявлението се отнася до 2411 съкратени работници в дружеството </w:t>
      </w:r>
      <w:r w:rsidRPr="00806451">
        <w:rPr>
          <w:color w:val="000000"/>
        </w:rPr>
        <w:t>Van Hool</w:t>
      </w:r>
      <w:r w:rsidRPr="00806451">
        <w:t>;</w:t>
      </w:r>
    </w:p>
    <w:p w14:paraId="30F4372A" w14:textId="77777777" w:rsidR="00601FA5" w:rsidRPr="00806451" w:rsidRDefault="00601FA5" w:rsidP="00601FA5">
      <w:pPr>
        <w:pStyle w:val="NormalHanging12a"/>
      </w:pPr>
      <w:r w:rsidRPr="00806451">
        <w:t xml:space="preserve">Г. </w:t>
      </w:r>
      <w:r w:rsidRPr="00806451">
        <w:tab/>
        <w:t>като има предвид, че заявлението се основава на критериите за намеса по член 4, параграф 2, буква а) от Регламента за ЕФПГ, съгласно които следва да е налице прекратяване на дейността на най-малко 200 съкратени работници за референтен период от четири месеца в дадено предприятие в държава членка, включително съкратени работници при негови доставчици и производители надолу по веригата;</w:t>
      </w:r>
    </w:p>
    <w:p w14:paraId="23F52319" w14:textId="77777777" w:rsidR="00601FA5" w:rsidRPr="00806451" w:rsidRDefault="00601FA5" w:rsidP="00601FA5">
      <w:pPr>
        <w:pStyle w:val="NormalHanging12a"/>
      </w:pPr>
      <w:r w:rsidRPr="00806451">
        <w:t xml:space="preserve">Д. </w:t>
      </w:r>
      <w:r w:rsidRPr="00806451">
        <w:tab/>
        <w:t>като има предвид, че пандемията от COVID-19 оказа въздействие върху търсенето на автобуси, а руската агресивна война срещу Украйна има отражение върху структурата на разходите;</w:t>
      </w:r>
    </w:p>
    <w:p w14:paraId="0E502B96" w14:textId="77777777" w:rsidR="00601FA5" w:rsidRPr="00806451" w:rsidRDefault="00601FA5" w:rsidP="00601FA5">
      <w:pPr>
        <w:pStyle w:val="NormalHanging12a"/>
      </w:pPr>
      <w:r w:rsidRPr="00806451">
        <w:t xml:space="preserve">Е. </w:t>
      </w:r>
      <w:r w:rsidRPr="00806451">
        <w:tab/>
        <w:t>като има предвид, че европейската автомобилна промишленост и нейните доставчици са изправени пред безпрецедентен натиск, произтичащ както от външни, така и от вътрешни предизвикателства, като например нарушаването на конкуренцията, по-специално в сектора на електрическите превозни средства поради нелоялно субсидиране от страна на Китай, и високите разходи за енергия, причинени от големи преструктурирания;</w:t>
      </w:r>
    </w:p>
    <w:p w14:paraId="34A4C121" w14:textId="77777777" w:rsidR="00601FA5" w:rsidRPr="00806451" w:rsidRDefault="00601FA5" w:rsidP="006B0A05">
      <w:pPr>
        <w:pStyle w:val="NormalHanging12a"/>
      </w:pPr>
      <w:r w:rsidRPr="00806451">
        <w:t>Ж.</w:t>
      </w:r>
      <w:r w:rsidRPr="00806451">
        <w:rPr>
          <w:color w:val="7030A0"/>
        </w:rPr>
        <w:tab/>
      </w:r>
      <w:r w:rsidRPr="00806451">
        <w:t xml:space="preserve">като има предвид, че предприятието Van Hool беше специализирано в производството на автобуси за градски и междуградски транспорт, тролейбуси и ремаркета; като има предвид, че намаляващото търсене на автобуси в резултат на въздействието на пандемията доведе до намаляване на средните продажби на Van Hool в Европа и до рязък спад на рентабилността; като има предвид, че нарастващата инфлация и нарушените вериги на доставки допълнително </w:t>
      </w:r>
      <w:r w:rsidRPr="00806451">
        <w:lastRenderedPageBreak/>
        <w:t xml:space="preserve">увеличиха натиска върху маржовете на предприятието; </w:t>
      </w:r>
    </w:p>
    <w:p w14:paraId="2F91EC33" w14:textId="77777777" w:rsidR="00601FA5" w:rsidRPr="00806451" w:rsidRDefault="00601FA5" w:rsidP="006B0A05">
      <w:pPr>
        <w:pStyle w:val="NormalHanging12a"/>
      </w:pPr>
      <w:r w:rsidRPr="00806451">
        <w:t>З.</w:t>
      </w:r>
      <w:r w:rsidRPr="00806451">
        <w:tab/>
        <w:t xml:space="preserve">като има предвид, че дружеството, в съответствие с белгийското законодателство, е следвало задължителната процедура за информиране и консултиране на представителите на работниците;  като има предвид, че изискването за създаване на звено за заетост, чиято цел е да предоставя услуги по пренасочване на работниците, съкратени чрез колективни съкращения, не се прилага в случай на несъстоятелност; </w:t>
      </w:r>
    </w:p>
    <w:p w14:paraId="0C1F38DF" w14:textId="77777777" w:rsidR="00601FA5" w:rsidRPr="00806451" w:rsidRDefault="00601FA5" w:rsidP="006B0A05">
      <w:pPr>
        <w:pStyle w:val="NormalHanging12a"/>
      </w:pPr>
      <w:r w:rsidRPr="00806451">
        <w:t>И.</w:t>
      </w:r>
      <w:r w:rsidRPr="00806451">
        <w:tab/>
        <w:t>като има предвид, че финансовият принос от ЕФПГ следва да бъде насочен главно към активни мерки на политиката на пазара на труда и персонализирани услуги, целящи бързото реинтегриране на бенефициерите на достойни и устойчиви работни места във или извън първоначалния им сектор на дейност и подготвящи ги същевременно за една по-екологична и по-цифровизирана европейска икономика;</w:t>
      </w:r>
    </w:p>
    <w:p w14:paraId="24D57C69" w14:textId="77777777" w:rsidR="00601FA5" w:rsidRPr="00806451" w:rsidRDefault="00601FA5" w:rsidP="006B0A05">
      <w:pPr>
        <w:pStyle w:val="NormalHanging12a"/>
      </w:pPr>
      <w:r w:rsidRPr="00806451">
        <w:t>Й.</w:t>
      </w:r>
      <w:r w:rsidRPr="00806451">
        <w:tab/>
        <w:t>като има предвид, че фламандските служби по заетостта (VDAB) предоставят националното предварително финансиране и съфинансиране на мерките;</w:t>
      </w:r>
    </w:p>
    <w:p w14:paraId="2D1280DE" w14:textId="77777777" w:rsidR="00601FA5" w:rsidRPr="00806451" w:rsidRDefault="00601FA5" w:rsidP="00447DCA">
      <w:pPr>
        <w:widowControl/>
        <w:spacing w:after="240"/>
        <w:ind w:left="567" w:hanging="567"/>
        <w:rPr>
          <w:szCs w:val="24"/>
        </w:rPr>
      </w:pPr>
      <w:r w:rsidRPr="00806451">
        <w:t>К.</w:t>
      </w:r>
      <w:r w:rsidRPr="00806451">
        <w:rPr>
          <w:color w:val="7030A0"/>
        </w:rPr>
        <w:tab/>
      </w:r>
      <w:r w:rsidRPr="00806451">
        <w:t>като има предвид, че ЕФПГ не надхвърля максимален годишен размер от 30 милиона евро (по цени от 2018 г.), както е посочено в член 8 от Регламент (ЕС, Евратом) 2020/2093 на Съвета, изменен с Регламент (ЕС, Евратом) 2024/765; като има предвид, че в съответствие с принципа на добро финансово управление неизразходваните вноски следва да бъдат върнати на Комисията;</w:t>
      </w:r>
    </w:p>
    <w:p w14:paraId="39E68B62" w14:textId="77777777" w:rsidR="00601FA5" w:rsidRPr="00806451" w:rsidRDefault="00601FA5" w:rsidP="00447DCA">
      <w:pPr>
        <w:pStyle w:val="NormalHanging12a"/>
      </w:pPr>
      <w:r w:rsidRPr="00806451">
        <w:t>1.</w:t>
      </w:r>
      <w:r w:rsidRPr="00806451">
        <w:tab/>
        <w:t>изразява съгласие с Комисията, че условията по член 4, параграф 2, буква а) от Регламента за ЕФПГ са изпълнени и че Белгия има право на финансов принос в размер на 7 999 015 EUR съгласно посочения регламент, което съставлява 85% от общите разходи в размер на 9 410 607 EUR, като те включват разходи за персонализирани услуги в размер на 9 034 607 EUR и разходи за дейности по подготовка, управление, информация и публичност, контрол и докладване в размер на 376 000 EUR;</w:t>
      </w:r>
    </w:p>
    <w:p w14:paraId="5C7DF40F" w14:textId="77777777" w:rsidR="00601FA5" w:rsidRPr="00806451" w:rsidRDefault="00601FA5" w:rsidP="00447DCA">
      <w:pPr>
        <w:pStyle w:val="NormalHanging12a"/>
      </w:pPr>
      <w:r w:rsidRPr="00806451">
        <w:t xml:space="preserve">2. </w:t>
      </w:r>
      <w:r w:rsidRPr="00806451">
        <w:tab/>
        <w:t xml:space="preserve">отбелязва, че белгийските органи са подали заявлението на 29 октомври 2024 г. и че след като Белгия е предоставила допълнителна информация, Комисията е приключила оценката си на 26 март 2025 г. и е уведомила Парламента за това на същия ден; </w:t>
      </w:r>
    </w:p>
    <w:p w14:paraId="6708CBE6" w14:textId="77777777" w:rsidR="00601FA5" w:rsidRPr="00806451" w:rsidRDefault="00601FA5" w:rsidP="00447DCA">
      <w:pPr>
        <w:pStyle w:val="NormalHanging12a"/>
      </w:pPr>
      <w:r w:rsidRPr="00806451">
        <w:t>3.</w:t>
      </w:r>
      <w:r w:rsidRPr="00806451">
        <w:tab/>
        <w:t>отбелязва, че заявлението се отнася до 2411 съкратени работници в дружеството Van Hool; отбелязва освен това, че общо 2397 работници ще бъдат бенефициери от целевата група;</w:t>
      </w:r>
    </w:p>
    <w:p w14:paraId="57831856" w14:textId="77777777" w:rsidR="00601FA5" w:rsidRPr="00806451" w:rsidRDefault="00601FA5" w:rsidP="00447DCA">
      <w:pPr>
        <w:pStyle w:val="NormalHanging12a"/>
      </w:pPr>
      <w:r w:rsidRPr="00806451">
        <w:t>4.</w:t>
      </w:r>
      <w:r w:rsidRPr="00806451">
        <w:tab/>
        <w:t xml:space="preserve">подчертава, че според Федерацията на белгийските предприятия (VBO) понастоящем белгийската промишленост регистрира спад; </w:t>
      </w:r>
      <w:r w:rsidR="00447DCA">
        <w:t xml:space="preserve">отбелязва, че </w:t>
      </w:r>
      <w:r w:rsidRPr="00806451">
        <w:t>промишленият сектор традиционно играе важна роля в Лийр, поради което неговият спад оказва значително въздействие върху пазара на труда там; подчертава, че броят на наличните работни места в промишлеността в Лийр е намалял с 13% през 2023 г.;</w:t>
      </w:r>
    </w:p>
    <w:p w14:paraId="5B4976A7" w14:textId="77777777" w:rsidR="00601FA5" w:rsidRPr="00806451" w:rsidRDefault="00601FA5" w:rsidP="00447DCA">
      <w:pPr>
        <w:pStyle w:val="NormalHanging12a"/>
      </w:pPr>
      <w:r w:rsidRPr="00806451">
        <w:t>5.</w:t>
      </w:r>
      <w:r w:rsidRPr="00806451">
        <w:tab/>
        <w:t xml:space="preserve">обръща внимание на профилите на съкратените работници, една трета от които са на възраст 50 или повече години, а 80% имат средно или по-ниско образование и остарели умения; подчертава, че като се вземе предвид низходящата тенденция </w:t>
      </w:r>
      <w:r w:rsidRPr="00806451">
        <w:lastRenderedPageBreak/>
        <w:t>при свободните работни места и географското им разпределение, работниците ще се нуждаят от целенасочена помощ за повишаване на квалификацията и преквалификация, за да се подобрят шансовете им да се завърнат на работа; счита, че е социална отговорност на Съюза и на държавите членки да предоставят на засегнатите работници възможност да получат необходимата квалификация за бъдеща заетост;</w:t>
      </w:r>
    </w:p>
    <w:p w14:paraId="2C59D596" w14:textId="77777777" w:rsidR="00601FA5" w:rsidRPr="00806451" w:rsidRDefault="00601FA5" w:rsidP="00447DCA">
      <w:pPr>
        <w:pStyle w:val="NormalHanging12a"/>
      </w:pPr>
      <w:r w:rsidRPr="00806451">
        <w:t>6.</w:t>
      </w:r>
      <w:r w:rsidRPr="00806451">
        <w:tab/>
        <w:t>приветства факта, че персонализираните услуги, които се предвижда да бъдат предоставени на работниците, включват следните действия: съветник по социална интервенция и регистрация на работниците, пренасочване, подкрепа при търсене и намиране на работа, професионално ориентиране, преквалификация и професионално обучение, както и обучение на работното място; подчертава по-специално услугите, свързани с целенасочена подкрепа и лична оценка, както и обучението в областта на ИКТ, което допринася за повишаването на квалификацията, необходимо в цифровата индустриална епоха;</w:t>
      </w:r>
    </w:p>
    <w:p w14:paraId="0D63AB12" w14:textId="77777777" w:rsidR="00601FA5" w:rsidRPr="00806451" w:rsidRDefault="00601FA5" w:rsidP="00447DCA">
      <w:pPr>
        <w:pStyle w:val="NormalHanging12a"/>
      </w:pPr>
      <w:r w:rsidRPr="00806451">
        <w:t>7.</w:t>
      </w:r>
      <w:r w:rsidRPr="00806451">
        <w:tab/>
        <w:t>отбелязва, че Белгия е започнала да предоставя персонализирани услуги на бенефициерите от целевата група на 22 април 2024 г. и че следователно периодът на допустимост за предоставяне на финансов принос от ЕФПГ ще бъде от тази дата до 24 месеца след датата на влизане в сила на решението за финансиране;</w:t>
      </w:r>
    </w:p>
    <w:p w14:paraId="43A68145" w14:textId="77777777" w:rsidR="00601FA5" w:rsidRPr="00806451" w:rsidRDefault="00601FA5" w:rsidP="00447DCA">
      <w:pPr>
        <w:pStyle w:val="NormalHanging12a"/>
        <w:rPr>
          <w:sz w:val="23"/>
          <w:szCs w:val="23"/>
        </w:rPr>
      </w:pPr>
      <w:r w:rsidRPr="00806451">
        <w:t>8.</w:t>
      </w:r>
      <w:r w:rsidRPr="00806451">
        <w:tab/>
        <w:t>отбелязва, че Белгия е започнала да извършва административни разходи по прилагането на ЕФПГ на 14 март 2024 г. и че следователно тези разходи ще бъдат допустими за финансов принос от ЕФПГ от тази дата до 31 месеца след датата на влизане в сила на решението за финансиране;</w:t>
      </w:r>
    </w:p>
    <w:p w14:paraId="65BA0297" w14:textId="77777777" w:rsidR="00601FA5" w:rsidRPr="00806451" w:rsidRDefault="00601FA5" w:rsidP="00447DCA">
      <w:pPr>
        <w:pStyle w:val="NormalHanging12a"/>
      </w:pPr>
      <w:r w:rsidRPr="00806451">
        <w:t>9.</w:t>
      </w:r>
      <w:r w:rsidRPr="00806451">
        <w:tab/>
        <w:t>подчертава, че белгийските органи са потвърдили, че принципите на равно третиране и недискриминация ще бъдат спазвани при достъпа до предложените действия и тяхното изпълнение, както и че няма да бъде допуснато дублиране на финансирането;</w:t>
      </w:r>
    </w:p>
    <w:p w14:paraId="2C02427C" w14:textId="77777777" w:rsidR="00601FA5" w:rsidRPr="00806451" w:rsidRDefault="00601FA5" w:rsidP="00447DCA">
      <w:pPr>
        <w:pStyle w:val="NormalHanging12a"/>
      </w:pPr>
      <w:r w:rsidRPr="00806451">
        <w:t>10.</w:t>
      </w:r>
      <w:r w:rsidRPr="00806451">
        <w:tab/>
        <w:t>припомня, че белгийските органи гарантират, че равенството между мъжете и жените и интегрирането на измерението на равенството между половете са неразделна част и се насърчават през целия период на изпълнение;</w:t>
      </w:r>
    </w:p>
    <w:p w14:paraId="6DBD4A8A" w14:textId="77777777" w:rsidR="00601FA5" w:rsidRPr="00806451" w:rsidRDefault="00601FA5" w:rsidP="00447DCA">
      <w:pPr>
        <w:pStyle w:val="NormalHanging12a"/>
      </w:pPr>
      <w:r w:rsidRPr="00806451">
        <w:t>11.</w:t>
      </w:r>
      <w:r w:rsidRPr="00806451">
        <w:tab/>
        <w:t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договори;</w:t>
      </w:r>
    </w:p>
    <w:p w14:paraId="11E17284" w14:textId="77777777" w:rsidR="00601FA5" w:rsidRPr="00806451" w:rsidRDefault="00601FA5" w:rsidP="00447DCA">
      <w:pPr>
        <w:pStyle w:val="NormalHanging12a"/>
      </w:pPr>
      <w:r w:rsidRPr="00806451">
        <w:t>12.</w:t>
      </w:r>
      <w:r w:rsidRPr="00806451">
        <w:tab/>
        <w:t>припомня, че белгийските органи следва да посочват произхода и да гарантират видимостта на финансирането от Съюза, а така също и да подчертават добавената стойност на интервенцията на Съюза, като осигуряват последователна, ефективна и целенасочена информация за различни видове публика, включително целенасочена информация за бенефициерите, местните и регионалните органи, социалните партньори, медиите и обществеността;</w:t>
      </w:r>
    </w:p>
    <w:p w14:paraId="10F2F877" w14:textId="77777777" w:rsidR="00601FA5" w:rsidRPr="00806451" w:rsidRDefault="00601FA5" w:rsidP="00447DCA">
      <w:pPr>
        <w:pStyle w:val="NormalHanging12a"/>
      </w:pPr>
      <w:r w:rsidRPr="00806451">
        <w:t>13.</w:t>
      </w:r>
      <w:r w:rsidRPr="00806451">
        <w:tab/>
        <w:t>одобрява приложеното към настоящата резолюция решение;</w:t>
      </w:r>
    </w:p>
    <w:p w14:paraId="54329DC8" w14:textId="77777777" w:rsidR="00601FA5" w:rsidRPr="00806451" w:rsidRDefault="00601FA5" w:rsidP="00447DCA">
      <w:pPr>
        <w:pStyle w:val="NormalHanging12a"/>
      </w:pPr>
      <w:r w:rsidRPr="00806451">
        <w:t>14.</w:t>
      </w:r>
      <w:r w:rsidRPr="00806451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806451">
        <w:rPr>
          <w:i/>
          <w:iCs/>
        </w:rPr>
        <w:t>Официален вестник на Европейския съюз</w:t>
      </w:r>
      <w:r w:rsidRPr="00806451">
        <w:t>;</w:t>
      </w:r>
    </w:p>
    <w:p w14:paraId="34DBF678" w14:textId="77777777" w:rsidR="00601FA5" w:rsidRPr="00806451" w:rsidRDefault="00601FA5" w:rsidP="00447DCA">
      <w:pPr>
        <w:pStyle w:val="NormalHanging12a"/>
        <w:sectPr w:rsidR="00601FA5" w:rsidRPr="00806451" w:rsidSect="0080645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6451">
        <w:t>15.</w:t>
      </w:r>
      <w:r w:rsidRPr="00806451">
        <w:tab/>
        <w:t xml:space="preserve">възлага на своя председател да предаде настоящата резолюция, включително и </w:t>
      </w:r>
      <w:r w:rsidRPr="00806451">
        <w:lastRenderedPageBreak/>
        <w:t>приложението към нея, съответно на Съвета и на Комисията.</w:t>
      </w:r>
    </w:p>
    <w:p w14:paraId="31BBEEB7" w14:textId="77777777" w:rsidR="0081404C" w:rsidRDefault="0081404C" w:rsidP="00601FA5">
      <w:pPr>
        <w:pStyle w:val="PageHeading"/>
        <w:rPr>
          <w:rFonts w:ascii="Times New Roman" w:hAnsi="Times New Roman" w:cs="Times New Roman"/>
        </w:rPr>
      </w:pPr>
      <w:bookmarkStart w:id="8" w:name="_Toc197351449"/>
      <w:r>
        <w:rPr>
          <w:rFonts w:ascii="Times New Roman" w:hAnsi="Times New Roman" w:cs="Times New Roman"/>
        </w:rPr>
        <w:lastRenderedPageBreak/>
        <w:t>ПРИЛОЖЕНИЕ</w:t>
      </w:r>
    </w:p>
    <w:p w14:paraId="758B3A40" w14:textId="1E4E0253" w:rsidR="00601FA5" w:rsidRPr="00447DCA" w:rsidRDefault="00601FA5" w:rsidP="00601FA5">
      <w:pPr>
        <w:pStyle w:val="PageHeading"/>
        <w:rPr>
          <w:rFonts w:ascii="Times New Roman" w:hAnsi="Times New Roman" w:cs="Times New Roman"/>
          <w:noProof/>
        </w:rPr>
      </w:pPr>
      <w:r w:rsidRPr="00447DCA">
        <w:rPr>
          <w:rFonts w:ascii="Times New Roman" w:hAnsi="Times New Roman" w:cs="Times New Roman"/>
        </w:rPr>
        <w:t>РЕШЕНИЕ НА ЕВРОПЕЙСКИЯ ПАРЛАМЕНТ И НА СЪВЕТА</w:t>
      </w:r>
      <w:bookmarkEnd w:id="8"/>
    </w:p>
    <w:p w14:paraId="79468F39" w14:textId="693405E6" w:rsidR="00601FA5" w:rsidRDefault="00601FA5" w:rsidP="0081404C">
      <w:pPr>
        <w:pStyle w:val="NormalBold24a"/>
        <w:jc w:val="center"/>
      </w:pPr>
      <w:r w:rsidRPr="00806451"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 – EGF/2024/003 BE/Van Hool</w:t>
      </w:r>
    </w:p>
    <w:p w14:paraId="0BD33774" w14:textId="45B3603E" w:rsidR="0081404C" w:rsidRPr="0081404C" w:rsidRDefault="0081404C" w:rsidP="00601FA5">
      <w:pPr>
        <w:pStyle w:val="NormalBold24a"/>
        <w:rPr>
          <w:b w:val="0"/>
        </w:rPr>
      </w:pPr>
      <w:r w:rsidRPr="0081404C">
        <w:rPr>
          <w:b w:val="0"/>
          <w:i/>
          <w:szCs w:val="24"/>
          <w:lang w:eastAsia="de-DE"/>
        </w:rPr>
        <w:t xml:space="preserve">(Текстът на това приложение не е възпроизведен тук, тъй като той съответства на окончателния акт, Решение </w:t>
      </w:r>
      <w:r w:rsidRPr="0081404C">
        <w:rPr>
          <w:b w:val="0"/>
          <w:i/>
          <w:szCs w:val="24"/>
          <w:lang w:val="lt-LT" w:eastAsia="de-DE"/>
        </w:rPr>
        <w:t>(</w:t>
      </w:r>
      <w:r w:rsidRPr="0081404C">
        <w:rPr>
          <w:b w:val="0"/>
          <w:i/>
          <w:szCs w:val="24"/>
          <w:lang w:eastAsia="de-DE"/>
        </w:rPr>
        <w:t>ЕС</w:t>
      </w:r>
      <w:r w:rsidRPr="0081404C">
        <w:rPr>
          <w:b w:val="0"/>
          <w:i/>
          <w:szCs w:val="24"/>
          <w:lang w:val="lt-LT" w:eastAsia="de-DE"/>
        </w:rPr>
        <w:t xml:space="preserve">) </w:t>
      </w:r>
      <w:r w:rsidRPr="0081404C">
        <w:rPr>
          <w:b w:val="0"/>
          <w:i/>
          <w:iCs/>
          <w:szCs w:val="24"/>
          <w:lang w:val="lt-LT"/>
        </w:rPr>
        <w:t>2025/1018</w:t>
      </w:r>
      <w:r w:rsidRPr="0081404C">
        <w:rPr>
          <w:b w:val="0"/>
          <w:i/>
          <w:szCs w:val="24"/>
          <w:lang w:eastAsia="de-DE"/>
        </w:rPr>
        <w:t>.)</w:t>
      </w:r>
    </w:p>
    <w:sectPr w:rsidR="0081404C" w:rsidRPr="0081404C" w:rsidSect="008064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FA67C" w14:textId="77777777" w:rsidR="00184D31" w:rsidRPr="00806451" w:rsidRDefault="00184D31">
      <w:r w:rsidRPr="00806451">
        <w:separator/>
      </w:r>
    </w:p>
  </w:endnote>
  <w:endnote w:type="continuationSeparator" w:id="0">
    <w:p w14:paraId="0B8C5705" w14:textId="77777777" w:rsidR="00184D31" w:rsidRPr="00806451" w:rsidRDefault="00184D31">
      <w:r w:rsidRPr="008064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D2894" w14:textId="77777777" w:rsidR="00601FA5" w:rsidRPr="00806451" w:rsidRDefault="00601FA5" w:rsidP="006C7603">
    <w:pPr>
      <w:pStyle w:val="EPFooter"/>
    </w:pPr>
    <w:r w:rsidRPr="00806451">
      <w:t>PE</w:t>
    </w:r>
    <w:r w:rsidRPr="00806451">
      <w:rPr>
        <w:rStyle w:val="HideTWBExt"/>
      </w:rPr>
      <w:t>&lt;NoPE&gt;</w:t>
    </w:r>
    <w:r w:rsidRPr="00806451">
      <w:t>771.884</w:t>
    </w:r>
    <w:r w:rsidRPr="00806451">
      <w:rPr>
        <w:rStyle w:val="HideTWBExt"/>
      </w:rPr>
      <w:t>&lt;/NoPE&gt;&lt;Version&gt;</w:t>
    </w:r>
    <w:r w:rsidRPr="00806451">
      <w:t>v03-00</w:t>
    </w:r>
    <w:r w:rsidRPr="00806451">
      <w:rPr>
        <w:rStyle w:val="HideTWBExt"/>
      </w:rPr>
      <w:t>&lt;/Version&gt;</w:t>
    </w:r>
    <w:r w:rsidRPr="00806451">
      <w:tab/>
    </w:r>
    <w:r w:rsidRPr="00806451">
      <w:fldChar w:fldCharType="begin"/>
    </w:r>
    <w:r w:rsidRPr="00806451">
      <w:instrText xml:space="preserve"> PAGE  \* MERGEFORMAT </w:instrText>
    </w:r>
    <w:r w:rsidRPr="00806451">
      <w:fldChar w:fldCharType="separate"/>
    </w:r>
    <w:r w:rsidR="00806451" w:rsidRPr="00806451">
      <w:rPr>
        <w:noProof/>
      </w:rPr>
      <w:t>4</w:t>
    </w:r>
    <w:r w:rsidRPr="00806451">
      <w:fldChar w:fldCharType="end"/>
    </w:r>
    <w:r w:rsidRPr="00806451">
      <w:t>/</w:t>
    </w:r>
    <w:r w:rsidR="0081404C">
      <w:fldChar w:fldCharType="begin"/>
    </w:r>
    <w:r w:rsidR="0081404C">
      <w:instrText xml:space="preserve"> NUMPAGES  \* MERGEFORMAT </w:instrText>
    </w:r>
    <w:r w:rsidR="0081404C">
      <w:fldChar w:fldCharType="separate"/>
    </w:r>
    <w:r w:rsidR="00806451" w:rsidRPr="00806451">
      <w:rPr>
        <w:noProof/>
      </w:rPr>
      <w:t>9</w:t>
    </w:r>
    <w:r w:rsidR="0081404C">
      <w:rPr>
        <w:noProof/>
      </w:rPr>
      <w:fldChar w:fldCharType="end"/>
    </w:r>
    <w:r w:rsidRPr="00806451">
      <w:tab/>
    </w:r>
    <w:r w:rsidRPr="00806451">
      <w:rPr>
        <w:rStyle w:val="HideTWBExt"/>
      </w:rPr>
      <w:t>&lt;PathFdR&gt;</w:t>
    </w:r>
    <w:r w:rsidRPr="00806451">
      <w:t>RR\1320028BG.docx</w:t>
    </w:r>
    <w:r w:rsidRPr="00806451">
      <w:rPr>
        <w:rStyle w:val="HideTWBExt"/>
      </w:rPr>
      <w:t>&lt;/PathFdR&gt;</w:t>
    </w:r>
  </w:p>
  <w:p w14:paraId="4B7AB020" w14:textId="77777777" w:rsidR="00601FA5" w:rsidRPr="00806451" w:rsidRDefault="00601FA5" w:rsidP="006C7603">
    <w:pPr>
      <w:pStyle w:val="EPFooter2"/>
    </w:pPr>
    <w:r w:rsidRPr="00806451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C16A" w14:textId="77777777" w:rsidR="00601FA5" w:rsidRPr="00806451" w:rsidRDefault="00601FA5" w:rsidP="006C7603">
    <w:pPr>
      <w:pStyle w:val="EPFooter"/>
    </w:pPr>
    <w:r w:rsidRPr="00806451">
      <w:rPr>
        <w:rStyle w:val="HideTWBExt"/>
      </w:rPr>
      <w:t>&lt;PathFdR&gt;</w:t>
    </w:r>
    <w:r w:rsidRPr="00806451">
      <w:t>RR\1320028BG.docx</w:t>
    </w:r>
    <w:r w:rsidRPr="00806451">
      <w:rPr>
        <w:rStyle w:val="HideTWBExt"/>
      </w:rPr>
      <w:t>&lt;/PathFdR&gt;</w:t>
    </w:r>
    <w:r w:rsidRPr="00806451">
      <w:tab/>
    </w:r>
    <w:r w:rsidRPr="00806451">
      <w:tab/>
      <w:t>PE</w:t>
    </w:r>
    <w:r w:rsidRPr="00806451">
      <w:rPr>
        <w:rStyle w:val="HideTWBExt"/>
      </w:rPr>
      <w:t>&lt;NoPE&gt;</w:t>
    </w:r>
    <w:r w:rsidRPr="00806451">
      <w:t>771.884</w:t>
    </w:r>
    <w:r w:rsidRPr="00806451">
      <w:rPr>
        <w:rStyle w:val="HideTWBExt"/>
      </w:rPr>
      <w:t>&lt;/NoPE&gt;&lt;Version&gt;</w:t>
    </w:r>
    <w:r w:rsidRPr="00806451">
      <w:t>v03-00</w:t>
    </w:r>
    <w:r w:rsidRPr="00806451">
      <w:rPr>
        <w:rStyle w:val="HideTWBExt"/>
      </w:rPr>
      <w:t>&lt;/Version&gt;</w:t>
    </w:r>
  </w:p>
  <w:p w14:paraId="3E61F2D3" w14:textId="77777777" w:rsidR="00601FA5" w:rsidRPr="00806451" w:rsidRDefault="00601FA5" w:rsidP="006C7603">
    <w:pPr>
      <w:pStyle w:val="EPFooter2"/>
    </w:pPr>
    <w:r w:rsidRPr="00806451">
      <w:t>BG</w:t>
    </w:r>
    <w:r w:rsidRPr="00806451">
      <w:tab/>
    </w:r>
    <w:r w:rsidRPr="00806451">
      <w:rPr>
        <w:b w:val="0"/>
        <w:i/>
        <w:color w:val="C0C0C0"/>
        <w:sz w:val="22"/>
      </w:rPr>
      <w:t>Единство в многообразието</w:t>
    </w:r>
    <w:r w:rsidRPr="00806451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5C675" w14:textId="77777777" w:rsidR="00064002" w:rsidRPr="0080645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CA087" w14:textId="77777777" w:rsidR="00064002" w:rsidRPr="0080645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3D34E" w14:textId="77777777" w:rsidR="00064002" w:rsidRPr="008064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6A7F3" w14:textId="77777777" w:rsidR="00184D31" w:rsidRPr="00806451" w:rsidRDefault="00184D31">
      <w:r w:rsidRPr="00806451">
        <w:separator/>
      </w:r>
    </w:p>
  </w:footnote>
  <w:footnote w:type="continuationSeparator" w:id="0">
    <w:p w14:paraId="52EB170B" w14:textId="77777777" w:rsidR="00184D31" w:rsidRPr="00806451" w:rsidRDefault="00184D31">
      <w:r w:rsidRPr="00806451">
        <w:continuationSeparator/>
      </w:r>
    </w:p>
  </w:footnote>
  <w:footnote w:id="1">
    <w:p w14:paraId="5386155E" w14:textId="77777777" w:rsidR="00601FA5" w:rsidRPr="00806451" w:rsidRDefault="00601FA5" w:rsidP="00806451">
      <w:pPr>
        <w:pStyle w:val="FootnoteText"/>
        <w:ind w:left="567" w:hanging="567"/>
        <w:rPr>
          <w:sz w:val="24"/>
          <w:lang w:val="bg-BG"/>
        </w:rPr>
      </w:pPr>
      <w:r w:rsidRPr="00806451">
        <w:rPr>
          <w:rStyle w:val="FootnoteReference"/>
          <w:sz w:val="24"/>
          <w:lang w:val="bg-BG"/>
        </w:rPr>
        <w:footnoteRef/>
      </w:r>
      <w:r w:rsidR="00806451" w:rsidRPr="00806451">
        <w:rPr>
          <w:sz w:val="24"/>
          <w:lang w:val="bg-BG"/>
        </w:rPr>
        <w:t xml:space="preserve"> </w:t>
      </w:r>
      <w:r w:rsidR="00806451" w:rsidRPr="00806451">
        <w:rPr>
          <w:sz w:val="24"/>
          <w:lang w:val="bg-BG"/>
        </w:rPr>
        <w:tab/>
      </w:r>
      <w:r w:rsidRPr="00806451">
        <w:rPr>
          <w:sz w:val="24"/>
          <w:lang w:val="bg-BG"/>
        </w:rPr>
        <w:t>OВ L 153, 3.5.2021 г., стр. 48, ELI: http://data.europa.eu/eli/reg/2021/691/oj.</w:t>
      </w:r>
    </w:p>
  </w:footnote>
  <w:footnote w:id="2">
    <w:p w14:paraId="59EE98B4" w14:textId="77777777" w:rsidR="00601FA5" w:rsidRPr="00806451" w:rsidRDefault="00601FA5" w:rsidP="00806451">
      <w:pPr>
        <w:pStyle w:val="FootnoteText"/>
        <w:ind w:left="567" w:hanging="567"/>
        <w:rPr>
          <w:sz w:val="24"/>
          <w:lang w:val="bg-BG"/>
        </w:rPr>
      </w:pPr>
      <w:r w:rsidRPr="00806451">
        <w:rPr>
          <w:rStyle w:val="FootnoteReference"/>
          <w:sz w:val="24"/>
          <w:lang w:val="bg-BG"/>
        </w:rPr>
        <w:footnoteRef/>
      </w:r>
      <w:r w:rsidR="00806451" w:rsidRPr="00806451">
        <w:rPr>
          <w:sz w:val="24"/>
          <w:lang w:val="bg-BG"/>
        </w:rPr>
        <w:t xml:space="preserve"> </w:t>
      </w:r>
      <w:r w:rsidR="00806451" w:rsidRPr="00806451">
        <w:rPr>
          <w:sz w:val="24"/>
          <w:lang w:val="bg-BG"/>
        </w:rPr>
        <w:tab/>
      </w:r>
      <w:r w:rsidRPr="00806451">
        <w:rPr>
          <w:sz w:val="24"/>
          <w:lang w:val="bg-BG"/>
        </w:rPr>
        <w:t>OВ L 433 I, 22.12.2020 г., стр. 11, ELI: http://data.europa.eu/eli/reg/2020/2093/oj.</w:t>
      </w:r>
    </w:p>
  </w:footnote>
  <w:footnote w:id="3">
    <w:p w14:paraId="31651E43" w14:textId="6E2B6C44" w:rsidR="00601FA5" w:rsidRPr="00806451" w:rsidRDefault="00601FA5" w:rsidP="00806451">
      <w:pPr>
        <w:pStyle w:val="FootnoteText"/>
        <w:ind w:left="567" w:hanging="567"/>
        <w:rPr>
          <w:sz w:val="24"/>
          <w:lang w:val="bg-BG"/>
        </w:rPr>
      </w:pPr>
      <w:r w:rsidRPr="00806451">
        <w:rPr>
          <w:rStyle w:val="FootnoteReference"/>
          <w:sz w:val="24"/>
          <w:lang w:val="bg-BG"/>
        </w:rPr>
        <w:footnoteRef/>
      </w:r>
      <w:r w:rsidR="00806451" w:rsidRPr="00806451">
        <w:rPr>
          <w:color w:val="333333"/>
          <w:sz w:val="24"/>
          <w:shd w:val="clear" w:color="auto" w:fill="FFFFFF"/>
          <w:lang w:val="bg-BG"/>
        </w:rPr>
        <w:t xml:space="preserve"> </w:t>
      </w:r>
      <w:r w:rsidR="00806451" w:rsidRPr="00806451">
        <w:rPr>
          <w:color w:val="333333"/>
          <w:sz w:val="24"/>
          <w:shd w:val="clear" w:color="auto" w:fill="FFFFFF"/>
          <w:lang w:val="bg-BG"/>
        </w:rPr>
        <w:tab/>
      </w:r>
      <w:r w:rsidRPr="006B0A05">
        <w:rPr>
          <w:sz w:val="24"/>
          <w:lang w:val="bg-BG"/>
        </w:rPr>
        <w:t>Регламент (ЕС, Евратом) 2024/765 на Съвета от 29 февруари 2024 г. за изменение на Регламент (ЕС, Евратом) 2020/2093 за определяне на многогодишната финансова рамка за годините 2021 – 2027</w:t>
      </w:r>
      <w:r w:rsidR="00432E81" w:rsidRPr="006B0A05">
        <w:rPr>
          <w:sz w:val="24"/>
          <w:lang w:val="bg-BG"/>
        </w:rPr>
        <w:t xml:space="preserve"> </w:t>
      </w:r>
      <w:r w:rsidRPr="00806451">
        <w:rPr>
          <w:sz w:val="24"/>
          <w:lang w:val="bg-BG"/>
        </w:rPr>
        <w:t>(</w:t>
      </w:r>
      <w:r w:rsidRPr="00447DCA">
        <w:rPr>
          <w:sz w:val="24"/>
          <w:lang w:val="bg-BG"/>
        </w:rPr>
        <w:t>ОВ L</w:t>
      </w:r>
      <w:r w:rsidR="00047543">
        <w:rPr>
          <w:sz w:val="24"/>
          <w:lang w:val="bg-BG"/>
        </w:rPr>
        <w:t>,</w:t>
      </w:r>
      <w:r w:rsidRPr="00447DCA">
        <w:rPr>
          <w:sz w:val="24"/>
          <w:lang w:val="bg-BG"/>
        </w:rPr>
        <w:t xml:space="preserve"> 2024/765, 29.2.2024 г., </w:t>
      </w:r>
      <w:r w:rsidRPr="006B0A05">
        <w:t>ELI: http://data.europa.eu/eli/reg/2024/765/oj).</w:t>
      </w:r>
    </w:p>
  </w:footnote>
  <w:footnote w:id="4">
    <w:p w14:paraId="0F46C743" w14:textId="77777777" w:rsidR="00601FA5" w:rsidRPr="00806451" w:rsidRDefault="00601FA5" w:rsidP="00806451">
      <w:pPr>
        <w:pStyle w:val="FootnoteText"/>
        <w:ind w:left="567" w:hanging="567"/>
        <w:rPr>
          <w:sz w:val="24"/>
          <w:lang w:val="bg-BG"/>
        </w:rPr>
      </w:pPr>
      <w:r w:rsidRPr="00806451">
        <w:rPr>
          <w:rStyle w:val="FootnoteReference"/>
          <w:sz w:val="24"/>
          <w:lang w:val="bg-BG"/>
        </w:rPr>
        <w:footnoteRef/>
      </w:r>
      <w:r w:rsidR="00806451" w:rsidRPr="00806451">
        <w:rPr>
          <w:sz w:val="24"/>
          <w:lang w:val="bg-BG"/>
        </w:rPr>
        <w:t xml:space="preserve"> </w:t>
      </w:r>
      <w:r w:rsidR="00806451" w:rsidRPr="00806451">
        <w:rPr>
          <w:sz w:val="24"/>
          <w:lang w:val="bg-BG"/>
        </w:rPr>
        <w:tab/>
      </w:r>
      <w:r w:rsidRPr="00806451">
        <w:rPr>
          <w:sz w:val="24"/>
          <w:lang w:val="bg-BG"/>
        </w:rPr>
        <w:t>ОВ L 433 I, 22.12.2020 г., стр. 28, ELI: http://data.europa.eu/eli/agree_interinstit/2020/1222/oj.</w:t>
      </w:r>
    </w:p>
  </w:footnote>
  <w:footnote w:id="5">
    <w:p w14:paraId="2956FD6E" w14:textId="77777777" w:rsidR="00601FA5" w:rsidRPr="00806451" w:rsidRDefault="00601FA5" w:rsidP="00806451">
      <w:pPr>
        <w:pStyle w:val="FootnoteText"/>
        <w:ind w:left="567" w:hanging="567"/>
        <w:rPr>
          <w:sz w:val="24"/>
          <w:lang w:val="bg-BG"/>
        </w:rPr>
      </w:pPr>
      <w:r w:rsidRPr="00806451">
        <w:rPr>
          <w:rStyle w:val="FootnoteReference"/>
          <w:sz w:val="24"/>
          <w:lang w:val="bg-BG"/>
        </w:rPr>
        <w:footnoteRef/>
      </w:r>
      <w:r w:rsidR="00806451" w:rsidRPr="00806451">
        <w:rPr>
          <w:sz w:val="24"/>
          <w:lang w:val="bg-BG"/>
        </w:rPr>
        <w:t xml:space="preserve"> </w:t>
      </w:r>
      <w:r w:rsidR="00806451" w:rsidRPr="00806451">
        <w:rPr>
          <w:sz w:val="24"/>
          <w:lang w:val="bg-BG"/>
        </w:rPr>
        <w:tab/>
      </w:r>
      <w:r w:rsidRPr="00806451">
        <w:rPr>
          <w:sz w:val="24"/>
          <w:lang w:val="bg-BG"/>
        </w:rPr>
        <w:t>По смисъла на член 3 от Регламента за ЕФПГ.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A8B93" w14:textId="77777777" w:rsidR="00064002" w:rsidRPr="008064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798D0" w14:textId="77777777" w:rsidR="00064002" w:rsidRPr="008064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B71B6" w14:textId="77777777" w:rsidR="00064002" w:rsidRPr="008064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0/2025"/>
    <w:docVar w:name="dvlangue" w:val="BG"/>
    <w:docVar w:name="dvnumam" w:val="0"/>
    <w:docVar w:name="dvpe" w:val="771.884"/>
    <w:docVar w:name="dvrapporteur" w:val="Докладчик: "/>
    <w:docVar w:name="dvtitre" w:val="Резолюция на Европейския парламент от ... 2025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– EGF/2024/003 BE/Van Hool(COM(2025)0001 – C10-0056/2025 – 2025/0061(BUD))"/>
  </w:docVars>
  <w:rsids>
    <w:rsidRoot w:val="00184D31"/>
    <w:rsid w:val="00002272"/>
    <w:rsid w:val="00047543"/>
    <w:rsid w:val="00064002"/>
    <w:rsid w:val="000677B9"/>
    <w:rsid w:val="000831BA"/>
    <w:rsid w:val="000A42CC"/>
    <w:rsid w:val="000E7DD9"/>
    <w:rsid w:val="0010095E"/>
    <w:rsid w:val="00125B37"/>
    <w:rsid w:val="00184D3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E81"/>
    <w:rsid w:val="00447DC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FA5"/>
    <w:rsid w:val="006037C0"/>
    <w:rsid w:val="006631B6"/>
    <w:rsid w:val="00680577"/>
    <w:rsid w:val="006B0A05"/>
    <w:rsid w:val="006F74FA"/>
    <w:rsid w:val="00731ADD"/>
    <w:rsid w:val="00734777"/>
    <w:rsid w:val="00747932"/>
    <w:rsid w:val="00751A4A"/>
    <w:rsid w:val="00756632"/>
    <w:rsid w:val="00762C74"/>
    <w:rsid w:val="0078040B"/>
    <w:rsid w:val="00786EC0"/>
    <w:rsid w:val="007D1690"/>
    <w:rsid w:val="007E22AD"/>
    <w:rsid w:val="00806451"/>
    <w:rsid w:val="0081404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3B22E"/>
  <w15:chartTrackingRefBased/>
  <w15:docId w15:val="{AFA49005-5280-415F-9247-FA671EF8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01F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601F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01FA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01F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1FA5"/>
    <w:rPr>
      <w:sz w:val="24"/>
      <w:lang w:val="bg-BG"/>
    </w:rPr>
  </w:style>
  <w:style w:type="paragraph" w:customStyle="1" w:styleId="NormalBold24a">
    <w:name w:val="NormalBold24a"/>
    <w:basedOn w:val="Normal"/>
    <w:rsid w:val="00601FA5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601F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1FA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01FA5"/>
    <w:rPr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601FA5"/>
    <w:rPr>
      <w:i/>
      <w:iCs/>
    </w:rPr>
  </w:style>
  <w:style w:type="paragraph" w:customStyle="1" w:styleId="Institutionquiagit">
    <w:name w:val="Institution qui agit"/>
    <w:basedOn w:val="Normal"/>
    <w:next w:val="Normal"/>
    <w:rsid w:val="00601FA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01FA5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601FA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01FA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01FA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01FA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601FA5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601FA5"/>
    <w:rPr>
      <w:rFonts w:ascii="Arial" w:hAnsi="Arial" w:cs="Arial"/>
      <w:b/>
      <w:sz w:val="24"/>
      <w:lang w:val="bg-BG"/>
    </w:rPr>
  </w:style>
  <w:style w:type="paragraph" w:styleId="BalloonText">
    <w:name w:val="Balloon Text"/>
    <w:basedOn w:val="Normal"/>
    <w:link w:val="BalloonTextChar"/>
    <w:rsid w:val="00447D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47DCA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447D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7D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7DCA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47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7DCA"/>
    <w:rPr>
      <w:b/>
      <w:bCs/>
      <w:lang w:val="bg-BG"/>
    </w:rPr>
  </w:style>
  <w:style w:type="character" w:styleId="FollowedHyperlink">
    <w:name w:val="FollowedHyperlink"/>
    <w:basedOn w:val="DefaultParagraphFont"/>
    <w:rsid w:val="0004754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8140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404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4DC9-0950-4B6A-80F3-C171B8DF3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1528</Words>
  <Characters>8968</Characters>
  <Application>Microsoft Office Word</Application>
  <DocSecurity>0</DocSecurity>
  <Lines>218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2025-06-12T15:35:00Z</dcterms:created>
  <dcterms:modified xsi:type="dcterms:W3CDTF">2025-06-12T15:35:00Z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