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1059" w14:paraId="396BFB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6BB63E" w14:textId="77777777" w:rsidR="00751A4A" w:rsidRPr="00D41059" w:rsidRDefault="00162C1D" w:rsidP="0010095E">
            <w:pPr>
              <w:pStyle w:val="EPName"/>
            </w:pPr>
            <w:r w:rsidRPr="00D41059">
              <w:t>Evropský parlament</w:t>
            </w:r>
          </w:p>
          <w:p w14:paraId="353B4CA1" w14:textId="77777777" w:rsidR="00751A4A" w:rsidRPr="00D410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1059">
              <w:t>2024</w:t>
            </w:r>
            <w:r w:rsidR="00817416" w:rsidRPr="00D41059">
              <w:t>-202</w:t>
            </w:r>
            <w:r w:rsidRPr="00D41059">
              <w:t>9</w:t>
            </w:r>
          </w:p>
        </w:tc>
        <w:tc>
          <w:tcPr>
            <w:tcW w:w="2268" w:type="dxa"/>
            <w:shd w:val="clear" w:color="auto" w:fill="auto"/>
          </w:tcPr>
          <w:p w14:paraId="3EF789BD" w14:textId="77777777" w:rsidR="00751A4A" w:rsidRPr="00D41059" w:rsidRDefault="00187494" w:rsidP="0010095E">
            <w:pPr>
              <w:pStyle w:val="EPLogo"/>
            </w:pPr>
            <w:r w:rsidRPr="00D41059">
              <w:rPr>
                <w:noProof/>
                <w:lang w:val="en-GB"/>
              </w:rPr>
              <w:drawing>
                <wp:inline distT="0" distB="0" distL="0" distR="0" wp14:anchorId="2A2A2A37" wp14:editId="2EA23B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AC1B31" w14:textId="77777777" w:rsidR="00D058B8" w:rsidRPr="00D41059" w:rsidRDefault="00D058B8" w:rsidP="004C5D52">
      <w:pPr>
        <w:pStyle w:val="LineTop"/>
      </w:pPr>
    </w:p>
    <w:p w14:paraId="2B9C292D" w14:textId="77777777" w:rsidR="00680577" w:rsidRPr="00D41059" w:rsidRDefault="00162C1D" w:rsidP="00680577">
      <w:pPr>
        <w:pStyle w:val="EPBodyTA1"/>
      </w:pPr>
      <w:r w:rsidRPr="00D41059">
        <w:t>PŘIJATÉ TEXTY</w:t>
      </w:r>
    </w:p>
    <w:p w14:paraId="20E47F49" w14:textId="77777777" w:rsidR="00D058B8" w:rsidRPr="00D41059" w:rsidRDefault="00D058B8" w:rsidP="00D058B8">
      <w:pPr>
        <w:pStyle w:val="LineBottom"/>
      </w:pPr>
    </w:p>
    <w:p w14:paraId="78F3E87C" w14:textId="6D4C7488" w:rsidR="00162C1D" w:rsidRPr="00D41059" w:rsidRDefault="00162C1D" w:rsidP="00162C1D">
      <w:pPr>
        <w:pStyle w:val="ATHeading1"/>
      </w:pPr>
      <w:bookmarkStart w:id="0" w:name="TANumber"/>
      <w:r w:rsidRPr="00D41059">
        <w:t>P10_</w:t>
      </w:r>
      <w:proofErr w:type="gramStart"/>
      <w:r w:rsidRPr="00D41059">
        <w:t>TA(</w:t>
      </w:r>
      <w:proofErr w:type="gramEnd"/>
      <w:r w:rsidRPr="00D41059">
        <w:t>2025)00</w:t>
      </w:r>
      <w:r w:rsidR="002067AC">
        <w:t>74</w:t>
      </w:r>
      <w:bookmarkEnd w:id="0"/>
    </w:p>
    <w:p w14:paraId="402ADC80" w14:textId="77777777" w:rsidR="00162C1D" w:rsidRPr="00D41059" w:rsidRDefault="00162C1D" w:rsidP="00162C1D">
      <w:pPr>
        <w:pStyle w:val="ATHeading2"/>
      </w:pPr>
      <w:bookmarkStart w:id="1" w:name="title"/>
      <w:r w:rsidRPr="00D41059">
        <w:t xml:space="preserve">Uvolnění prostředků z Evropského fondu pro přizpůsobení se globalizaci na pomoc propuštěným pracovníkům: žádost EGF/2024/003 BE/Van </w:t>
      </w:r>
      <w:proofErr w:type="spellStart"/>
      <w:r w:rsidRPr="00D41059">
        <w:t>Hool</w:t>
      </w:r>
      <w:proofErr w:type="spellEnd"/>
      <w:r w:rsidRPr="00D41059">
        <w:t xml:space="preserve"> – Belgie</w:t>
      </w:r>
      <w:bookmarkEnd w:id="1"/>
    </w:p>
    <w:p w14:paraId="4759F34A" w14:textId="77777777" w:rsidR="00162C1D" w:rsidRPr="00D41059" w:rsidRDefault="00162C1D" w:rsidP="00162C1D">
      <w:pPr>
        <w:rPr>
          <w:i/>
          <w:vanish/>
        </w:rPr>
      </w:pPr>
      <w:r w:rsidRPr="00D41059">
        <w:rPr>
          <w:i/>
        </w:rPr>
        <w:fldChar w:fldCharType="begin"/>
      </w:r>
      <w:r w:rsidRPr="00D41059">
        <w:rPr>
          <w:i/>
        </w:rPr>
        <w:instrText xml:space="preserve"> TC"(</w:instrText>
      </w:r>
      <w:bookmarkStart w:id="2" w:name="DocNumber"/>
      <w:r w:rsidRPr="00D41059">
        <w:rPr>
          <w:i/>
        </w:rPr>
        <w:instrText>A10-0080/2025</w:instrText>
      </w:r>
      <w:bookmarkEnd w:id="2"/>
      <w:r w:rsidRPr="00D41059">
        <w:rPr>
          <w:i/>
        </w:rPr>
        <w:instrText xml:space="preserve"> - Zpravodaj: Janusz </w:instrText>
      </w:r>
      <w:proofErr w:type="spellStart"/>
      <w:r w:rsidRPr="00D41059">
        <w:rPr>
          <w:i/>
        </w:rPr>
        <w:instrText>Lewandowski</w:instrText>
      </w:r>
      <w:proofErr w:type="spellEnd"/>
      <w:r w:rsidRPr="00D41059">
        <w:rPr>
          <w:i/>
        </w:rPr>
        <w:instrText xml:space="preserve">)"\l3 \n&gt; \* MERGEFORMAT </w:instrText>
      </w:r>
      <w:r w:rsidRPr="00D41059">
        <w:rPr>
          <w:i/>
        </w:rPr>
        <w:fldChar w:fldCharType="end"/>
      </w:r>
    </w:p>
    <w:p w14:paraId="60D74116" w14:textId="77777777" w:rsidR="00162C1D" w:rsidRPr="00D41059" w:rsidRDefault="00162C1D" w:rsidP="00162C1D">
      <w:pPr>
        <w:rPr>
          <w:vanish/>
        </w:rPr>
      </w:pPr>
      <w:bookmarkStart w:id="3" w:name="Commission"/>
      <w:r w:rsidRPr="00D41059">
        <w:rPr>
          <w:vanish/>
        </w:rPr>
        <w:t>Rozpočtový výbor</w:t>
      </w:r>
      <w:bookmarkEnd w:id="3"/>
    </w:p>
    <w:p w14:paraId="3CE8D5B7" w14:textId="77777777" w:rsidR="00162C1D" w:rsidRPr="00D41059" w:rsidRDefault="00162C1D" w:rsidP="00162C1D">
      <w:pPr>
        <w:rPr>
          <w:vanish/>
        </w:rPr>
      </w:pPr>
      <w:bookmarkStart w:id="4" w:name="PE"/>
      <w:r w:rsidRPr="00D41059">
        <w:rPr>
          <w:vanish/>
        </w:rPr>
        <w:t>PE771.884</w:t>
      </w:r>
      <w:bookmarkEnd w:id="4"/>
    </w:p>
    <w:p w14:paraId="4B5B9676" w14:textId="77777777" w:rsidR="00162C1D" w:rsidRPr="00D41059" w:rsidRDefault="00162C1D" w:rsidP="00162C1D">
      <w:pPr>
        <w:pStyle w:val="ATHeading3"/>
      </w:pPr>
      <w:bookmarkStart w:id="5" w:name="Sujet"/>
      <w:r w:rsidRPr="00D41059">
        <w:t xml:space="preserve">Usnesení Evropského parlamentu ze dne 6. května 2025 o návrhu rozhodnutí Evropského parlamentu a Rady o uvolnění prostředků z Evropského fondu pro přizpůsobení se globalizaci na pomoc propuštěným pracovníkům na základě žádosti Belgie – EGF/2024/003 BE/Van </w:t>
      </w:r>
      <w:proofErr w:type="spellStart"/>
      <w:r w:rsidRPr="00D41059">
        <w:t>Hool</w:t>
      </w:r>
      <w:bookmarkEnd w:id="5"/>
      <w:proofErr w:type="spellEnd"/>
      <w:r w:rsidRPr="00D41059">
        <w:t xml:space="preserve"> </w:t>
      </w:r>
      <w:bookmarkStart w:id="6" w:name="References"/>
      <w:r w:rsidRPr="00D41059">
        <w:t>(</w:t>
      </w:r>
      <w:proofErr w:type="gramStart"/>
      <w:r w:rsidRPr="00D41059">
        <w:t>COM(</w:t>
      </w:r>
      <w:proofErr w:type="gramEnd"/>
      <w:r w:rsidRPr="00D41059">
        <w:t>2025)0001 – C10-0056/2025 – 2025/0061(BUD))</w:t>
      </w:r>
      <w:bookmarkEnd w:id="6"/>
    </w:p>
    <w:p w14:paraId="13A80390" w14:textId="77777777" w:rsidR="00C53EB3" w:rsidRPr="00D41059" w:rsidRDefault="00C53EB3" w:rsidP="00C53EB3">
      <w:pPr>
        <w:pStyle w:val="EPComma"/>
        <w:rPr>
          <w:noProof/>
        </w:rPr>
      </w:pPr>
      <w:r w:rsidRPr="00D41059">
        <w:rPr>
          <w:i/>
        </w:rPr>
        <w:t>Evropský parlament</w:t>
      </w:r>
      <w:r w:rsidRPr="00D41059">
        <w:t>,</w:t>
      </w:r>
    </w:p>
    <w:p w14:paraId="2F9D64DC" w14:textId="77777777" w:rsidR="00C53EB3" w:rsidRPr="00D41059" w:rsidRDefault="00C53EB3" w:rsidP="00FF1A5C">
      <w:pPr>
        <w:pStyle w:val="NormalHanging12a"/>
        <w:rPr>
          <w:noProof/>
        </w:rPr>
      </w:pPr>
      <w:r w:rsidRPr="00D41059">
        <w:t>–</w:t>
      </w:r>
      <w:r w:rsidRPr="00D41059">
        <w:tab/>
        <w:t>s ohledem na návrh Komise předložený Evropskému parlamentu a Radě (</w:t>
      </w:r>
      <w:proofErr w:type="gramStart"/>
      <w:r w:rsidRPr="00D41059">
        <w:t>COM(</w:t>
      </w:r>
      <w:proofErr w:type="gramEnd"/>
      <w:r w:rsidRPr="00D41059">
        <w:t>2025)0001 – C10</w:t>
      </w:r>
      <w:r w:rsidRPr="00D41059">
        <w:noBreakHyphen/>
        <w:t>0056/2025),</w:t>
      </w:r>
    </w:p>
    <w:p w14:paraId="44331294" w14:textId="77777777" w:rsidR="00C53EB3" w:rsidRPr="00D41059" w:rsidRDefault="00C53EB3" w:rsidP="00FF1A5C">
      <w:pPr>
        <w:pStyle w:val="NormalHanging12a"/>
        <w:rPr>
          <w:noProof/>
        </w:rPr>
      </w:pPr>
      <w:r w:rsidRPr="00D41059">
        <w:t>–</w:t>
      </w:r>
      <w:r w:rsidRPr="00D41059">
        <w:tab/>
        <w:t>s ohledem na nařízení Evropského parlamentu a Rady (EU) 2021/691 ze dne 28. dubna 2021 o Evropském fondu pro přizpůsobení se globalizaci na pomoc propuštěným pracovníkům (EFG) a o zrušení nařízení (EU) č. 1309/2013</w:t>
      </w:r>
      <w:r w:rsidRPr="00D41059">
        <w:rPr>
          <w:rStyle w:val="FootnoteReference"/>
          <w:noProof/>
        </w:rPr>
        <w:footnoteReference w:id="1"/>
      </w:r>
      <w:r w:rsidRPr="00D41059">
        <w:t xml:space="preserve"> („nařízení o EFG“),</w:t>
      </w:r>
    </w:p>
    <w:p w14:paraId="765C9C9E" w14:textId="77777777" w:rsidR="00C53EB3" w:rsidRPr="00D41059" w:rsidRDefault="00C53EB3" w:rsidP="00FF1A5C">
      <w:pPr>
        <w:pStyle w:val="NormalHanging12a"/>
        <w:rPr>
          <w:noProof/>
        </w:rPr>
      </w:pPr>
      <w:r w:rsidRPr="00D41059">
        <w:t>–</w:t>
      </w:r>
      <w:r w:rsidRPr="00D41059">
        <w:tab/>
        <w:t>s ohledem na nařízení Rady (EU, Euratom) 2020/2093 ze dne 17. prosince 2020, kterým se stanoví víceletý finanční rámec na období 2021–2027</w:t>
      </w:r>
      <w:r w:rsidRPr="00D41059">
        <w:rPr>
          <w:rStyle w:val="FootnoteReference"/>
          <w:noProof/>
        </w:rPr>
        <w:footnoteReference w:id="2"/>
      </w:r>
      <w:r w:rsidRPr="00D41059">
        <w:t>, ve znění nařízení (EU, Euratom) 2024/765</w:t>
      </w:r>
      <w:r w:rsidRPr="00D41059">
        <w:rPr>
          <w:rStyle w:val="FootnoteReference"/>
          <w:bdr w:val="none" w:sz="0" w:space="0" w:color="auto" w:frame="1"/>
        </w:rPr>
        <w:footnoteReference w:id="3"/>
      </w:r>
      <w:r w:rsidRPr="00D41059">
        <w:t>, a zejména na článek 8 tohoto nařízení,</w:t>
      </w:r>
    </w:p>
    <w:p w14:paraId="59F145F8" w14:textId="22058B75" w:rsidR="00C53EB3" w:rsidRPr="00D41059" w:rsidRDefault="00C53EB3" w:rsidP="00FF1A5C">
      <w:pPr>
        <w:pStyle w:val="NormalHanging12a"/>
        <w:rPr>
          <w:noProof/>
        </w:rPr>
      </w:pPr>
      <w:r w:rsidRPr="00D41059">
        <w:t>–</w:t>
      </w:r>
      <w:r w:rsidRPr="00D41059">
        <w:tab/>
        <w:t>s ohledem na interinstitucionální dohodu ze dne 16. 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D41059">
        <w:rPr>
          <w:rStyle w:val="FootnoteReference"/>
          <w:noProof/>
        </w:rPr>
        <w:footnoteReference w:id="4"/>
      </w:r>
      <w:r w:rsidRPr="00D41059">
        <w:t>, a zejména na bod 9 této dohody,</w:t>
      </w:r>
    </w:p>
    <w:p w14:paraId="18161C94" w14:textId="77777777" w:rsidR="00C53EB3" w:rsidRPr="00D41059" w:rsidRDefault="00C53EB3">
      <w:pPr>
        <w:pStyle w:val="NormalHanging12a"/>
        <w:rPr>
          <w:noProof/>
        </w:rPr>
      </w:pPr>
      <w:r w:rsidRPr="00D41059">
        <w:lastRenderedPageBreak/>
        <w:t>–</w:t>
      </w:r>
      <w:r w:rsidRPr="00D41059">
        <w:tab/>
        <w:t>s ohledem na dopis Výboru pro zaměstnanost a sociální věci,</w:t>
      </w:r>
    </w:p>
    <w:p w14:paraId="2353194F" w14:textId="77777777" w:rsidR="00C53EB3" w:rsidRPr="00D41059" w:rsidRDefault="00C53EB3">
      <w:pPr>
        <w:pStyle w:val="NormalHanging12a"/>
      </w:pPr>
      <w:r w:rsidRPr="00D41059">
        <w:t>–</w:t>
      </w:r>
      <w:r w:rsidRPr="00D41059">
        <w:tab/>
        <w:t>s ohledem na zprávu Rozpočtového výboru (A10</w:t>
      </w:r>
      <w:r w:rsidRPr="00D41059">
        <w:noBreakHyphen/>
        <w:t xml:space="preserve">0080/2025), </w:t>
      </w:r>
    </w:p>
    <w:p w14:paraId="45FEA060" w14:textId="77777777" w:rsidR="00C53EB3" w:rsidRPr="00D41059" w:rsidRDefault="00C53EB3">
      <w:pPr>
        <w:pStyle w:val="NormalHanging12a"/>
        <w:rPr>
          <w:noProof/>
        </w:rPr>
      </w:pPr>
      <w:r w:rsidRPr="00D41059">
        <w:t>A.</w:t>
      </w:r>
      <w:r w:rsidRPr="00D41059">
        <w:tab/>
        <w:t>vzhledem k tomu, že Unie vytvořila legislativní a rozpočtové nástroje, aby mohla poskytovat dodatečnou podporu pracovníkům, kteří jsou postiženi důsledky významných změn ve struktuře světového obchodu nebo důsledky celosvětové finanční a hospodářské krize, a pomáhat jim při opětovném začlenění na trh práce; vzhledem k tomu, že tato pomoc je poskytována v podobě finanční podpory pracovníkům a podnikům, pro které pracovali;</w:t>
      </w:r>
    </w:p>
    <w:p w14:paraId="545B50F3" w14:textId="18B70976" w:rsidR="00C53EB3" w:rsidRPr="00D41059" w:rsidRDefault="00D41059">
      <w:pPr>
        <w:pStyle w:val="NormalHanging12a"/>
      </w:pPr>
      <w:r>
        <w:t>B.</w:t>
      </w:r>
      <w:r w:rsidR="00C53EB3" w:rsidRPr="00D41059">
        <w:tab/>
        <w:t xml:space="preserve">vzhledem k tomu, že Belgie předložila žádost EGF/2024/003 BE/Van </w:t>
      </w:r>
      <w:proofErr w:type="spellStart"/>
      <w:r w:rsidR="00C53EB3" w:rsidRPr="00D41059">
        <w:t>Hool</w:t>
      </w:r>
      <w:proofErr w:type="spellEnd"/>
      <w:r w:rsidR="00C53EB3" w:rsidRPr="00D41059">
        <w:t xml:space="preserve"> o finanční příspěvek z Evropského fondu pro přizpůsobení se globalizaci (EFG) v souvislosti s propuštěním 2 411 pracovníků</w:t>
      </w:r>
      <w:r w:rsidR="00C53EB3" w:rsidRPr="00D41059">
        <w:rPr>
          <w:rStyle w:val="FootnoteReference"/>
        </w:rPr>
        <w:footnoteReference w:id="5"/>
      </w:r>
      <w:r w:rsidR="00C53EB3" w:rsidRPr="00D41059">
        <w:t xml:space="preserve"> v hospodářském odvětví, které je v rámci klasifikace NACE Revize 2 řazeno do oddílu 29 (Výroba motorových vozidel (kromě motocyklů), přívěsů a návěsů), v regionu NUTS 2 v Provincii Antverpy (BE21) v rámci čtyřměsíčního referenčního období pro podání žádosti, které trvalo od 8. dubna 2024 do 8. srpna 2024; </w:t>
      </w:r>
    </w:p>
    <w:p w14:paraId="4E3D5E75" w14:textId="77777777" w:rsidR="00C53EB3" w:rsidRPr="00D41059" w:rsidRDefault="00D41059">
      <w:pPr>
        <w:pStyle w:val="NormalHanging12a"/>
      </w:pPr>
      <w:r>
        <w:t>C.</w:t>
      </w:r>
      <w:r w:rsidR="00C53EB3" w:rsidRPr="00D41059">
        <w:tab/>
        <w:t xml:space="preserve">vzhledem k tomu, že žádost se týká 2 411 propuštěných pracovníků podniku </w:t>
      </w:r>
      <w:r w:rsidR="00C53EB3" w:rsidRPr="00D41059">
        <w:rPr>
          <w:color w:val="000000"/>
        </w:rPr>
        <w:t xml:space="preserve">Van </w:t>
      </w:r>
      <w:proofErr w:type="spellStart"/>
      <w:r w:rsidR="00C53EB3" w:rsidRPr="00D41059">
        <w:rPr>
          <w:color w:val="000000"/>
        </w:rPr>
        <w:t>Hool</w:t>
      </w:r>
      <w:proofErr w:type="spellEnd"/>
      <w:r w:rsidR="00C53EB3" w:rsidRPr="00D41059">
        <w:t>;</w:t>
      </w:r>
    </w:p>
    <w:p w14:paraId="235D82BA" w14:textId="77777777" w:rsidR="00C53EB3" w:rsidRPr="00D41059" w:rsidRDefault="00D41059">
      <w:pPr>
        <w:pStyle w:val="NormalHanging12a"/>
      </w:pPr>
      <w:r>
        <w:t>D.</w:t>
      </w:r>
      <w:r w:rsidR="00C53EB3" w:rsidRPr="00D41059">
        <w:tab/>
        <w:t>vzhledem k tomu, že žádost je založena na kritériích pro pomoc stanovených v čl. 4 odst. 2 písm. a) nařízení o EFG, podle kterých se má jednat o takové ukončení činnosti, které se týká nejméně 200 propuštěných pracovníků nebo osob samostatně výdělečně činných během referenčního období v délce čtyř měsíců v jednom podniku v členském státě, včetně případů, kdy se toto ukončení činnosti týká jeho dodavatelů nebo výrobců, kteří jsou jeho odběrateli;</w:t>
      </w:r>
    </w:p>
    <w:p w14:paraId="556CD357" w14:textId="7E4D3B21" w:rsidR="00C53EB3" w:rsidRPr="00D41059" w:rsidRDefault="00D41059">
      <w:pPr>
        <w:pStyle w:val="NormalHanging12a"/>
      </w:pPr>
      <w:r>
        <w:t>E.</w:t>
      </w:r>
      <w:r w:rsidR="00C53EB3" w:rsidRPr="00D41059">
        <w:tab/>
        <w:t xml:space="preserve">vzhledem k tomu, že pandemie </w:t>
      </w:r>
      <w:r w:rsidR="00973DE8">
        <w:t xml:space="preserve">onemocnění </w:t>
      </w:r>
      <w:r w:rsidR="00C53EB3" w:rsidRPr="00D41059">
        <w:t>COVID-19 měla dopad na poptávku po autokarech a ruská útočná válka proti Ukrajině měla dopad na strukturu nákladů;</w:t>
      </w:r>
    </w:p>
    <w:p w14:paraId="4AF48C2B" w14:textId="77777777" w:rsidR="00C53EB3" w:rsidRPr="00D41059" w:rsidRDefault="00D41059">
      <w:pPr>
        <w:pStyle w:val="NormalHanging12a"/>
      </w:pPr>
      <w:r>
        <w:t>F.</w:t>
      </w:r>
      <w:r w:rsidR="00C53EB3" w:rsidRPr="00D41059">
        <w:tab/>
        <w:t>vzhledem k tomu, že evropský automobilový a dodavatelský průmysl čelí nebývalému tlaku v důsledku vnějších i vnitřních problémů, např. narušení hospodářské soutěže, zejména v odvětví elektromobilů kvůli nespravedlivým dotacím ze strany Číny, a vysokým nákladům na energie způsobeným významnou restrukturalizací;</w:t>
      </w:r>
    </w:p>
    <w:p w14:paraId="22B2261D" w14:textId="77777777" w:rsidR="00C53EB3" w:rsidRPr="00D41059" w:rsidRDefault="00C53EB3">
      <w:pPr>
        <w:pStyle w:val="NormalHanging12a"/>
      </w:pPr>
      <w:r w:rsidRPr="00D41059">
        <w:t>G.</w:t>
      </w:r>
      <w:r w:rsidRPr="00D41059">
        <w:rPr>
          <w:color w:val="7030A0"/>
        </w:rPr>
        <w:tab/>
      </w:r>
      <w:r w:rsidRPr="00D41059">
        <w:t xml:space="preserve">vzhledem k tomu, že podnik Van </w:t>
      </w:r>
      <w:proofErr w:type="spellStart"/>
      <w:r w:rsidRPr="00D41059">
        <w:t>Hool</w:t>
      </w:r>
      <w:proofErr w:type="spellEnd"/>
      <w:r w:rsidRPr="00D41059">
        <w:t xml:space="preserve"> se specializoval na výrobu autobusů, autokarů, trolejbusů a přívěsů; vzhledem k tomu, že klesající poptávka po autokarech v důsledku dopadu pandemie vedla k poklesu průměrného prodeje podniku Van </w:t>
      </w:r>
      <w:proofErr w:type="spellStart"/>
      <w:r w:rsidRPr="00D41059">
        <w:t>Hool</w:t>
      </w:r>
      <w:proofErr w:type="spellEnd"/>
      <w:r w:rsidRPr="00D41059">
        <w:t xml:space="preserve"> v Evropě a k prudkému poklesu ziskovosti; vzhledem k tomu, že tlak na marže podniku se dále zvyšoval kvůli rostoucí inflaci a narušení dodavatelských řetězců; </w:t>
      </w:r>
    </w:p>
    <w:p w14:paraId="276CEDDE" w14:textId="77777777" w:rsidR="00C53EB3" w:rsidRPr="00D41059" w:rsidRDefault="00C53EB3">
      <w:pPr>
        <w:pStyle w:val="NormalHanging12a"/>
      </w:pPr>
      <w:r w:rsidRPr="00D41059">
        <w:t>H.</w:t>
      </w:r>
      <w:r w:rsidRPr="00D41059">
        <w:tab/>
        <w:t>vzhledem k tomu, že podnik v souladu s belgickými právními předpisy dodržoval povinný postup informování zástupců zaměstnanců a konzultací s nimi; vzhledem k tomu, že požadavek na zřízení oddělení zaměstnanosti, jehož účelem je poskytnout pracovníkům propuštěným v souvislosti s hromadným propouštěním služby související s přeřazením do jiného zaměstnání (</w:t>
      </w:r>
      <w:proofErr w:type="spellStart"/>
      <w:r w:rsidRPr="00D41059">
        <w:t>outplacement</w:t>
      </w:r>
      <w:proofErr w:type="spellEnd"/>
      <w:r w:rsidRPr="00D41059">
        <w:t xml:space="preserve">), se v případě úpadku nepoužije; </w:t>
      </w:r>
    </w:p>
    <w:p w14:paraId="18EE347E" w14:textId="77777777" w:rsidR="00C53EB3" w:rsidRPr="00D41059" w:rsidRDefault="00C53EB3">
      <w:pPr>
        <w:pStyle w:val="NormalHanging12a"/>
      </w:pPr>
      <w:r w:rsidRPr="00D41059">
        <w:t>I.</w:t>
      </w:r>
      <w:r w:rsidRPr="00D41059">
        <w:tab/>
        <w:t xml:space="preserve">vzhledem k tomu, že finanční příspěvky z EFG by měly primárně směřovat na aktivní opatření politiky trhu práce a individualizované služby, jejichž cílem je rychle začlenit příjemce pomoci do důstojného a udržitelného zaměstnání v původním nebo jiném </w:t>
      </w:r>
      <w:r w:rsidRPr="00D41059">
        <w:lastRenderedPageBreak/>
        <w:t>odvětví činnosti a zároveň je připravit na ekologičtější a více digitalizované evropské hospodářství;</w:t>
      </w:r>
    </w:p>
    <w:p w14:paraId="05608D42" w14:textId="77777777" w:rsidR="00C53EB3" w:rsidRPr="00D41059" w:rsidRDefault="00C53EB3" w:rsidP="00F23A65">
      <w:pPr>
        <w:pStyle w:val="NormalHanging12a"/>
      </w:pPr>
      <w:r w:rsidRPr="00D41059">
        <w:t>J.</w:t>
      </w:r>
      <w:r w:rsidRPr="00D41059">
        <w:tab/>
        <w:t>vzhledem k tomu, že Vlámský úřad práce a odborné přípravy (VDAB) zajišťuje vnitrostátní předběžné financování a spolufinancování opatření;</w:t>
      </w:r>
    </w:p>
    <w:p w14:paraId="6417DB64" w14:textId="77777777" w:rsidR="00C53EB3" w:rsidRPr="00D41059" w:rsidRDefault="00C53EB3" w:rsidP="00FF1A5C">
      <w:pPr>
        <w:widowControl/>
        <w:spacing w:after="240"/>
        <w:ind w:left="567" w:hanging="567"/>
        <w:rPr>
          <w:szCs w:val="24"/>
        </w:rPr>
      </w:pPr>
      <w:r w:rsidRPr="00D41059">
        <w:t>K.</w:t>
      </w:r>
      <w:r w:rsidRPr="00D41059">
        <w:rPr>
          <w:color w:val="7030A0"/>
        </w:rPr>
        <w:tab/>
      </w:r>
      <w:r w:rsidRPr="00D41059">
        <w:t xml:space="preserve">vzhledem k tomu, že EFG </w:t>
      </w:r>
      <w:proofErr w:type="gramStart"/>
      <w:r w:rsidRPr="00D41059">
        <w:t>nepřekročí</w:t>
      </w:r>
      <w:proofErr w:type="gramEnd"/>
      <w:r w:rsidRPr="00D41059">
        <w:t xml:space="preserve"> maximální roční částku 30 milionů EUR (v cenách roku 2018), jak je stanoveno v článku 8 nařízení Rady (EU, Euratom) 2020/2093 ve znění nařízení (EU, Euratom) 2024/765; vzhledem k tomu, že v souladu se zásadou řádného finančního řízení by nevyčerpané příspěvky měly být vráceny Komisi.</w:t>
      </w:r>
    </w:p>
    <w:p w14:paraId="024870EF" w14:textId="77777777" w:rsidR="00C53EB3" w:rsidRPr="00D41059" w:rsidRDefault="00C53EB3">
      <w:pPr>
        <w:pStyle w:val="NormalHanging12a"/>
      </w:pPr>
      <w:r w:rsidRPr="00D41059">
        <w:t>1.</w:t>
      </w:r>
      <w:r w:rsidRPr="00D41059">
        <w:tab/>
        <w:t>souhlasí s Komisí, že podmínky stanovené v čl. 4 odst. 2 písm. a) nařízení o EFG byly splněny, a Belgie má proto podle uvedeného nařízení nárok na finanční příspěvek ve výši 7 999 015 EUR, což představuje 85 % celkových nákladů, které činí 9 410 607 EUR a zahrnují výdaje na individualizované služby ve výši 9 034 607 EUR a výdaje na přípravné, řídící, informační, propagační, kontrolní a vykazovací činnosti ve výši 376 000 EUR;</w:t>
      </w:r>
    </w:p>
    <w:p w14:paraId="30213FFD" w14:textId="77777777" w:rsidR="00C53EB3" w:rsidRPr="00D41059" w:rsidRDefault="00C53EB3">
      <w:pPr>
        <w:pStyle w:val="NormalHanging12a"/>
      </w:pPr>
      <w:r w:rsidRPr="00D41059">
        <w:t xml:space="preserve">2. </w:t>
      </w:r>
      <w:r w:rsidRPr="00D41059">
        <w:tab/>
        <w:t xml:space="preserve">konstatuje, že belgické orgány podaly žádost dne 29. října 2024 a že poté, co Belgie poskytla dodatečné informace, dokončila Komise dne 26. března 2025 posouzení a tentýž den o tom informovala Parlament; </w:t>
      </w:r>
    </w:p>
    <w:p w14:paraId="06A0AB7A" w14:textId="77777777" w:rsidR="00C53EB3" w:rsidRPr="00D41059" w:rsidRDefault="00C53EB3">
      <w:pPr>
        <w:pStyle w:val="NormalHanging12a"/>
      </w:pPr>
      <w:r w:rsidRPr="00D41059">
        <w:t>3.</w:t>
      </w:r>
      <w:r w:rsidRPr="00D41059">
        <w:tab/>
        <w:t xml:space="preserve">konstatuje, že žádost se týká 2 411 propuštěných pracovníků podniku Van </w:t>
      </w:r>
      <w:proofErr w:type="spellStart"/>
      <w:r w:rsidRPr="00D41059">
        <w:t>Hool</w:t>
      </w:r>
      <w:proofErr w:type="spellEnd"/>
      <w:r w:rsidRPr="00D41059">
        <w:t>; dále poznamenává, že cílovými příjemci bude celkem 2 397 pracovníků;</w:t>
      </w:r>
    </w:p>
    <w:p w14:paraId="5CDF1447" w14:textId="77777777" w:rsidR="00C53EB3" w:rsidRPr="00D41059" w:rsidRDefault="00C53EB3">
      <w:pPr>
        <w:pStyle w:val="NormalHanging12a"/>
      </w:pPr>
      <w:r w:rsidRPr="00D41059">
        <w:t>4.</w:t>
      </w:r>
      <w:r w:rsidRPr="00D41059">
        <w:tab/>
        <w:t xml:space="preserve">zdůrazňuje, že podle Federace belgických podniků (VBO) zažívá průmyslové odvětví v Belgii v současné době pokles; průmyslové odvětví má ve městě </w:t>
      </w:r>
      <w:proofErr w:type="spellStart"/>
      <w:r w:rsidRPr="00D41059">
        <w:t>Lier</w:t>
      </w:r>
      <w:proofErr w:type="spellEnd"/>
      <w:r w:rsidRPr="00D41059">
        <w:t xml:space="preserve"> tradičně důležitou úlohu, a proto pokles průmyslových aktivit významně dopadá na trh práce tohoto města; upozorňuje, že počet pracovních míst v průmyslu dostupných ve městě </w:t>
      </w:r>
      <w:proofErr w:type="spellStart"/>
      <w:r w:rsidRPr="00D41059">
        <w:t>Lier</w:t>
      </w:r>
      <w:proofErr w:type="spellEnd"/>
      <w:r w:rsidRPr="00D41059">
        <w:t xml:space="preserve"> se v roce 2023 snížil o 13 %;</w:t>
      </w:r>
    </w:p>
    <w:p w14:paraId="7519C108" w14:textId="77777777" w:rsidR="00C53EB3" w:rsidRPr="00D41059" w:rsidRDefault="00C53EB3">
      <w:pPr>
        <w:pStyle w:val="NormalHanging12a"/>
      </w:pPr>
      <w:r w:rsidRPr="00D41059">
        <w:t>5.</w:t>
      </w:r>
      <w:r w:rsidRPr="00D41059">
        <w:tab/>
        <w:t>poukazuje na profily propuštěných pracovníků, z nichž třetina je ve věku 50 let a více a 80 % má středoškolské nebo nižší vzdělání a zastaralé dovednosti; zdůrazňuje, že s ohledem na klesající trend v oblasti volných pracovních míst a jejich zeměpisné rozložení budou pracovníci potřebovat cílenou pomoc zaměřenou na prohlubování dovedností a rekvalifikaci, aby se zvýšily jejich šance na návrat do práce; domnívá se, že je sociální odpovědností Unie a členských států poskytnout dotčeným pracovníkům možnost k získání nezbytné kvalifikace pro budoucí zaměstnání;</w:t>
      </w:r>
    </w:p>
    <w:p w14:paraId="780F368E" w14:textId="0250C603" w:rsidR="00C53EB3" w:rsidRPr="00D41059" w:rsidRDefault="00C53EB3">
      <w:pPr>
        <w:pStyle w:val="NormalHanging12a"/>
      </w:pPr>
      <w:r w:rsidRPr="00D41059">
        <w:t>6.</w:t>
      </w:r>
      <w:r w:rsidRPr="00D41059">
        <w:tab/>
        <w:t>vítá, že pracovníkům mají být poskytnuty tyto individualizované služby: poradenství v oblasti sociální intervence a registrace pracovníků, přeřazení do jiného zaměstnání (</w:t>
      </w:r>
      <w:proofErr w:type="spellStart"/>
      <w:r w:rsidRPr="00D41059">
        <w:t>outplacement</w:t>
      </w:r>
      <w:proofErr w:type="spellEnd"/>
      <w:r w:rsidRPr="00D41059">
        <w:t xml:space="preserve">), pomoc při hledání zaměstnání a umísťování do zaměstnání, poradenství pro volbu povolání, rekvalifikace a odborné vzdělávání, jakož i odborná příprava na pracovišti; vyzdvihuje zejména služby související s cílenou podporou a vyhodnocením osobní situace, jakož i odbornou přípravou v oblasti </w:t>
      </w:r>
      <w:r w:rsidR="003B1FDE">
        <w:t>informačních a komunikačních technologií</w:t>
      </w:r>
      <w:r w:rsidRPr="00D41059">
        <w:t>, která přispívá k prohlubování dovedností potřebných v digitálním průmyslovém věku;</w:t>
      </w:r>
    </w:p>
    <w:p w14:paraId="7AACE017" w14:textId="77777777" w:rsidR="00C53EB3" w:rsidRPr="00D41059" w:rsidRDefault="00C53EB3">
      <w:pPr>
        <w:pStyle w:val="NormalHanging12a"/>
      </w:pPr>
      <w:r w:rsidRPr="00D41059">
        <w:t>7.</w:t>
      </w:r>
      <w:r w:rsidRPr="00D41059">
        <w:tab/>
        <w:t>konstatuje, že Belgie začala poskytovat individualizované služby cílovým příjemcům dne 22. dubna 2024, a že období způsobilosti pro finanční příspěvek z EFG tudíž trvá od tohoto data do 24 měsíců ode dne vstupu rozhodnutí o financování v platnost;</w:t>
      </w:r>
    </w:p>
    <w:p w14:paraId="551DD1F5" w14:textId="77777777" w:rsidR="00C53EB3" w:rsidRPr="00D41059" w:rsidRDefault="00C53EB3">
      <w:pPr>
        <w:pStyle w:val="NormalHanging12a"/>
        <w:rPr>
          <w:sz w:val="23"/>
          <w:szCs w:val="23"/>
        </w:rPr>
      </w:pPr>
      <w:r w:rsidRPr="00D41059">
        <w:lastRenderedPageBreak/>
        <w:t>8.</w:t>
      </w:r>
      <w:r w:rsidRPr="00D41059">
        <w:tab/>
        <w:t>konstatuje, že Belgii začaly vznikat administrativní výdaje spojené s prováděním EFG dne 14. března 2024, a že tyto výdaje jsou proto způsobilé pro finanční příspěvek z EFG od tohoto data do 31 měsíců ode dne vstupu rozhodnutí o financování v platnost;</w:t>
      </w:r>
    </w:p>
    <w:p w14:paraId="740C8ABA" w14:textId="77777777" w:rsidR="00C53EB3" w:rsidRPr="00D41059" w:rsidRDefault="00C53EB3">
      <w:pPr>
        <w:pStyle w:val="NormalHanging12a"/>
      </w:pPr>
      <w:r w:rsidRPr="00D41059">
        <w:t>9.</w:t>
      </w:r>
      <w:r w:rsidRPr="00D41059">
        <w:tab/>
        <w:t>zdůrazňuje, že belgické orgány potvrdily, že při přístupu k navrhovaným opatřením a jejich provádění budou dodržovány zásady rovného zacházení a nediskriminace a že se zamezí jakémukoli dvojímu financování;</w:t>
      </w:r>
    </w:p>
    <w:p w14:paraId="203302E6" w14:textId="77777777" w:rsidR="00C53EB3" w:rsidRPr="00D41059" w:rsidRDefault="00C53EB3">
      <w:pPr>
        <w:pStyle w:val="NormalHanging12a"/>
      </w:pPr>
      <w:r w:rsidRPr="00D41059">
        <w:t>10.</w:t>
      </w:r>
      <w:r w:rsidRPr="00D41059">
        <w:tab/>
        <w:t>připomíná, že belgické orgány musí zajistit, aby rovnost mezi ženami a muži a začlenění genderového hlediska byly nedílnou součástí prováděcího období a aby byly po celé toto období podporovány;</w:t>
      </w:r>
    </w:p>
    <w:p w14:paraId="6002F8CF" w14:textId="77777777" w:rsidR="00C53EB3" w:rsidRPr="00D41059" w:rsidRDefault="00C53EB3">
      <w:pPr>
        <w:pStyle w:val="NormalHanging12a"/>
      </w:pPr>
      <w:r w:rsidRPr="00D41059">
        <w:t>11.</w:t>
      </w:r>
      <w:r w:rsidRPr="00D41059">
        <w:tab/>
        <w:t>opakuje, že pomoc z EFG nesmí nahrazovat opatření, za něž jsou na základě vnitrostátních právních předpisů nebo kolektivních smluv odpovědné podniky;</w:t>
      </w:r>
    </w:p>
    <w:p w14:paraId="6D10136F" w14:textId="77777777" w:rsidR="00C53EB3" w:rsidRPr="00D41059" w:rsidRDefault="00C53EB3">
      <w:pPr>
        <w:pStyle w:val="NormalHanging12a"/>
      </w:pPr>
      <w:r w:rsidRPr="00D41059">
        <w:t>12.</w:t>
      </w:r>
      <w:r w:rsidRPr="00D41059">
        <w:tab/>
        <w:t>připomíná, že belgické orgány musí uvádět původ finančních prostředků Unie, zajišťovat jejich zviditelnění a upozorňovat na přidanou hodnotu Unie tím, že budou poskytovat ucelené, a účinné informace různým cílovým skupinám, včetně příjemců pomoci, místních a regionálních orgánů, sociálních partnerů, sdělovacích prostředků a veřejnosti;</w:t>
      </w:r>
    </w:p>
    <w:p w14:paraId="1CC67B4B" w14:textId="77777777" w:rsidR="00C53EB3" w:rsidRPr="00D41059" w:rsidRDefault="00C53EB3" w:rsidP="00F23A65">
      <w:pPr>
        <w:pStyle w:val="NormalHanging12a"/>
      </w:pPr>
      <w:r w:rsidRPr="00D41059">
        <w:t>13.</w:t>
      </w:r>
      <w:r w:rsidRPr="00D41059">
        <w:tab/>
        <w:t>schvaluje rozhodnutí uvedené v příloze k tomuto usnesení;</w:t>
      </w:r>
    </w:p>
    <w:p w14:paraId="0574AA5E" w14:textId="77777777" w:rsidR="00C53EB3" w:rsidRPr="00D41059" w:rsidRDefault="00C53EB3" w:rsidP="00F23A65">
      <w:pPr>
        <w:pStyle w:val="NormalHanging12a"/>
      </w:pPr>
      <w:r w:rsidRPr="00D41059">
        <w:t>14.</w:t>
      </w:r>
      <w:r w:rsidRPr="00D41059">
        <w:tab/>
        <w:t>pověřuje svou předsedkyni, aby podepsala toto rozhodnutí společně s předsedou Rady a aby zajistila jeho zveřejnění v </w:t>
      </w:r>
      <w:r w:rsidRPr="00D41059">
        <w:rPr>
          <w:i/>
          <w:iCs/>
        </w:rPr>
        <w:t>Úředním věstníku Evropské unie</w:t>
      </w:r>
      <w:r w:rsidRPr="00D41059">
        <w:t>;</w:t>
      </w:r>
    </w:p>
    <w:p w14:paraId="67B87B83" w14:textId="51EFE031" w:rsidR="00C53EB3" w:rsidRPr="00D41059" w:rsidRDefault="00C53EB3" w:rsidP="00FF1A5C">
      <w:pPr>
        <w:pStyle w:val="NormalHanging12a"/>
      </w:pPr>
      <w:r w:rsidRPr="00D41059">
        <w:t>15.</w:t>
      </w:r>
      <w:r w:rsidRPr="00D41059">
        <w:tab/>
        <w:t>pověřuje svou předsedkyni, aby předala toto usnesení</w:t>
      </w:r>
      <w:r w:rsidR="00FF1A5C">
        <w:t>,</w:t>
      </w:r>
      <w:r w:rsidRPr="00D41059">
        <w:t xml:space="preserve"> včetně jeho přílohy</w:t>
      </w:r>
      <w:r w:rsidR="00FF1A5C">
        <w:t>,</w:t>
      </w:r>
      <w:r w:rsidRPr="00D41059">
        <w:t xml:space="preserve"> Radě a Komisi.</w:t>
      </w:r>
    </w:p>
    <w:p w14:paraId="2B67469A" w14:textId="77777777" w:rsidR="00C53EB3" w:rsidRPr="00D41059" w:rsidRDefault="00C53EB3" w:rsidP="00C53EB3">
      <w:pPr>
        <w:widowControl/>
        <w:sectPr w:rsidR="00C53EB3" w:rsidRPr="00D41059" w:rsidSect="00CF230E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796FE084" w14:textId="77777777" w:rsidR="00F774CC" w:rsidRPr="00F774CC" w:rsidRDefault="00C53EB3" w:rsidP="00F774CC">
      <w:pPr>
        <w:pStyle w:val="PageHeading"/>
        <w:spacing w:after="360"/>
        <w:rPr>
          <w:rFonts w:ascii="Times New Roman" w:hAnsi="Times New Roman" w:cs="Times New Roman"/>
        </w:rPr>
      </w:pPr>
      <w:bookmarkStart w:id="7" w:name="_Toc197333230"/>
      <w:r w:rsidRPr="00F774CC">
        <w:rPr>
          <w:rFonts w:ascii="Times New Roman" w:hAnsi="Times New Roman" w:cs="Times New Roman"/>
        </w:rPr>
        <w:lastRenderedPageBreak/>
        <w:t>PŘÍLOHA</w:t>
      </w:r>
    </w:p>
    <w:p w14:paraId="340C5F02" w14:textId="0F598C81" w:rsidR="00C53EB3" w:rsidRPr="00F774CC" w:rsidRDefault="00C53EB3" w:rsidP="00C53EB3">
      <w:pPr>
        <w:pStyle w:val="PageHeading"/>
        <w:rPr>
          <w:rFonts w:ascii="Times New Roman" w:hAnsi="Times New Roman" w:cs="Times New Roman"/>
          <w:noProof/>
        </w:rPr>
      </w:pPr>
      <w:r w:rsidRPr="00F774CC">
        <w:rPr>
          <w:rFonts w:ascii="Times New Roman" w:hAnsi="Times New Roman" w:cs="Times New Roman"/>
        </w:rPr>
        <w:t>ROZHODNUTÍ EVROPSKÉHO PARLAMENTU A RADY</w:t>
      </w:r>
      <w:bookmarkEnd w:id="7"/>
    </w:p>
    <w:p w14:paraId="59A59A21" w14:textId="4F94455B" w:rsidR="00C53EB3" w:rsidRDefault="00C53EB3" w:rsidP="00C53EB3">
      <w:pPr>
        <w:pStyle w:val="NormalBold24a"/>
      </w:pPr>
      <w:r w:rsidRPr="00D41059">
        <w:t>o uvolnění prostředků z Evropského fondu pro přizpůsobení se globalizaci na pomoc propuštěným pracovníkům na základě žádosti Belgie</w:t>
      </w:r>
      <w:r w:rsidR="003631B8" w:rsidRPr="00D22160">
        <w:rPr>
          <w:noProof/>
        </w:rPr>
        <w:t xml:space="preserve"> – </w:t>
      </w:r>
      <w:r w:rsidRPr="00D41059">
        <w:t xml:space="preserve">EGF/2024/003 BE/Van </w:t>
      </w:r>
      <w:proofErr w:type="spellStart"/>
      <w:r w:rsidRPr="00D41059">
        <w:t>Hool</w:t>
      </w:r>
      <w:proofErr w:type="spellEnd"/>
    </w:p>
    <w:p w14:paraId="7211F00E" w14:textId="04404BD8" w:rsidR="00F774CC" w:rsidRDefault="00F774CC" w:rsidP="00F774CC">
      <w:pPr>
        <w:rPr>
          <w:i/>
          <w:lang w:eastAsia="de-DE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</w:t>
      </w:r>
      <w:r>
        <w:rPr>
          <w:i/>
          <w:lang w:eastAsia="de-DE"/>
        </w:rPr>
        <w:t>5</w:t>
      </w:r>
      <w:r>
        <w:rPr>
          <w:i/>
          <w:lang w:eastAsia="de-DE"/>
        </w:rPr>
        <w:t>/</w:t>
      </w:r>
      <w:r>
        <w:rPr>
          <w:i/>
          <w:lang w:eastAsia="de-DE"/>
        </w:rPr>
        <w:t>1018</w:t>
      </w:r>
      <w:r w:rsidRPr="00A6138D">
        <w:rPr>
          <w:i/>
          <w:lang w:eastAsia="de-DE"/>
        </w:rPr>
        <w:t>.)</w:t>
      </w:r>
    </w:p>
    <w:p w14:paraId="25FEF511" w14:textId="77777777" w:rsidR="00F774CC" w:rsidRPr="00D41059" w:rsidRDefault="00F774CC" w:rsidP="00C53EB3">
      <w:pPr>
        <w:pStyle w:val="NormalBold24a"/>
      </w:pPr>
    </w:p>
    <w:sectPr w:rsidR="00F774CC" w:rsidRPr="00D41059" w:rsidSect="00CF23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64D26" w14:textId="77777777" w:rsidR="00162C1D" w:rsidRPr="00CF230E" w:rsidRDefault="00162C1D">
      <w:r w:rsidRPr="00CF230E">
        <w:separator/>
      </w:r>
    </w:p>
  </w:endnote>
  <w:endnote w:type="continuationSeparator" w:id="0">
    <w:p w14:paraId="16A410B0" w14:textId="77777777" w:rsidR="00162C1D" w:rsidRPr="00CF230E" w:rsidRDefault="00162C1D">
      <w:r w:rsidRPr="00CF23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8600F" w14:textId="77777777" w:rsidR="00C53EB3" w:rsidRPr="00CF230E" w:rsidRDefault="00C53EB3" w:rsidP="00CE4A9A">
    <w:pPr>
      <w:pStyle w:val="EPFooter"/>
    </w:pPr>
    <w:r w:rsidRPr="00CF230E">
      <w:t>PE</w:t>
    </w:r>
    <w:r w:rsidRPr="00CF230E">
      <w:rPr>
        <w:rStyle w:val="HideTWBExt"/>
      </w:rPr>
      <w:t>&lt;</w:t>
    </w:r>
    <w:proofErr w:type="spellStart"/>
    <w:r w:rsidRPr="00CF230E">
      <w:rPr>
        <w:rStyle w:val="HideTWBExt"/>
      </w:rPr>
      <w:t>NoPE</w:t>
    </w:r>
    <w:proofErr w:type="spellEnd"/>
    <w:r w:rsidRPr="00CF230E">
      <w:rPr>
        <w:rStyle w:val="HideTWBExt"/>
      </w:rPr>
      <w:t>&gt;</w:t>
    </w:r>
    <w:r w:rsidRPr="00CF230E">
      <w:t>771.884</w:t>
    </w:r>
    <w:r w:rsidRPr="00CF230E">
      <w:rPr>
        <w:rStyle w:val="HideTWBExt"/>
      </w:rPr>
      <w:t>&lt;/</w:t>
    </w:r>
    <w:proofErr w:type="spellStart"/>
    <w:r w:rsidRPr="00CF230E">
      <w:rPr>
        <w:rStyle w:val="HideTWBExt"/>
      </w:rPr>
      <w:t>NoPE</w:t>
    </w:r>
    <w:proofErr w:type="spellEnd"/>
    <w:r w:rsidRPr="00CF230E">
      <w:rPr>
        <w:rStyle w:val="HideTWBExt"/>
      </w:rPr>
      <w:t>&gt;&lt;Version&gt;</w:t>
    </w:r>
    <w:r w:rsidRPr="00CF230E">
      <w:t>v03-00</w:t>
    </w:r>
    <w:r w:rsidRPr="00CF230E">
      <w:rPr>
        <w:rStyle w:val="HideTWBExt"/>
      </w:rPr>
      <w:t>&lt;/</w:t>
    </w:r>
    <w:proofErr w:type="spellStart"/>
    <w:r w:rsidRPr="00CF230E">
      <w:rPr>
        <w:rStyle w:val="HideTWBExt"/>
      </w:rPr>
      <w:t>Version</w:t>
    </w:r>
    <w:proofErr w:type="spellEnd"/>
    <w:r w:rsidRPr="00CF230E">
      <w:rPr>
        <w:rStyle w:val="HideTWBExt"/>
      </w:rPr>
      <w:t>&gt;</w:t>
    </w:r>
    <w:r w:rsidRPr="00CF230E">
      <w:tab/>
    </w:r>
    <w:r w:rsidRPr="00CF230E">
      <w:fldChar w:fldCharType="begin"/>
    </w:r>
    <w:r w:rsidRPr="00CF230E">
      <w:instrText xml:space="preserve"> PAGE  \* MERGEFORMAT </w:instrText>
    </w:r>
    <w:r w:rsidRPr="00CF230E">
      <w:fldChar w:fldCharType="separate"/>
    </w:r>
    <w:r w:rsidR="00CF230E" w:rsidRPr="00CF230E">
      <w:rPr>
        <w:noProof/>
      </w:rPr>
      <w:t>2</w:t>
    </w:r>
    <w:r w:rsidRPr="00CF230E">
      <w:fldChar w:fldCharType="end"/>
    </w:r>
    <w:r w:rsidRPr="00CF230E">
      <w:t>/</w:t>
    </w:r>
    <w:fldSimple w:instr=" NUMPAGES  \* MERGEFORMAT ">
      <w:r w:rsidR="00CF230E" w:rsidRPr="00CF230E">
        <w:rPr>
          <w:noProof/>
        </w:rPr>
        <w:t>8</w:t>
      </w:r>
    </w:fldSimple>
    <w:r w:rsidRPr="00CF230E">
      <w:tab/>
    </w:r>
    <w:r w:rsidRPr="00CF230E">
      <w:rPr>
        <w:rStyle w:val="HideTWBExt"/>
      </w:rPr>
      <w:t>&lt;PathFdR&gt;</w:t>
    </w:r>
    <w:r w:rsidRPr="00CF230E">
      <w:t>RR\1320028CS.docx</w:t>
    </w:r>
    <w:r w:rsidRPr="00CF230E">
      <w:rPr>
        <w:rStyle w:val="HideTWBExt"/>
      </w:rPr>
      <w:t>&lt;/</w:t>
    </w:r>
    <w:proofErr w:type="spellStart"/>
    <w:r w:rsidRPr="00CF230E">
      <w:rPr>
        <w:rStyle w:val="HideTWBExt"/>
      </w:rPr>
      <w:t>PathFdR</w:t>
    </w:r>
    <w:proofErr w:type="spellEnd"/>
    <w:r w:rsidRPr="00CF230E">
      <w:rPr>
        <w:rStyle w:val="HideTWBExt"/>
      </w:rPr>
      <w:t>&gt;</w:t>
    </w:r>
  </w:p>
  <w:p w14:paraId="6849EFB2" w14:textId="77777777" w:rsidR="00C53EB3" w:rsidRPr="00CF230E" w:rsidRDefault="00C53EB3" w:rsidP="00CE4A9A">
    <w:pPr>
      <w:pStyle w:val="EPFooter2"/>
    </w:pPr>
    <w:r w:rsidRPr="00CF230E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5F7F9" w14:textId="77777777" w:rsidR="00C53EB3" w:rsidRPr="00CF230E" w:rsidRDefault="00C53EB3" w:rsidP="00CE4A9A">
    <w:pPr>
      <w:pStyle w:val="EPFooter"/>
    </w:pPr>
    <w:r w:rsidRPr="00CF230E">
      <w:rPr>
        <w:rStyle w:val="HideTWBExt"/>
      </w:rPr>
      <w:t>&lt;PathFdR&gt;</w:t>
    </w:r>
    <w:r w:rsidRPr="00CF230E">
      <w:t>RR\1320028CS.docx</w:t>
    </w:r>
    <w:r w:rsidRPr="00CF230E">
      <w:rPr>
        <w:rStyle w:val="HideTWBExt"/>
      </w:rPr>
      <w:t>&lt;/</w:t>
    </w:r>
    <w:proofErr w:type="spellStart"/>
    <w:r w:rsidRPr="00CF230E">
      <w:rPr>
        <w:rStyle w:val="HideTWBExt"/>
      </w:rPr>
      <w:t>PathFdR</w:t>
    </w:r>
    <w:proofErr w:type="spellEnd"/>
    <w:r w:rsidRPr="00CF230E">
      <w:rPr>
        <w:rStyle w:val="HideTWBExt"/>
      </w:rPr>
      <w:t>&gt;</w:t>
    </w:r>
    <w:r w:rsidRPr="00CF230E">
      <w:tab/>
    </w:r>
    <w:r w:rsidRPr="00CF230E">
      <w:tab/>
      <w:t>PE</w:t>
    </w:r>
    <w:r w:rsidRPr="00CF230E">
      <w:rPr>
        <w:rStyle w:val="HideTWBExt"/>
      </w:rPr>
      <w:t>&lt;</w:t>
    </w:r>
    <w:proofErr w:type="spellStart"/>
    <w:r w:rsidRPr="00CF230E">
      <w:rPr>
        <w:rStyle w:val="HideTWBExt"/>
      </w:rPr>
      <w:t>NoPE</w:t>
    </w:r>
    <w:proofErr w:type="spellEnd"/>
    <w:r w:rsidRPr="00CF230E">
      <w:rPr>
        <w:rStyle w:val="HideTWBExt"/>
      </w:rPr>
      <w:t>&gt;</w:t>
    </w:r>
    <w:r w:rsidRPr="00CF230E">
      <w:t>771.884</w:t>
    </w:r>
    <w:r w:rsidRPr="00CF230E">
      <w:rPr>
        <w:rStyle w:val="HideTWBExt"/>
      </w:rPr>
      <w:t>&lt;/</w:t>
    </w:r>
    <w:proofErr w:type="spellStart"/>
    <w:r w:rsidRPr="00CF230E">
      <w:rPr>
        <w:rStyle w:val="HideTWBExt"/>
      </w:rPr>
      <w:t>NoPE</w:t>
    </w:r>
    <w:proofErr w:type="spellEnd"/>
    <w:r w:rsidRPr="00CF230E">
      <w:rPr>
        <w:rStyle w:val="HideTWBExt"/>
      </w:rPr>
      <w:t>&gt;&lt;Version&gt;</w:t>
    </w:r>
    <w:r w:rsidRPr="00CF230E">
      <w:t>v03-00</w:t>
    </w:r>
    <w:r w:rsidRPr="00CF230E">
      <w:rPr>
        <w:rStyle w:val="HideTWBExt"/>
      </w:rPr>
      <w:t>&lt;/</w:t>
    </w:r>
    <w:proofErr w:type="spellStart"/>
    <w:r w:rsidRPr="00CF230E">
      <w:rPr>
        <w:rStyle w:val="HideTWBExt"/>
      </w:rPr>
      <w:t>Version</w:t>
    </w:r>
    <w:proofErr w:type="spellEnd"/>
    <w:r w:rsidRPr="00CF230E">
      <w:rPr>
        <w:rStyle w:val="HideTWBExt"/>
      </w:rPr>
      <w:t>&gt;</w:t>
    </w:r>
  </w:p>
  <w:p w14:paraId="7436D02A" w14:textId="77777777" w:rsidR="00C53EB3" w:rsidRPr="00CF230E" w:rsidRDefault="00C53EB3" w:rsidP="00CE4A9A">
    <w:pPr>
      <w:pStyle w:val="EPFooter2"/>
    </w:pPr>
    <w:r w:rsidRPr="00CF230E">
      <w:t>CS</w:t>
    </w:r>
    <w:r w:rsidRPr="00CF230E">
      <w:tab/>
    </w:r>
    <w:r w:rsidRPr="00CF230E">
      <w:rPr>
        <w:b w:val="0"/>
        <w:i/>
        <w:color w:val="C0C0C0"/>
        <w:sz w:val="22"/>
      </w:rPr>
      <w:t>Jednotná v rozmanitosti</w:t>
    </w:r>
    <w:r w:rsidRPr="00CF230E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D150" w14:textId="77777777" w:rsidR="00064002" w:rsidRPr="00CF230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3924" w14:textId="77777777" w:rsidR="00064002" w:rsidRPr="00CF230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7C48A" w14:textId="77777777" w:rsidR="00064002" w:rsidRPr="00CF23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29D8B" w14:textId="77777777" w:rsidR="00162C1D" w:rsidRPr="00CF230E" w:rsidRDefault="00162C1D">
      <w:r w:rsidRPr="00CF230E">
        <w:separator/>
      </w:r>
    </w:p>
  </w:footnote>
  <w:footnote w:type="continuationSeparator" w:id="0">
    <w:p w14:paraId="5456301F" w14:textId="77777777" w:rsidR="00162C1D" w:rsidRPr="00CF230E" w:rsidRDefault="00162C1D">
      <w:r w:rsidRPr="00CF230E">
        <w:continuationSeparator/>
      </w:r>
    </w:p>
  </w:footnote>
  <w:footnote w:id="1">
    <w:p w14:paraId="01F5C77E" w14:textId="77777777" w:rsidR="00C53EB3" w:rsidRPr="00CA5EDF" w:rsidRDefault="00C53EB3" w:rsidP="00CF230E">
      <w:pPr>
        <w:pStyle w:val="FootnoteText"/>
        <w:ind w:left="567" w:hanging="567"/>
        <w:rPr>
          <w:sz w:val="24"/>
          <w:szCs w:val="24"/>
          <w:lang w:val="cs-CZ"/>
        </w:rPr>
      </w:pPr>
      <w:r w:rsidRPr="00CA5EDF">
        <w:rPr>
          <w:rStyle w:val="FootnoteReference"/>
          <w:sz w:val="24"/>
          <w:szCs w:val="24"/>
          <w:lang w:val="cs-CZ"/>
        </w:rPr>
        <w:footnoteRef/>
      </w:r>
      <w:r w:rsidR="00CF230E" w:rsidRPr="00CA5EDF">
        <w:rPr>
          <w:sz w:val="24"/>
          <w:szCs w:val="24"/>
          <w:lang w:val="cs-CZ"/>
        </w:rPr>
        <w:t xml:space="preserve"> </w:t>
      </w:r>
      <w:r w:rsidR="00CF230E" w:rsidRPr="00CA5EDF">
        <w:rPr>
          <w:sz w:val="24"/>
          <w:szCs w:val="24"/>
          <w:lang w:val="cs-CZ"/>
        </w:rPr>
        <w:tab/>
      </w:r>
      <w:proofErr w:type="spellStart"/>
      <w:r w:rsidRPr="00CA5EDF">
        <w:rPr>
          <w:sz w:val="24"/>
          <w:szCs w:val="24"/>
          <w:lang w:val="cs-CZ"/>
        </w:rPr>
        <w:t>Úř</w:t>
      </w:r>
      <w:proofErr w:type="spellEnd"/>
      <w:r w:rsidRPr="00CA5EDF">
        <w:rPr>
          <w:sz w:val="24"/>
          <w:szCs w:val="24"/>
          <w:lang w:val="cs-CZ"/>
        </w:rPr>
        <w:t>. </w:t>
      </w:r>
      <w:proofErr w:type="spellStart"/>
      <w:r w:rsidRPr="00CA5EDF">
        <w:rPr>
          <w:sz w:val="24"/>
          <w:szCs w:val="24"/>
          <w:lang w:val="cs-CZ"/>
        </w:rPr>
        <w:t>věst</w:t>
      </w:r>
      <w:proofErr w:type="spellEnd"/>
      <w:r w:rsidRPr="00CA5EDF">
        <w:rPr>
          <w:sz w:val="24"/>
          <w:szCs w:val="24"/>
          <w:lang w:val="cs-CZ"/>
        </w:rPr>
        <w:t xml:space="preserve">. L 153, 3.5.2021, s. 48, ELI: </w:t>
      </w:r>
      <w:hyperlink r:id="rId1" w:history="1">
        <w:r w:rsidRPr="00CA5EDF">
          <w:rPr>
            <w:rStyle w:val="Hyperlink"/>
            <w:sz w:val="24"/>
            <w:szCs w:val="24"/>
            <w:lang w:val="cs-CZ"/>
          </w:rPr>
          <w:t>http://data.europa.eu/eli/reg/2021/691/oj</w:t>
        </w:r>
      </w:hyperlink>
      <w:r w:rsidRPr="00CA5EDF">
        <w:rPr>
          <w:sz w:val="24"/>
          <w:szCs w:val="24"/>
          <w:lang w:val="cs-CZ"/>
        </w:rPr>
        <w:t>.</w:t>
      </w:r>
    </w:p>
  </w:footnote>
  <w:footnote w:id="2">
    <w:p w14:paraId="4CF2CC05" w14:textId="77777777" w:rsidR="00C53EB3" w:rsidRPr="00CA5EDF" w:rsidRDefault="00C53EB3" w:rsidP="00CF230E">
      <w:pPr>
        <w:pStyle w:val="FootnoteText"/>
        <w:ind w:left="567" w:hanging="567"/>
        <w:rPr>
          <w:sz w:val="24"/>
          <w:szCs w:val="24"/>
          <w:lang w:val="cs-CZ"/>
        </w:rPr>
      </w:pPr>
      <w:r w:rsidRPr="00CA5EDF">
        <w:rPr>
          <w:rStyle w:val="FootnoteReference"/>
          <w:sz w:val="24"/>
          <w:szCs w:val="24"/>
          <w:lang w:val="cs-CZ"/>
        </w:rPr>
        <w:footnoteRef/>
      </w:r>
      <w:r w:rsidR="00CF230E" w:rsidRPr="00CA5EDF">
        <w:rPr>
          <w:sz w:val="24"/>
          <w:szCs w:val="24"/>
          <w:lang w:val="cs-CZ"/>
        </w:rPr>
        <w:t xml:space="preserve"> </w:t>
      </w:r>
      <w:r w:rsidR="00CF230E" w:rsidRPr="00CA5EDF">
        <w:rPr>
          <w:sz w:val="24"/>
          <w:szCs w:val="24"/>
          <w:lang w:val="cs-CZ"/>
        </w:rPr>
        <w:tab/>
      </w:r>
      <w:proofErr w:type="spellStart"/>
      <w:r w:rsidRPr="00CA5EDF">
        <w:rPr>
          <w:sz w:val="24"/>
          <w:szCs w:val="24"/>
          <w:lang w:val="cs-CZ"/>
        </w:rPr>
        <w:t>Úř</w:t>
      </w:r>
      <w:proofErr w:type="spellEnd"/>
      <w:r w:rsidRPr="00CA5EDF">
        <w:rPr>
          <w:sz w:val="24"/>
          <w:szCs w:val="24"/>
          <w:lang w:val="cs-CZ"/>
        </w:rPr>
        <w:t>. </w:t>
      </w:r>
      <w:proofErr w:type="spellStart"/>
      <w:r w:rsidRPr="00CA5EDF">
        <w:rPr>
          <w:sz w:val="24"/>
          <w:szCs w:val="24"/>
          <w:lang w:val="cs-CZ"/>
        </w:rPr>
        <w:t>věst</w:t>
      </w:r>
      <w:proofErr w:type="spellEnd"/>
      <w:r w:rsidRPr="00CA5EDF">
        <w:rPr>
          <w:sz w:val="24"/>
          <w:szCs w:val="24"/>
          <w:lang w:val="cs-CZ"/>
        </w:rPr>
        <w:t xml:space="preserve">. L 433 I, 22.12.2020, s. 11, ELI: </w:t>
      </w:r>
      <w:hyperlink r:id="rId2" w:history="1">
        <w:r w:rsidRPr="00CA5EDF">
          <w:rPr>
            <w:rStyle w:val="Hyperlink"/>
            <w:sz w:val="24"/>
            <w:szCs w:val="24"/>
            <w:lang w:val="cs-CZ"/>
          </w:rPr>
          <w:t>http://data.europa.eu/eli/reg/2020/2093/oj</w:t>
        </w:r>
      </w:hyperlink>
      <w:r w:rsidRPr="00CA5EDF">
        <w:rPr>
          <w:sz w:val="24"/>
          <w:szCs w:val="24"/>
          <w:lang w:val="cs-CZ"/>
        </w:rPr>
        <w:t>.</w:t>
      </w:r>
    </w:p>
  </w:footnote>
  <w:footnote w:id="3">
    <w:p w14:paraId="1989ABD8" w14:textId="77777777" w:rsidR="00C53EB3" w:rsidRPr="00CA5EDF" w:rsidRDefault="00C53EB3" w:rsidP="00CF230E">
      <w:pPr>
        <w:pStyle w:val="FootnoteText"/>
        <w:ind w:left="567" w:hanging="567"/>
        <w:rPr>
          <w:sz w:val="24"/>
          <w:szCs w:val="24"/>
          <w:lang w:val="cs-CZ"/>
        </w:rPr>
      </w:pPr>
      <w:r w:rsidRPr="00CA5EDF">
        <w:rPr>
          <w:rStyle w:val="FootnoteReference"/>
          <w:sz w:val="24"/>
          <w:szCs w:val="24"/>
          <w:lang w:val="cs-CZ"/>
        </w:rPr>
        <w:footnoteRef/>
      </w:r>
      <w:r w:rsidR="00CF230E" w:rsidRPr="00CA5EDF">
        <w:rPr>
          <w:sz w:val="24"/>
          <w:szCs w:val="24"/>
          <w:shd w:val="clear" w:color="auto" w:fill="FFFFFF"/>
          <w:lang w:val="cs-CZ"/>
        </w:rPr>
        <w:t xml:space="preserve"> </w:t>
      </w:r>
      <w:r w:rsidR="00CF230E" w:rsidRPr="00CA5EDF">
        <w:rPr>
          <w:sz w:val="24"/>
          <w:szCs w:val="24"/>
          <w:shd w:val="clear" w:color="auto" w:fill="FFFFFF"/>
          <w:lang w:val="cs-CZ"/>
        </w:rPr>
        <w:tab/>
      </w:r>
      <w:r w:rsidRPr="00CA5EDF">
        <w:rPr>
          <w:sz w:val="24"/>
          <w:szCs w:val="24"/>
          <w:shd w:val="clear" w:color="auto" w:fill="FFFFFF"/>
          <w:lang w:val="cs-CZ"/>
        </w:rPr>
        <w:t>Nařízení Rady (EU, Euratom) 2024/765 ze dne 29. února 2024, kterým se mění nařízení (EU, Euratom) 2020/2093, kterým se stanoví víceletý finanční rámec na období 2021–2027 (</w:t>
      </w:r>
      <w:proofErr w:type="spellStart"/>
      <w:r w:rsidRPr="00CA5EDF">
        <w:rPr>
          <w:sz w:val="24"/>
          <w:szCs w:val="24"/>
          <w:lang w:val="cs-CZ"/>
        </w:rPr>
        <w:t>Úř</w:t>
      </w:r>
      <w:proofErr w:type="spellEnd"/>
      <w:r w:rsidRPr="00CA5EDF">
        <w:rPr>
          <w:sz w:val="24"/>
          <w:szCs w:val="24"/>
          <w:lang w:val="cs-CZ"/>
        </w:rPr>
        <w:t>. </w:t>
      </w:r>
      <w:proofErr w:type="spellStart"/>
      <w:r w:rsidRPr="00CA5EDF">
        <w:rPr>
          <w:sz w:val="24"/>
          <w:szCs w:val="24"/>
          <w:lang w:val="cs-CZ"/>
        </w:rPr>
        <w:t>věst</w:t>
      </w:r>
      <w:proofErr w:type="spellEnd"/>
      <w:r w:rsidRPr="00CA5EDF">
        <w:rPr>
          <w:sz w:val="24"/>
          <w:szCs w:val="24"/>
          <w:lang w:val="cs-CZ"/>
        </w:rPr>
        <w:t>. L, 2024/765, 29.2.2024, ELI</w:t>
      </w:r>
      <w:r w:rsidRPr="00CA5EDF">
        <w:rPr>
          <w:i/>
          <w:sz w:val="24"/>
          <w:szCs w:val="24"/>
          <w:lang w:val="cs-CZ"/>
        </w:rPr>
        <w:t>:</w:t>
      </w:r>
      <w:r w:rsidRPr="00CA5EDF">
        <w:rPr>
          <w:rStyle w:val="Emphasis"/>
          <w:sz w:val="24"/>
          <w:szCs w:val="24"/>
          <w:shd w:val="clear" w:color="auto" w:fill="FFFFFF"/>
          <w:lang w:val="cs-CZ"/>
        </w:rPr>
        <w:t xml:space="preserve"> </w:t>
      </w:r>
      <w:hyperlink r:id="rId3" w:history="1">
        <w:r w:rsidRPr="00CA5EDF">
          <w:rPr>
            <w:rStyle w:val="Hyperlink"/>
            <w:sz w:val="24"/>
            <w:szCs w:val="24"/>
            <w:lang w:val="fi-FI"/>
          </w:rPr>
          <w:t>http://data.europa.eu/eli/reg/2024/765/oj</w:t>
        </w:r>
      </w:hyperlink>
      <w:r w:rsidRPr="00CA5EDF">
        <w:rPr>
          <w:rStyle w:val="Emphasis"/>
          <w:sz w:val="24"/>
          <w:szCs w:val="24"/>
          <w:shd w:val="clear" w:color="auto" w:fill="FFFFFF"/>
          <w:lang w:val="cs-CZ"/>
        </w:rPr>
        <w:t>).</w:t>
      </w:r>
    </w:p>
  </w:footnote>
  <w:footnote w:id="4">
    <w:p w14:paraId="519247A6" w14:textId="77777777" w:rsidR="00C53EB3" w:rsidRPr="00CA5EDF" w:rsidRDefault="00C53EB3" w:rsidP="00CF230E">
      <w:pPr>
        <w:pStyle w:val="FootnoteText"/>
        <w:ind w:left="567" w:hanging="567"/>
        <w:rPr>
          <w:sz w:val="24"/>
          <w:szCs w:val="24"/>
          <w:lang w:val="cs-CZ"/>
        </w:rPr>
      </w:pPr>
      <w:r w:rsidRPr="00CA5EDF">
        <w:rPr>
          <w:rStyle w:val="FootnoteReference"/>
          <w:sz w:val="24"/>
          <w:szCs w:val="24"/>
          <w:lang w:val="cs-CZ"/>
        </w:rPr>
        <w:footnoteRef/>
      </w:r>
      <w:r w:rsidR="00CF230E" w:rsidRPr="00CA5EDF">
        <w:rPr>
          <w:sz w:val="24"/>
          <w:szCs w:val="24"/>
          <w:lang w:val="cs-CZ"/>
        </w:rPr>
        <w:t xml:space="preserve"> </w:t>
      </w:r>
      <w:r w:rsidR="00CF230E" w:rsidRPr="00CA5EDF">
        <w:rPr>
          <w:sz w:val="24"/>
          <w:szCs w:val="24"/>
          <w:lang w:val="cs-CZ"/>
        </w:rPr>
        <w:tab/>
      </w:r>
      <w:proofErr w:type="spellStart"/>
      <w:r w:rsidRPr="00CA5EDF">
        <w:rPr>
          <w:sz w:val="24"/>
          <w:szCs w:val="24"/>
          <w:lang w:val="cs-CZ"/>
        </w:rPr>
        <w:t>Úř</w:t>
      </w:r>
      <w:proofErr w:type="spellEnd"/>
      <w:r w:rsidRPr="00CA5EDF">
        <w:rPr>
          <w:sz w:val="24"/>
          <w:szCs w:val="24"/>
          <w:lang w:val="cs-CZ"/>
        </w:rPr>
        <w:t>. </w:t>
      </w:r>
      <w:proofErr w:type="spellStart"/>
      <w:r w:rsidRPr="00CA5EDF">
        <w:rPr>
          <w:sz w:val="24"/>
          <w:szCs w:val="24"/>
          <w:lang w:val="cs-CZ"/>
        </w:rPr>
        <w:t>věst</w:t>
      </w:r>
      <w:proofErr w:type="spellEnd"/>
      <w:r w:rsidRPr="00CA5EDF">
        <w:rPr>
          <w:sz w:val="24"/>
          <w:szCs w:val="24"/>
          <w:lang w:val="cs-CZ"/>
        </w:rPr>
        <w:t xml:space="preserve">. L 433 I, 22.12.2020, s. 28, ELI: </w:t>
      </w:r>
      <w:hyperlink r:id="rId4" w:history="1">
        <w:r w:rsidRPr="00CA5EDF">
          <w:rPr>
            <w:rStyle w:val="Hyperlink"/>
            <w:sz w:val="24"/>
            <w:szCs w:val="24"/>
            <w:lang w:val="cs-CZ"/>
          </w:rPr>
          <w:t>http://data.europa.eu/eli/agree_interinstit/2020/1222/oj</w:t>
        </w:r>
      </w:hyperlink>
      <w:r w:rsidRPr="00CA5EDF">
        <w:rPr>
          <w:sz w:val="24"/>
          <w:szCs w:val="24"/>
          <w:lang w:val="cs-CZ"/>
        </w:rPr>
        <w:t>.</w:t>
      </w:r>
    </w:p>
  </w:footnote>
  <w:footnote w:id="5">
    <w:p w14:paraId="73D37E66" w14:textId="77777777" w:rsidR="00C53EB3" w:rsidRPr="00CA5EDF" w:rsidRDefault="00C53EB3" w:rsidP="00CF230E">
      <w:pPr>
        <w:pStyle w:val="FootnoteText"/>
        <w:ind w:left="567" w:hanging="567"/>
        <w:rPr>
          <w:sz w:val="24"/>
          <w:szCs w:val="24"/>
          <w:lang w:val="cs-CZ"/>
        </w:rPr>
      </w:pPr>
      <w:r w:rsidRPr="00CA5EDF">
        <w:rPr>
          <w:rStyle w:val="FootnoteReference"/>
          <w:sz w:val="24"/>
          <w:szCs w:val="24"/>
          <w:lang w:val="cs-CZ"/>
        </w:rPr>
        <w:footnoteRef/>
      </w:r>
      <w:r w:rsidR="00CF230E" w:rsidRPr="00CA5EDF">
        <w:rPr>
          <w:sz w:val="24"/>
          <w:szCs w:val="24"/>
          <w:lang w:val="cs-CZ"/>
        </w:rPr>
        <w:t xml:space="preserve"> </w:t>
      </w:r>
      <w:r w:rsidR="00CF230E" w:rsidRPr="00CA5EDF">
        <w:rPr>
          <w:sz w:val="24"/>
          <w:szCs w:val="24"/>
          <w:lang w:val="cs-CZ"/>
        </w:rPr>
        <w:tab/>
      </w:r>
      <w:r w:rsidRPr="00CA5EDF">
        <w:rPr>
          <w:sz w:val="24"/>
          <w:szCs w:val="24"/>
          <w:lang w:val="cs-CZ"/>
        </w:rPr>
        <w:t>Ve smyslu článku 3 nařízení o EFG.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B0C61" w14:textId="77777777" w:rsidR="00064002" w:rsidRPr="00CF23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CB78F" w14:textId="77777777" w:rsidR="00064002" w:rsidRPr="00CF23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3DBF1" w14:textId="77777777" w:rsidR="00064002" w:rsidRPr="00CF23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2883051">
    <w:abstractNumId w:val="9"/>
  </w:num>
  <w:num w:numId="2" w16cid:durableId="991107398">
    <w:abstractNumId w:val="9"/>
  </w:num>
  <w:num w:numId="3" w16cid:durableId="1325208554">
    <w:abstractNumId w:val="7"/>
  </w:num>
  <w:num w:numId="4" w16cid:durableId="128285615">
    <w:abstractNumId w:val="7"/>
  </w:num>
  <w:num w:numId="5" w16cid:durableId="1567913671">
    <w:abstractNumId w:val="6"/>
  </w:num>
  <w:num w:numId="6" w16cid:durableId="268121628">
    <w:abstractNumId w:val="6"/>
  </w:num>
  <w:num w:numId="7" w16cid:durableId="1556087925">
    <w:abstractNumId w:val="5"/>
  </w:num>
  <w:num w:numId="8" w16cid:durableId="1872566198">
    <w:abstractNumId w:val="5"/>
  </w:num>
  <w:num w:numId="9" w16cid:durableId="268120839">
    <w:abstractNumId w:val="4"/>
  </w:num>
  <w:num w:numId="10" w16cid:durableId="1854538783">
    <w:abstractNumId w:val="4"/>
  </w:num>
  <w:num w:numId="11" w16cid:durableId="2016373543">
    <w:abstractNumId w:val="8"/>
  </w:num>
  <w:num w:numId="12" w16cid:durableId="551381632">
    <w:abstractNumId w:val="8"/>
  </w:num>
  <w:num w:numId="13" w16cid:durableId="1866407727">
    <w:abstractNumId w:val="3"/>
  </w:num>
  <w:num w:numId="14" w16cid:durableId="1993827999">
    <w:abstractNumId w:val="3"/>
  </w:num>
  <w:num w:numId="15" w16cid:durableId="29769906">
    <w:abstractNumId w:val="2"/>
  </w:num>
  <w:num w:numId="16" w16cid:durableId="940455371">
    <w:abstractNumId w:val="2"/>
  </w:num>
  <w:num w:numId="17" w16cid:durableId="1819759770">
    <w:abstractNumId w:val="1"/>
  </w:num>
  <w:num w:numId="18" w16cid:durableId="492912333">
    <w:abstractNumId w:val="1"/>
  </w:num>
  <w:num w:numId="19" w16cid:durableId="867790985">
    <w:abstractNumId w:val="0"/>
  </w:num>
  <w:num w:numId="20" w16cid:durableId="1537231084">
    <w:abstractNumId w:val="0"/>
  </w:num>
  <w:num w:numId="21" w16cid:durableId="1358388377">
    <w:abstractNumId w:val="9"/>
  </w:num>
  <w:num w:numId="22" w16cid:durableId="1111894495">
    <w:abstractNumId w:val="7"/>
  </w:num>
  <w:num w:numId="23" w16cid:durableId="984774226">
    <w:abstractNumId w:val="6"/>
  </w:num>
  <w:num w:numId="24" w16cid:durableId="845051188">
    <w:abstractNumId w:val="5"/>
  </w:num>
  <w:num w:numId="25" w16cid:durableId="1320112794">
    <w:abstractNumId w:val="4"/>
  </w:num>
  <w:num w:numId="26" w16cid:durableId="1808283250">
    <w:abstractNumId w:val="8"/>
  </w:num>
  <w:num w:numId="27" w16cid:durableId="1481728345">
    <w:abstractNumId w:val="3"/>
  </w:num>
  <w:num w:numId="28" w16cid:durableId="580329606">
    <w:abstractNumId w:val="2"/>
  </w:num>
  <w:num w:numId="29" w16cid:durableId="1877351631">
    <w:abstractNumId w:val="1"/>
  </w:num>
  <w:num w:numId="30" w16cid:durableId="1247346976">
    <w:abstractNumId w:val="0"/>
  </w:num>
  <w:num w:numId="31" w16cid:durableId="1647318358">
    <w:abstractNumId w:val="9"/>
  </w:num>
  <w:num w:numId="32" w16cid:durableId="561864947">
    <w:abstractNumId w:val="7"/>
  </w:num>
  <w:num w:numId="33" w16cid:durableId="580601277">
    <w:abstractNumId w:val="6"/>
  </w:num>
  <w:num w:numId="34" w16cid:durableId="296842107">
    <w:abstractNumId w:val="5"/>
  </w:num>
  <w:num w:numId="35" w16cid:durableId="946160034">
    <w:abstractNumId w:val="4"/>
  </w:num>
  <w:num w:numId="36" w16cid:durableId="719671235">
    <w:abstractNumId w:val="8"/>
  </w:num>
  <w:num w:numId="37" w16cid:durableId="1448962893">
    <w:abstractNumId w:val="3"/>
  </w:num>
  <w:num w:numId="38" w16cid:durableId="1804614035">
    <w:abstractNumId w:val="2"/>
  </w:num>
  <w:num w:numId="39" w16cid:durableId="347148140">
    <w:abstractNumId w:val="1"/>
  </w:num>
  <w:num w:numId="40" w16cid:durableId="871696465">
    <w:abstractNumId w:val="0"/>
  </w:num>
  <w:num w:numId="41" w16cid:durableId="2123574317">
    <w:abstractNumId w:val="10"/>
  </w:num>
  <w:num w:numId="42" w16cid:durableId="20866119">
    <w:abstractNumId w:val="10"/>
  </w:num>
  <w:num w:numId="43" w16cid:durableId="1589608065">
    <w:abstractNumId w:val="10"/>
  </w:num>
  <w:num w:numId="44" w16cid:durableId="4275767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0/2025"/>
    <w:docVar w:name="dvlangue" w:val="CS"/>
    <w:docVar w:name="dvnumam" w:val="0"/>
    <w:docVar w:name="dvpe" w:val="771.884"/>
    <w:docVar w:name="dvrapporteur" w:val="Zpravodaj: "/>
    <w:docVar w:name="dvtitre" w:val="Usnesení Evropského parlamentu ze dne 6. května 2025 o návrhu rozhodnutí Evropského parlamentu a Rady o uvolnění prostředků z Evropského fondu pro přizpůsobení se globalizaci na pomoc propuštěným pracovníkům na základě žádosti Belgie – EGF/2024/003 BE/Van Hool(COM(2025)0001 – C10-0056/2025 – 2025/0061(BUD))"/>
  </w:docVars>
  <w:rsids>
    <w:rsidRoot w:val="00162C1D"/>
    <w:rsid w:val="00002272"/>
    <w:rsid w:val="00064002"/>
    <w:rsid w:val="000677B9"/>
    <w:rsid w:val="000831BA"/>
    <w:rsid w:val="000A42CC"/>
    <w:rsid w:val="000E7DD9"/>
    <w:rsid w:val="0010095E"/>
    <w:rsid w:val="00125B37"/>
    <w:rsid w:val="00162C1D"/>
    <w:rsid w:val="00187494"/>
    <w:rsid w:val="001F32AE"/>
    <w:rsid w:val="002067AC"/>
    <w:rsid w:val="002767FF"/>
    <w:rsid w:val="002B18FE"/>
    <w:rsid w:val="002B5493"/>
    <w:rsid w:val="00343214"/>
    <w:rsid w:val="00361C00"/>
    <w:rsid w:val="003631B8"/>
    <w:rsid w:val="00395FA1"/>
    <w:rsid w:val="003B1FD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71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DE8"/>
    <w:rsid w:val="00981893"/>
    <w:rsid w:val="00A1687D"/>
    <w:rsid w:val="00A3193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9AF"/>
    <w:rsid w:val="00B558F0"/>
    <w:rsid w:val="00BA23C6"/>
    <w:rsid w:val="00BD48FE"/>
    <w:rsid w:val="00BD7BD8"/>
    <w:rsid w:val="00BE6ADC"/>
    <w:rsid w:val="00C05BFE"/>
    <w:rsid w:val="00C23CD4"/>
    <w:rsid w:val="00C53EB3"/>
    <w:rsid w:val="00C61C0C"/>
    <w:rsid w:val="00C941CB"/>
    <w:rsid w:val="00CA5EDF"/>
    <w:rsid w:val="00CC2357"/>
    <w:rsid w:val="00CF071A"/>
    <w:rsid w:val="00CF230E"/>
    <w:rsid w:val="00D058B8"/>
    <w:rsid w:val="00D41059"/>
    <w:rsid w:val="00D56C11"/>
    <w:rsid w:val="00D834A0"/>
    <w:rsid w:val="00D872DF"/>
    <w:rsid w:val="00D91364"/>
    <w:rsid w:val="00D91E21"/>
    <w:rsid w:val="00DA7FCD"/>
    <w:rsid w:val="00DC26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A65"/>
    <w:rsid w:val="00F5134D"/>
    <w:rsid w:val="00F74202"/>
    <w:rsid w:val="00F774CC"/>
    <w:rsid w:val="00F87713"/>
    <w:rsid w:val="00FB4360"/>
    <w:rsid w:val="00FD0C70"/>
    <w:rsid w:val="00FF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33400"/>
  <w15:chartTrackingRefBased/>
  <w15:docId w15:val="{45050C36-37C6-40EC-9222-C4A5B250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53E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C53E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53EB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53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53EB3"/>
    <w:rPr>
      <w:sz w:val="24"/>
      <w:lang w:val="cs-CZ"/>
    </w:rPr>
  </w:style>
  <w:style w:type="paragraph" w:customStyle="1" w:styleId="NormalBold24a">
    <w:name w:val="NormalBold24a"/>
    <w:basedOn w:val="Normal"/>
    <w:rsid w:val="00C53EB3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C53E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3EB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53EB3"/>
    <w:rPr>
      <w:sz w:val="24"/>
      <w:lang w:val="cs-CZ"/>
    </w:rPr>
  </w:style>
  <w:style w:type="character" w:styleId="Emphasis">
    <w:name w:val="Emphasis"/>
    <w:basedOn w:val="DefaultParagraphFont"/>
    <w:uiPriority w:val="20"/>
    <w:qFormat/>
    <w:rsid w:val="00C53EB3"/>
    <w:rPr>
      <w:i/>
      <w:iCs/>
    </w:rPr>
  </w:style>
  <w:style w:type="paragraph" w:customStyle="1" w:styleId="Institutionquiagit">
    <w:name w:val="Institution qui agit"/>
    <w:basedOn w:val="Normal"/>
    <w:next w:val="Normal"/>
    <w:rsid w:val="00C53EB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53EB3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53EB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53EB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53EB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53EB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C53EB3"/>
    <w:rPr>
      <w:color w:val="0563C1" w:themeColor="hyperlink"/>
      <w:u w:val="single"/>
    </w:rPr>
  </w:style>
  <w:style w:type="character" w:customStyle="1" w:styleId="PageHeadingChar">
    <w:name w:val="PageHeading Char"/>
    <w:basedOn w:val="DefaultParagraphFont"/>
    <w:link w:val="PageHeading"/>
    <w:locked/>
    <w:rsid w:val="00C53EB3"/>
    <w:rPr>
      <w:rFonts w:ascii="Arial" w:hAnsi="Arial" w:cs="Arial"/>
      <w:b/>
      <w:sz w:val="24"/>
      <w:lang w:val="cs-CZ"/>
    </w:rPr>
  </w:style>
  <w:style w:type="paragraph" w:styleId="Footer">
    <w:name w:val="footer"/>
    <w:basedOn w:val="Normal"/>
    <w:link w:val="FooterChar"/>
    <w:rsid w:val="00D410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41059"/>
    <w:rPr>
      <w:sz w:val="24"/>
      <w:lang w:val="cs-CZ"/>
    </w:rPr>
  </w:style>
  <w:style w:type="paragraph" w:styleId="BalloonText">
    <w:name w:val="Balloon Text"/>
    <w:basedOn w:val="Normal"/>
    <w:link w:val="BalloonTextChar"/>
    <w:rsid w:val="00D410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1059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A319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19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3193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31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1934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A0F29-4459-4827-8169-892FBD30C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1392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KONOPKOVA Jindra</cp:lastModifiedBy>
  <cp:revision>2</cp:revision>
  <cp:lastPrinted>2004-11-19T15:42:00Z</cp:lastPrinted>
  <dcterms:created xsi:type="dcterms:W3CDTF">2025-06-10T14:23:00Z</dcterms:created>
  <dcterms:modified xsi:type="dcterms:W3CDTF">2025-06-10T14:23:00Z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