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B0B" w:rsidTr="0010095E">
        <w:trPr>
          <w:trHeight w:hRule="exact" w:val="1418"/>
        </w:trPr>
        <w:tc>
          <w:tcPr>
            <w:tcW w:w="6804" w:type="dxa"/>
            <w:shd w:val="clear" w:color="auto" w:fill="auto"/>
            <w:vAlign w:val="center"/>
          </w:tcPr>
          <w:p w:rsidR="00751A4A" w:rsidRPr="00064B0B" w:rsidRDefault="000B5062" w:rsidP="0010095E">
            <w:pPr>
              <w:pStyle w:val="EPName"/>
            </w:pPr>
            <w:r w:rsidRPr="00064B0B">
              <w:t>Ευρωπαϊκό Κοινοβούλιο</w:t>
            </w:r>
          </w:p>
          <w:p w:rsidR="00751A4A" w:rsidRPr="00064B0B" w:rsidRDefault="005F1B17" w:rsidP="005F1B17">
            <w:pPr>
              <w:pStyle w:val="EPTerm"/>
              <w:rPr>
                <w:rStyle w:val="HideTWBExt"/>
                <w:noProof w:val="0"/>
                <w:vanish w:val="0"/>
                <w:color w:val="auto"/>
              </w:rPr>
            </w:pPr>
            <w:r w:rsidRPr="00064B0B">
              <w:t>2024</w:t>
            </w:r>
            <w:r w:rsidR="00817416" w:rsidRPr="00064B0B">
              <w:t>-202</w:t>
            </w:r>
            <w:r w:rsidRPr="00064B0B">
              <w:t>9</w:t>
            </w:r>
          </w:p>
        </w:tc>
        <w:tc>
          <w:tcPr>
            <w:tcW w:w="2268" w:type="dxa"/>
            <w:shd w:val="clear" w:color="auto" w:fill="auto"/>
          </w:tcPr>
          <w:p w:rsidR="00751A4A" w:rsidRPr="00064B0B" w:rsidRDefault="00187494" w:rsidP="0010095E">
            <w:pPr>
              <w:pStyle w:val="EPLogo"/>
            </w:pPr>
            <w:r w:rsidRPr="00064B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B0B" w:rsidRDefault="00D058B8" w:rsidP="004C5D52">
      <w:pPr>
        <w:pStyle w:val="LineTop"/>
      </w:pPr>
    </w:p>
    <w:p w:rsidR="00680577" w:rsidRPr="00064B0B" w:rsidRDefault="000B5062" w:rsidP="00680577">
      <w:pPr>
        <w:pStyle w:val="EPBodyTA1"/>
      </w:pPr>
      <w:r w:rsidRPr="00064B0B">
        <w:t>ΚΕΙΜΕΝΑ ΠΟΥ ΕΓΚΡΙΘΗΚΑΝ</w:t>
      </w:r>
    </w:p>
    <w:p w:rsidR="00D058B8" w:rsidRPr="00064B0B" w:rsidRDefault="00D058B8" w:rsidP="00D058B8">
      <w:pPr>
        <w:pStyle w:val="LineBottom"/>
      </w:pPr>
    </w:p>
    <w:p w:rsidR="000B5062" w:rsidRPr="00DC471C" w:rsidRDefault="000B5062" w:rsidP="000B5062">
      <w:pPr>
        <w:pStyle w:val="ATHeading1"/>
      </w:pPr>
      <w:bookmarkStart w:id="0" w:name="TANumber"/>
      <w:r w:rsidRPr="00064B0B">
        <w:t>P10_TA(2025)00</w:t>
      </w:r>
      <w:r w:rsidR="00DC471C" w:rsidRPr="00DC471C">
        <w:t>74</w:t>
      </w:r>
      <w:bookmarkEnd w:id="0"/>
    </w:p>
    <w:p w:rsidR="000B5062" w:rsidRPr="00064B0B" w:rsidRDefault="000B5062" w:rsidP="000B5062">
      <w:pPr>
        <w:pStyle w:val="ATHeading2"/>
      </w:pPr>
      <w:bookmarkStart w:id="1" w:name="title"/>
      <w:r w:rsidRPr="00064B0B">
        <w:t>Κινητοποίηση του Ευρωπαϊκού Ταμείου Προσαρμογής στην Παγκοσμιοποίηση για τους απολυμένους εργαζόμενους: αίτηση EGF/2024/003 BE/Van Hool - Βέλγιο</w:t>
      </w:r>
      <w:bookmarkEnd w:id="1"/>
    </w:p>
    <w:p w:rsidR="000B5062" w:rsidRPr="00064B0B" w:rsidRDefault="000B5062" w:rsidP="000B5062">
      <w:pPr>
        <w:rPr>
          <w:i/>
          <w:vanish/>
        </w:rPr>
      </w:pPr>
      <w:r w:rsidRPr="00064B0B">
        <w:rPr>
          <w:i/>
        </w:rPr>
        <w:fldChar w:fldCharType="begin"/>
      </w:r>
      <w:r w:rsidRPr="00064B0B">
        <w:rPr>
          <w:i/>
        </w:rPr>
        <w:instrText xml:space="preserve"> TC"(</w:instrText>
      </w:r>
      <w:bookmarkStart w:id="2" w:name="DocNumber"/>
      <w:r w:rsidRPr="00064B0B">
        <w:rPr>
          <w:i/>
        </w:rPr>
        <w:instrText>A10-0080/2025</w:instrText>
      </w:r>
      <w:bookmarkEnd w:id="2"/>
      <w:r w:rsidRPr="00064B0B">
        <w:rPr>
          <w:i/>
        </w:rPr>
        <w:instrText xml:space="preserve"> - Εισηγητής: Janusz Lewandowski)"\l3 \n&gt; \* MERGEFORMAT </w:instrText>
      </w:r>
      <w:r w:rsidRPr="00064B0B">
        <w:rPr>
          <w:i/>
        </w:rPr>
        <w:fldChar w:fldCharType="end"/>
      </w:r>
    </w:p>
    <w:p w:rsidR="000B5062" w:rsidRPr="00064B0B" w:rsidRDefault="000B5062" w:rsidP="000B5062">
      <w:pPr>
        <w:rPr>
          <w:vanish/>
        </w:rPr>
      </w:pPr>
      <w:bookmarkStart w:id="3" w:name="Commission"/>
      <w:r w:rsidRPr="00064B0B">
        <w:rPr>
          <w:vanish/>
        </w:rPr>
        <w:t>Επιτροπή Προϋπολογισμών</w:t>
      </w:r>
      <w:bookmarkEnd w:id="3"/>
    </w:p>
    <w:p w:rsidR="000B5062" w:rsidRPr="00064B0B" w:rsidRDefault="000B5062" w:rsidP="000B5062">
      <w:pPr>
        <w:rPr>
          <w:vanish/>
        </w:rPr>
      </w:pPr>
      <w:bookmarkStart w:id="4" w:name="PE"/>
      <w:r w:rsidRPr="00064B0B">
        <w:rPr>
          <w:vanish/>
        </w:rPr>
        <w:t>PE771.884</w:t>
      </w:r>
      <w:bookmarkEnd w:id="4"/>
    </w:p>
    <w:p w:rsidR="000B5062" w:rsidRPr="00064B0B" w:rsidRDefault="000B5062" w:rsidP="000B5062">
      <w:pPr>
        <w:pStyle w:val="ATHeading3"/>
      </w:pPr>
      <w:bookmarkStart w:id="5" w:name="Sujet"/>
      <w:r w:rsidRPr="00064B0B">
        <w:t>Ψήφισμα του Ευρωπαϊκού Κοινοβουλίου</w:t>
      </w:r>
      <w:r w:rsidR="00425E81">
        <w:t xml:space="preserve"> της 6ης Μαΐου 2025</w:t>
      </w:r>
      <w:r w:rsidRPr="00064B0B">
        <w:t xml:space="preserve">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EGF/2024/003 BE/Van Hool</w:t>
      </w:r>
      <w:bookmarkEnd w:id="5"/>
      <w:r w:rsidRPr="00064B0B">
        <w:t xml:space="preserve"> </w:t>
      </w:r>
      <w:bookmarkStart w:id="6" w:name="References"/>
      <w:r w:rsidRPr="00064B0B">
        <w:t>(COM(2025)0001 – C10-0056/2025 – 2025/0061(BUD))</w:t>
      </w:r>
      <w:bookmarkEnd w:id="6"/>
    </w:p>
    <w:p w:rsidR="00FE2454" w:rsidRPr="00064B0B" w:rsidRDefault="00FE2454" w:rsidP="00FE2454">
      <w:pPr>
        <w:pStyle w:val="EPComma"/>
        <w:rPr>
          <w:noProof/>
        </w:rPr>
      </w:pPr>
      <w:r w:rsidRPr="00064B0B">
        <w:rPr>
          <w:i/>
        </w:rPr>
        <w:t>Το Ευρωπαϊκό Κοινοβούλιο</w:t>
      </w:r>
      <w:r w:rsidRPr="00064B0B">
        <w:t>,</w:t>
      </w:r>
    </w:p>
    <w:p w:rsidR="00FE2454" w:rsidRPr="00064B0B" w:rsidRDefault="00FE2454" w:rsidP="00FE2454">
      <w:pPr>
        <w:pStyle w:val="NormalHanging12a"/>
        <w:rPr>
          <w:noProof/>
        </w:rPr>
      </w:pPr>
      <w:r w:rsidRPr="00064B0B">
        <w:t>–</w:t>
      </w:r>
      <w:r w:rsidRPr="00064B0B">
        <w:tab/>
        <w:t>έχοντας υπόψη την πρόταση της Επιτροπής προς το Ευρωπαϊκό Κοινοβούλιο και το Συμβούλιο (COM(2025)0001 – C10</w:t>
      </w:r>
      <w:r w:rsidRPr="00064B0B">
        <w:noBreakHyphen/>
        <w:t>0056/2025),</w:t>
      </w:r>
    </w:p>
    <w:p w:rsidR="00FE2454" w:rsidRPr="00064B0B" w:rsidRDefault="00FE2454" w:rsidP="00FE2454">
      <w:pPr>
        <w:pStyle w:val="NormalHanging12a"/>
        <w:rPr>
          <w:noProof/>
        </w:rPr>
      </w:pPr>
      <w:r w:rsidRPr="00064B0B">
        <w:t>–</w:t>
      </w:r>
      <w:r w:rsidRPr="00064B0B">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064B0B">
        <w:rPr>
          <w:rStyle w:val="FootnoteReference"/>
          <w:noProof/>
        </w:rPr>
        <w:footnoteReference w:id="1"/>
      </w:r>
      <w:r w:rsidRPr="00064B0B">
        <w:t xml:space="preserve"> («κανονισμός ΕΤΠ»),</w:t>
      </w:r>
    </w:p>
    <w:p w:rsidR="00FE2454" w:rsidRPr="00064B0B" w:rsidRDefault="00FE2454" w:rsidP="00FE2454">
      <w:pPr>
        <w:pStyle w:val="NormalHanging12a"/>
        <w:rPr>
          <w:noProof/>
        </w:rPr>
      </w:pPr>
      <w:r w:rsidRPr="00064B0B">
        <w:t>–</w:t>
      </w:r>
      <w:r w:rsidRPr="00064B0B">
        <w:tab/>
        <w:t>έχοντας υπόψη τον κανονισμό (ΕΕ, Ευρατόμ) 2020/2093 του Συμβουλίου, της 17ης Δεκεμβρίου 2020, για τον καθορισμό του πολυετούς δημοσιονομικού πλαισίου για την περίοδο 2021-2027</w:t>
      </w:r>
      <w:r w:rsidRPr="00064B0B">
        <w:rPr>
          <w:rStyle w:val="FootnoteReference"/>
          <w:noProof/>
        </w:rPr>
        <w:footnoteReference w:id="2"/>
      </w:r>
      <w:r w:rsidRPr="00064B0B">
        <w:rPr>
          <w:color w:val="000000"/>
          <w:bdr w:val="none" w:sz="0" w:space="0" w:color="auto" w:frame="1"/>
        </w:rPr>
        <w:t xml:space="preserve">, όπως τροποποιήθηκε με τον κανονισμό (ΕΕ, Ευρατόμ) </w:t>
      </w:r>
      <w:r w:rsidRPr="00064B0B">
        <w:rPr>
          <w:bdr w:val="none" w:sz="0" w:space="0" w:color="auto" w:frame="1"/>
        </w:rPr>
        <w:t>2024/765</w:t>
      </w:r>
      <w:r w:rsidRPr="00064B0B">
        <w:rPr>
          <w:rStyle w:val="FootnoteReference"/>
          <w:bdr w:val="none" w:sz="0" w:space="0" w:color="auto" w:frame="1"/>
        </w:rPr>
        <w:footnoteReference w:id="3"/>
      </w:r>
      <w:r w:rsidRPr="00064B0B">
        <w:t>, και ιδίως το άρθρο 8,</w:t>
      </w:r>
    </w:p>
    <w:p w:rsidR="00FE2454" w:rsidRPr="00064B0B" w:rsidRDefault="00FE2454" w:rsidP="00FE2454">
      <w:pPr>
        <w:pStyle w:val="NormalHanging12a"/>
        <w:rPr>
          <w:noProof/>
        </w:rPr>
      </w:pPr>
      <w:r w:rsidRPr="00064B0B">
        <w:t>–</w:t>
      </w:r>
      <w:r w:rsidRPr="00064B0B">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064B0B">
        <w:lastRenderedPageBreak/>
        <w:t>πόρων</w:t>
      </w:r>
      <w:r w:rsidRPr="00064B0B">
        <w:rPr>
          <w:rStyle w:val="FootnoteReference"/>
          <w:noProof/>
        </w:rPr>
        <w:footnoteReference w:id="4"/>
      </w:r>
      <w:r w:rsidRPr="00064B0B">
        <w:t>, και ιδίως το σημείο 9,</w:t>
      </w:r>
    </w:p>
    <w:p w:rsidR="00FE2454" w:rsidRPr="00064B0B" w:rsidRDefault="00FE2454" w:rsidP="00FE2454">
      <w:pPr>
        <w:pStyle w:val="NormalHanging12a"/>
        <w:rPr>
          <w:noProof/>
        </w:rPr>
      </w:pPr>
      <w:r w:rsidRPr="00064B0B">
        <w:t>–</w:t>
      </w:r>
      <w:r w:rsidRPr="00064B0B">
        <w:tab/>
        <w:t>έχοντας υπόψη την επιστολή της Επιτροπής Απασχόλησης και Κοινωνικών Υποθέσεων,</w:t>
      </w:r>
    </w:p>
    <w:p w:rsidR="00FE2454" w:rsidRPr="00064B0B" w:rsidRDefault="00FE2454" w:rsidP="00FE2454">
      <w:pPr>
        <w:pStyle w:val="NormalHanging12a"/>
      </w:pPr>
      <w:r w:rsidRPr="00064B0B">
        <w:t>–</w:t>
      </w:r>
      <w:r w:rsidRPr="00064B0B">
        <w:tab/>
        <w:t xml:space="preserve">έχοντας υπόψη την έκθεση της Επιτροπής Προϋπολογισμών (A10-0080/2025), </w:t>
      </w:r>
    </w:p>
    <w:p w:rsidR="00FE2454" w:rsidRPr="00064B0B" w:rsidRDefault="00FE2454" w:rsidP="00FE2454">
      <w:pPr>
        <w:pStyle w:val="NormalHanging12a"/>
        <w:rPr>
          <w:noProof/>
        </w:rPr>
      </w:pPr>
      <w:r w:rsidRPr="00064B0B">
        <w:t>Α.</w:t>
      </w:r>
      <w:r w:rsidRPr="00064B0B">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εργάστηκαν·</w:t>
      </w:r>
    </w:p>
    <w:p w:rsidR="00FE2454" w:rsidRPr="00064B0B" w:rsidRDefault="00FE2454" w:rsidP="00FE2454">
      <w:pPr>
        <w:pStyle w:val="NormalHanging12a"/>
      </w:pPr>
      <w:r w:rsidRPr="00064B0B">
        <w:t xml:space="preserve">Β. </w:t>
      </w:r>
      <w:r w:rsidRPr="00064B0B">
        <w:tab/>
        <w:t>λαμβάνοντας υπόψη ότι το Βέλγιο υπέβαλε την αίτηση EGF/2024/003 BE/Van Hool για χρηματοδοτική συνεισφορά από το Ευρωπαϊκό Ταμείο Προσαρμογής στην Παγκοσμιοποίηση (ΕΤΠ), μετά την απόλυση 2 411 εργαζομένων</w:t>
      </w:r>
      <w:r w:rsidRPr="00064B0B">
        <w:rPr>
          <w:rStyle w:val="FootnoteReference"/>
        </w:rPr>
        <w:footnoteReference w:id="5"/>
      </w:r>
      <w:r w:rsidRPr="00064B0B">
        <w:t xml:space="preserve"> στον οικονομικό τομέα που ταξινομείται στον κλάδο 29 της NACE αναθ. 2 (Κατασκευή μηχανοκίνητων οχημάτων, ρυμουλκούμενων και ημιρυμουλκούμενων οχημάτων), στην περιφέρεια Provincie Antwerpen (BE21), εντός περιόδου αναφοράς τεσσάρων μηνών για την αίτηση από τις 8 Απριλίου 2024 έως τις 8 Αυγούστου 2024· </w:t>
      </w:r>
    </w:p>
    <w:p w:rsidR="00FE2454" w:rsidRPr="00064B0B" w:rsidRDefault="00FE2454" w:rsidP="00FE2454">
      <w:pPr>
        <w:pStyle w:val="NormalHanging12a"/>
      </w:pPr>
      <w:r w:rsidRPr="00064B0B">
        <w:t xml:space="preserve">Γ. </w:t>
      </w:r>
      <w:r w:rsidRPr="00064B0B">
        <w:tab/>
        <w:t xml:space="preserve">λαμβάνοντας υπόψη ότι η αίτηση αφορά 2 411 εργαζομένους που απολύθηκαν </w:t>
      </w:r>
      <w:r w:rsidR="00FA4C41">
        <w:t>ως πλεονάζοντες</w:t>
      </w:r>
      <w:r w:rsidRPr="00064B0B">
        <w:t xml:space="preserve"> από την εταιρεία Van Hool·</w:t>
      </w:r>
    </w:p>
    <w:p w:rsidR="00FE2454" w:rsidRPr="00064B0B" w:rsidRDefault="00FE2454" w:rsidP="00FE2454">
      <w:pPr>
        <w:pStyle w:val="NormalHanging12a"/>
      </w:pPr>
      <w:r w:rsidRPr="00064B0B">
        <w:t xml:space="preserve">Δ. </w:t>
      </w:r>
      <w:r w:rsidRPr="00064B0B">
        <w:tab/>
        <w:t>λαμβάνοντας υπόψη ότι η αίτηση βασίζεται στα κριτήρια παρέμβασης που προβλέπονται στο άρθρο 4 παράγραφος 2 στοιχείο α) του κανονισμού ΕΤΠ, σύμφωνα με το οποίο απαιτείται παύση της δραστηριότητας τουλάχιστον 200 εργαζ</w:t>
      </w:r>
      <w:r w:rsidR="00F335BF">
        <w:t>ο</w:t>
      </w:r>
      <w:r w:rsidRPr="00064B0B">
        <w:t>μ</w:t>
      </w:r>
      <w:r w:rsidR="00F335BF">
        <w:t>έ</w:t>
      </w:r>
      <w:r w:rsidRPr="00064B0B">
        <w:t>νων ή αυτοαπασχολουμένων εντός περιόδου αναφοράς τεσσάρων μηνών, σε επιχείρηση κράτους μέλους, συμπεριλαμβανομένων των εργαζομένων που απολύονται από προμηθευτές ή παραγωγούς των επόμενων σταδίων του προϊόντος·</w:t>
      </w:r>
    </w:p>
    <w:p w:rsidR="00FE2454" w:rsidRPr="00064B0B" w:rsidRDefault="00FE2454" w:rsidP="00FE2454">
      <w:pPr>
        <w:pStyle w:val="NormalHanging12a"/>
      </w:pPr>
      <w:r w:rsidRPr="00064B0B">
        <w:t xml:space="preserve">Ε. </w:t>
      </w:r>
      <w:r w:rsidRPr="00064B0B">
        <w:tab/>
        <w:t xml:space="preserve">λαμβάνοντας υπόψη ότι η πανδημία </w:t>
      </w:r>
      <w:r w:rsidR="00425E81">
        <w:t xml:space="preserve">της </w:t>
      </w:r>
      <w:r w:rsidRPr="00064B0B">
        <w:t>COVID-19 είχε αντίκτυπο στη ζήτηση πούλμαν και ότι ο επιθετικός πόλεμος της Ρωσίας κατά της Ουκρανίας είχε αντίκτυπο στη διάρθρωση του κόστους·</w:t>
      </w:r>
    </w:p>
    <w:p w:rsidR="00FE2454" w:rsidRPr="00064B0B" w:rsidRDefault="00FE2454" w:rsidP="00FE2454">
      <w:pPr>
        <w:pStyle w:val="NormalHanging12a"/>
      </w:pPr>
      <w:r w:rsidRPr="00064B0B">
        <w:t xml:space="preserve">ΣΤ. </w:t>
      </w:r>
      <w:r w:rsidRPr="00064B0B">
        <w:tab/>
        <w:t>λαμβάνοντας υπόψη ότι η ευρωπαϊκή αυτοκινητοβιομηχανία και η βιομηχανία προμηθευτών αντιμετωπίζουν πρωτοφανείς πιέσεις τόσο από εξωτερικές όσο και από εσωτερικές προκλήσεις, όπως η στρέβλωση του ανταγωνισμού, κυρίως στον τομέα των ηλεκτρικών οχημάτων λόγω της αθέμιτης επιδότησης από την Κίνα, και το υψηλό ενεργειακό κόστος λόγω σημαντικών αναδιαρθρώσεων·</w:t>
      </w:r>
    </w:p>
    <w:p w:rsidR="00FE2454" w:rsidRPr="00064B0B" w:rsidRDefault="00FE2454" w:rsidP="00425E81">
      <w:pPr>
        <w:pStyle w:val="NormalHanging12a"/>
      </w:pPr>
      <w:r w:rsidRPr="00064B0B">
        <w:t>Ζ.</w:t>
      </w:r>
      <w:r w:rsidRPr="00064B0B">
        <w:rPr>
          <w:color w:val="7030A0"/>
        </w:rPr>
        <w:tab/>
      </w:r>
      <w:r w:rsidRPr="00064B0B">
        <w:t xml:space="preserve">λαμβάνοντας υπόψη ότι η Van Hool ειδικευόταν στην κατασκευή λεωφορείων, πούλμαν, τρόλεϊ και ρυμουλκούμενων· λαμβάνοντας υπόψη ότι η φθίνουσα ζήτηση για πούλμαν λόγω των επιπτώσεων της πανδημίας έχει οδηγήσει σε μείωση των μέσων πωλήσεων της Van Hool στην Ευρώπη και σε απότομη πτώση της κερδοφορίας· λαμβάνοντας υπόψη ότι ο αυξανόμενος πληθωρισμός και η διατάραξη των εφοδιαστικών αλυσίδων αύξησαν περαιτέρω την πίεση στα περιθώρια κέρδους της </w:t>
      </w:r>
      <w:r w:rsidRPr="00064B0B">
        <w:lastRenderedPageBreak/>
        <w:t xml:space="preserve">εταιρείας· </w:t>
      </w:r>
    </w:p>
    <w:p w:rsidR="00FE2454" w:rsidRPr="00064B0B" w:rsidRDefault="00FE2454" w:rsidP="00425E81">
      <w:pPr>
        <w:pStyle w:val="NormalHanging12a"/>
      </w:pPr>
      <w:r w:rsidRPr="00064B0B">
        <w:t>Η.</w:t>
      </w:r>
      <w:r w:rsidRPr="00064B0B">
        <w:tab/>
        <w:t xml:space="preserve">λαμβάνοντας υπόψη ότι η εταιρεία, σύμφωνα με το βελγικό δίκαιο, ακολούθησε την υποχρεωτική διαδικασία ενημέρωσης και διαβούλευσης με τους εκπροσώπους των εργαζομένων·  λαμβάνοντας υπόψη ότι η απαίτηση για τη σύσταση μονάδας απασχόλησης, σκοπός της οποίας είναι να παρέχει στους εργαζομένους που απολύονται στο πλαίσιο ομαδικών απολύσεων υπηρεσίες επανένταξης στην αγορά εργασίας, δεν ισχύει σε περίπτωση πτώχευσης· </w:t>
      </w:r>
    </w:p>
    <w:p w:rsidR="00FE2454" w:rsidRPr="00064B0B" w:rsidRDefault="00FE2454" w:rsidP="00425E81">
      <w:pPr>
        <w:pStyle w:val="NormalHanging12a"/>
      </w:pPr>
      <w:r w:rsidRPr="00064B0B">
        <w:t>Θ.</w:t>
      </w:r>
      <w:r w:rsidRPr="00064B0B">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rsidR="00FE2454" w:rsidRPr="00064B0B" w:rsidRDefault="00FE2454" w:rsidP="00425E81">
      <w:pPr>
        <w:pStyle w:val="NormalHanging12a"/>
      </w:pPr>
      <w:r w:rsidRPr="00064B0B">
        <w:t>Ι.</w:t>
      </w:r>
      <w:r w:rsidRPr="00064B0B">
        <w:tab/>
        <w:t>λαμβάνοντας υπόψη ότι οι φλαμανδικές υπηρεσίες απασχόλησης (VDAB) παρέχουν την εθνική προχρηματοδότηση και συγχρηματοδότηση των μέτρων·</w:t>
      </w:r>
    </w:p>
    <w:p w:rsidR="00FE2454" w:rsidRPr="00064B0B" w:rsidRDefault="00FE2454" w:rsidP="00425E81">
      <w:pPr>
        <w:widowControl/>
        <w:spacing w:after="240"/>
        <w:ind w:left="567" w:hanging="567"/>
        <w:rPr>
          <w:szCs w:val="24"/>
        </w:rPr>
      </w:pPr>
      <w:r w:rsidRPr="00064B0B">
        <w:t>Κ.</w:t>
      </w:r>
      <w:r w:rsidRPr="00064B0B">
        <w:rPr>
          <w:color w:val="7030A0"/>
        </w:rPr>
        <w:tab/>
      </w:r>
      <w:r w:rsidRPr="00064B0B">
        <w:t>λαμβάνοντας υπόψη ότι το ΕΤΠ δεν υπερβαίνει το ανώτατο ετήσιο ποσό των 30</w:t>
      </w:r>
      <w:r w:rsidR="00A27068">
        <w:t> </w:t>
      </w:r>
      <w:r w:rsidRPr="00064B0B">
        <w:t>εκατ</w:t>
      </w:r>
      <w:r w:rsidR="00425E81">
        <w:t>ομμυρίων</w:t>
      </w:r>
      <w:r w:rsidRPr="00064B0B">
        <w:t> EUR (σε τιμές 2018), όπως ορίζεται στο άρθρο 8 του κανονισμού (ΕΕ, Ευρατόμ) 2020/2093, όπως τροποποιήθηκε με τον κανονισμό (ΕΕ, Ευρατόμ) 2024/765· λαμβάνοντας υπόψη ότι, σύμφωνα με την αρχή της χρηστής δημοσιονομικής διαχείρισης, οι μη δαπανηθείσες συνεισφορές θα πρέπει να επιστρέφονται στην Επιτροπή.</w:t>
      </w:r>
    </w:p>
    <w:p w:rsidR="00FE2454" w:rsidRPr="00064B0B" w:rsidRDefault="00FE2454" w:rsidP="00425E81">
      <w:pPr>
        <w:pStyle w:val="NormalHanging12a"/>
      </w:pPr>
      <w:r w:rsidRPr="00064B0B">
        <w:t>1.</w:t>
      </w:r>
      <w:r w:rsidRPr="00064B0B">
        <w:tab/>
        <w:t>συμφωνεί με την Επιτροπή ότι πληρούνται οι προϋποθέσεις που ορίζονται στο άρθρο 4 παράγραφος 2 στοιχείο α) του κανονισμού ΕΤΠ και ότι το Βέλγιο δικαιούται, δυνάμει του εν λόγω κανονισμού, να λάβει χρηματοδοτική συνεισφορά ύψους 7 999 015 EUR, ποσό που αντιστοιχεί στο 85 % των συνολικών δαπανών ύψους 9 410 607 EUR, στο οποίο περιλαμβάνονται δαπάνες για εξατομικευμένες υπηρεσίες ύψους 9 034 607 EUR και δαπάνες για δραστηριότητες προετοιμασίας, διαχείρισης, ενημέρωσης και δημοσιότητας, ελέγχου και υποβολής εκθέσεων ύψους 376 000 EUR·</w:t>
      </w:r>
    </w:p>
    <w:p w:rsidR="00FE2454" w:rsidRPr="00064B0B" w:rsidRDefault="00FE2454" w:rsidP="00425E81">
      <w:pPr>
        <w:pStyle w:val="NormalHanging12a"/>
      </w:pPr>
      <w:r w:rsidRPr="00064B0B">
        <w:t xml:space="preserve">2. </w:t>
      </w:r>
      <w:r w:rsidRPr="00064B0B">
        <w:tab/>
        <w:t xml:space="preserve">σημειώνει ότι οι βελγικές αρχές υπέβαλαν την αίτηση στις 29 Οκτωβρίου 2024 και ότι, μετά την παροχή πρόσθετων πληροφοριών από το Βέλγιο, η Επιτροπή ολοκλήρωσε την αξιολόγησή της στις 26 Μαρτίου 2025 και τη διαβίβασε στο Κοινοβούλιο την ίδια ημέρα· </w:t>
      </w:r>
    </w:p>
    <w:p w:rsidR="00FE2454" w:rsidRPr="00064B0B" w:rsidRDefault="00FE2454" w:rsidP="00425E81">
      <w:pPr>
        <w:pStyle w:val="NormalHanging12a"/>
      </w:pPr>
      <w:r w:rsidRPr="00064B0B">
        <w:t>3.</w:t>
      </w:r>
      <w:r w:rsidRPr="00064B0B">
        <w:tab/>
        <w:t>σημειώνει ότι η αίτηση αφορά 2 411 εργαζομένους που απολύθηκαν από την εταιρεία Van Hool· επιπλέον, σημειώνει ότι συνολικά 2 397 εργαζόμενοι θα είναι οι στοχευόμενοι δικαιούχοι·</w:t>
      </w:r>
    </w:p>
    <w:p w:rsidR="00FE2454" w:rsidRPr="00064B0B" w:rsidRDefault="00FE2454" w:rsidP="00425E81">
      <w:pPr>
        <w:pStyle w:val="NormalHanging12a"/>
      </w:pPr>
      <w:r w:rsidRPr="00064B0B">
        <w:t>4.</w:t>
      </w:r>
      <w:r w:rsidRPr="00064B0B">
        <w:tab/>
        <w:t xml:space="preserve">υπογραμμίζει ότι ο βιομηχανικός τομέας παρουσιάζει επί του παρόντος παρακμή στο Βέλγιο σύμφωνα με την Ομοσπονδία Βελγικών Επιχειρήσεων (VBO)· </w:t>
      </w:r>
      <w:r w:rsidR="00F335BF">
        <w:t xml:space="preserve">σημειώνει ότι </w:t>
      </w:r>
      <w:r w:rsidRPr="00064B0B">
        <w:t>ο βιομηχανικός τομέας παραδοσιακά διαδραμάτιζε σημαντικό ρόλο στο Lier, και αυτός είναι ο λόγος για τον οποίο η βιομηχανική παρακμή έχει σημαντικό αντίκτυπο στην αγορά εργασίας του Lier. τονίζει ότι ο αριθμός των διαθέσιμων θέσεων εργασίας στη βιομηχανία του Lier μειώθηκε το 2023 κατά 13 %.</w:t>
      </w:r>
    </w:p>
    <w:p w:rsidR="00FE2454" w:rsidRPr="00064B0B" w:rsidRDefault="00FE2454" w:rsidP="00425E81">
      <w:pPr>
        <w:pStyle w:val="NormalHanging12a"/>
      </w:pPr>
      <w:r w:rsidRPr="00064B0B">
        <w:t>5.</w:t>
      </w:r>
      <w:r w:rsidRPr="00064B0B">
        <w:tab/>
        <w:t>επισημαίνει ότι τα προφίλ των απολυμένων εργαζομένων, εκ των οποίων το ένα τρίτο είναι ηλικίας 50 ετών και άνω και το 80 % έχουν δευτεροβάθμια εκπαίδευση ή λιγότερες και παρωχημένες δεξιότητες· τονίζει ότι, λαμβάνοντας υπόψη την πτωτική τάση των κενών θέσεων εργασίας και τη γεωγραφική κατανομή τους, οι εργαζόμενοι θα χρειαστούν στοχευμένη βοήθεια με έμφαση στην αναβάθμιση των δεξιοτήτων και την επανεκπαίδευση για να αυξήσουν τις πιθανότητές τους να επιστρέψουν στην εργασία· θεωρεί ότι αποτελεί κοινωνική ευθύνη της Ένωσης και των κρατών μελών να παρέχουν στους επηρεαζόμενους εργαζομένους τη δυνατότητα να αποκτούν τα απαραίτητα προσόντα για μελλοντική απασχόληση·</w:t>
      </w:r>
    </w:p>
    <w:p w:rsidR="00FE2454" w:rsidRPr="00064B0B" w:rsidRDefault="00FE2454" w:rsidP="00425E81">
      <w:pPr>
        <w:pStyle w:val="NormalHanging12a"/>
      </w:pPr>
      <w:r w:rsidRPr="00064B0B">
        <w:t>6.</w:t>
      </w:r>
      <w:r w:rsidRPr="00064B0B">
        <w:tab/>
        <w:t>εκφράζει την ικανοποίησή του για το γεγονός ότι οι εξατομικευμένες υπηρεσίες που πρόκειται να παρασχεθούν στους εργαζομένους συνίστανται στα ακόλουθα μέτρα: σύμβουλος κοινωνικής παρέμβασης και εγγραφή των εργαζομένων, επανένταξη στην αγορά εργασίας, υποστήριξη για την αναζήτηση εργασίας και τοποθέτηση σε θέσεις εργασίας, επαγγελματικός προσανατολισμός, επανακατάρτιση και επαγγελματική κατάρτιση, καθώς και κατάρτιση στον χώρο εργασίας· επισημαίνει ιδίως τις υπηρεσίες που σχετίζονται με τη στοχευμένη υποστήριξη και την προσωπική αξιολόγηση, καθώς και την κατάρτιση στον τομέα των ΤΠΕ, η οποία συμβάλλει στην αναβάθμιση των δεξιοτήτων που απαιτούνται στην ψηφιακή βιομηχανική εποχή·</w:t>
      </w:r>
    </w:p>
    <w:p w:rsidR="00FE2454" w:rsidRPr="00064B0B" w:rsidRDefault="00FE2454" w:rsidP="00425E81">
      <w:pPr>
        <w:pStyle w:val="NormalHanging12a"/>
      </w:pPr>
      <w:r w:rsidRPr="00064B0B">
        <w:t>7.</w:t>
      </w:r>
      <w:r w:rsidRPr="00064B0B">
        <w:tab/>
        <w:t>σημειώνει ότι το Βέλγιο άρχισε να παρέχει εξατομικευμένες υπηρεσίες στους στοχευόμενους δικαιούχους στις 22 Απριλίου 2024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rsidR="00FE2454" w:rsidRPr="00064B0B" w:rsidRDefault="00FE2454" w:rsidP="00425E81">
      <w:pPr>
        <w:pStyle w:val="NormalHanging12a"/>
        <w:rPr>
          <w:sz w:val="23"/>
          <w:szCs w:val="23"/>
        </w:rPr>
      </w:pPr>
      <w:r w:rsidRPr="00064B0B">
        <w:t>8.</w:t>
      </w:r>
      <w:r w:rsidRPr="00064B0B">
        <w:tab/>
        <w:t>σημειώνει ότι το Βέλγιο άρχισε να επιβαρύνεται με τις διοικητικές δαπάνες για την εφαρμογή του ΕΤΠ στις 14 Μαρτίου 2024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rsidR="00FE2454" w:rsidRPr="00064B0B" w:rsidRDefault="00FE2454" w:rsidP="00425E81">
      <w:pPr>
        <w:pStyle w:val="NormalHanging12a"/>
      </w:pPr>
      <w:r w:rsidRPr="00064B0B">
        <w:t>9.</w:t>
      </w:r>
      <w:r w:rsidRPr="00064B0B">
        <w:tab/>
        <w:t>τονίζει ότι οι βελγικές αρχές έχουν επιβεβαιώσει ότι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rsidR="00FE2454" w:rsidRPr="00064B0B" w:rsidRDefault="00FE2454" w:rsidP="00425E81">
      <w:pPr>
        <w:pStyle w:val="NormalHanging12a"/>
      </w:pPr>
      <w:r w:rsidRPr="00064B0B">
        <w:t>10.</w:t>
      </w:r>
      <w:r w:rsidRPr="00064B0B">
        <w:tab/>
        <w:t>υπενθυμίζει ότι οι βελγικές αρχές πρέπει να διασφαλίσουν ότι η ισότητα μεταξύ ανδρών και γυναικών και η ενσωμάτωση της διάστασης του φύλου αποτελούν αναπόσπαστο μέρος της περιόδου εφαρμογής και προωθούνται καθ’ όλη τη διάρκειά της·</w:t>
      </w:r>
    </w:p>
    <w:p w:rsidR="00FE2454" w:rsidRPr="00064B0B" w:rsidRDefault="00FE2454" w:rsidP="00425E81">
      <w:pPr>
        <w:pStyle w:val="NormalHanging12a"/>
      </w:pPr>
      <w:r w:rsidRPr="00064B0B">
        <w:t>11.</w:t>
      </w:r>
      <w:r w:rsidRPr="00064B0B">
        <w:tab/>
        <w:t>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w:t>
      </w:r>
    </w:p>
    <w:p w:rsidR="00FE2454" w:rsidRPr="00064B0B" w:rsidRDefault="00FE2454" w:rsidP="00425E81">
      <w:pPr>
        <w:pStyle w:val="NormalHanging12a"/>
      </w:pPr>
      <w:r w:rsidRPr="00064B0B">
        <w:t>12.</w:t>
      </w:r>
      <w:r w:rsidRPr="00064B0B">
        <w:tab/>
        <w:t>υπενθυμίζει ότι οι βελγικές αρχές γνωστοποιoύν την προέλευση και εξασφαλίζουν την προβολή της ενωσιακής χρηματοδότησης και τονίζουν την ενωσιακή προστιθέμενη αξία της παρέμβασης, με την παροχή συνεπούς, αποτελεσματικής και στοχευμένης πληροφόρησης σε πολλαπλά ακροατήρια, όπως στοχευμένες πληροφορίες για τους δικαιούχους, τις τοπικές και περιφερειακές αρχές, τους κοινωνικούς εταίρους, τα μέσα μαζικής επικοινωνίας και το κοινό·</w:t>
      </w:r>
    </w:p>
    <w:p w:rsidR="00FE2454" w:rsidRPr="00064B0B" w:rsidRDefault="00FE2454" w:rsidP="00425E81">
      <w:pPr>
        <w:pStyle w:val="NormalHanging12a"/>
      </w:pPr>
      <w:r w:rsidRPr="00064B0B">
        <w:t>13.</w:t>
      </w:r>
      <w:r w:rsidRPr="00064B0B">
        <w:tab/>
        <w:t>εγκρίνει την απόφαση που επισυνάπτεται στο παρόν ψήφισμα·</w:t>
      </w:r>
    </w:p>
    <w:p w:rsidR="00FE2454" w:rsidRPr="00064B0B" w:rsidRDefault="00FE2454" w:rsidP="00425E81">
      <w:pPr>
        <w:pStyle w:val="NormalHanging12a"/>
      </w:pPr>
      <w:r w:rsidRPr="00064B0B">
        <w:t>14.</w:t>
      </w:r>
      <w:r w:rsidRPr="00064B0B">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064B0B">
        <w:rPr>
          <w:i/>
          <w:iCs/>
        </w:rPr>
        <w:t>Επίσημη Εφημερίδα της Ευρωπαϊκής Ένωσης</w:t>
      </w:r>
      <w:r w:rsidRPr="00064B0B">
        <w:t>·</w:t>
      </w:r>
    </w:p>
    <w:p w:rsidR="00FE2454" w:rsidRPr="00064B0B" w:rsidRDefault="00FE2454" w:rsidP="00FE2454">
      <w:pPr>
        <w:pStyle w:val="NormalHanging12a"/>
        <w:sectPr w:rsidR="00FE2454" w:rsidRPr="00064B0B" w:rsidSect="00064B0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r w:rsidRPr="00064B0B">
        <w:t>15.</w:t>
      </w:r>
      <w:r w:rsidRPr="00064B0B">
        <w:tab/>
        <w:t>αναθέτει στην Πρόεδρό του να διαβιβάσει το παρόν ψήφισμα, συμπεριλαμβανομένου του παραρτήματός του, στο Συμβούλιο και στην Επιτροπή.</w:t>
      </w:r>
    </w:p>
    <w:p w:rsidR="00A27068" w:rsidRPr="00DC471C" w:rsidRDefault="00FE2454" w:rsidP="00DC471C">
      <w:pPr>
        <w:pStyle w:val="PageHeading"/>
        <w:jc w:val="right"/>
        <w:rPr>
          <w:rFonts w:ascii="Times New Roman" w:hAnsi="Times New Roman" w:cs="Times New Roman"/>
        </w:rPr>
      </w:pPr>
      <w:bookmarkStart w:id="7" w:name="_Toc197077927"/>
      <w:r w:rsidRPr="00DC471C">
        <w:rPr>
          <w:rFonts w:ascii="Times New Roman" w:hAnsi="Times New Roman" w:cs="Times New Roman"/>
        </w:rPr>
        <w:t>ΠΑΡΑΡΤΗΜΑ</w:t>
      </w:r>
    </w:p>
    <w:p w:rsidR="00FE2454" w:rsidRPr="00DC471C" w:rsidRDefault="00FE2454" w:rsidP="00FE2454">
      <w:pPr>
        <w:pStyle w:val="PageHeading"/>
        <w:rPr>
          <w:rFonts w:ascii="Times New Roman" w:hAnsi="Times New Roman" w:cs="Times New Roman"/>
          <w:noProof/>
        </w:rPr>
      </w:pPr>
      <w:r w:rsidRPr="00DC471C">
        <w:rPr>
          <w:rFonts w:ascii="Times New Roman" w:hAnsi="Times New Roman" w:cs="Times New Roman"/>
        </w:rPr>
        <w:t>ΑΠΟΦΑΣΗ ΤΟΥ ΕΥΡΩΠΑΪΚΟΥ ΚΟΙΝΟΒΟΥΛΙΟΥ ΚΑΙ ΤΟΥ ΣΥΜΒΟΥΛΙΟΥ</w:t>
      </w:r>
      <w:bookmarkEnd w:id="7"/>
    </w:p>
    <w:p w:rsidR="00FE2454" w:rsidRPr="00064B0B" w:rsidRDefault="00FE2454" w:rsidP="00645422">
      <w:pPr>
        <w:pStyle w:val="Institutionquiagit"/>
        <w:spacing w:before="0" w:after="480"/>
        <w:jc w:val="left"/>
        <w:rPr>
          <w:b/>
        </w:rPr>
      </w:pPr>
      <w:r w:rsidRPr="00A27068">
        <w:rPr>
          <w:b/>
        </w:rPr>
        <w:t>για κ</w:t>
      </w:r>
      <w:r w:rsidRPr="00064B0B">
        <w:rPr>
          <w:b/>
        </w:rPr>
        <w:t>ινητοποίηση του Ευρωπαϊκού Ταμείου Προσαρμογής στην Παγκοσμιοποίηση για τους Απολυμένους Εργαζόμενους ύστερα από αίτηση του Βελγίου (EGF/2024/003 BE/Van Hool)</w:t>
      </w:r>
      <w:bookmarkStart w:id="8" w:name="_GoBack"/>
      <w:bookmarkEnd w:id="8"/>
    </w:p>
    <w:p w:rsidR="00E365E1" w:rsidRPr="00064B0B" w:rsidRDefault="00645422" w:rsidP="00645422">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Pr>
          <w:i/>
        </w:rPr>
        <w:t>5</w:t>
      </w:r>
      <w:r>
        <w:rPr>
          <w:i/>
        </w:rPr>
        <w:t>/</w:t>
      </w:r>
      <w:r>
        <w:rPr>
          <w:i/>
        </w:rPr>
        <w:t>1018</w:t>
      </w:r>
      <w:r>
        <w:rPr>
          <w:i/>
        </w:rPr>
        <w:t>.)</w:t>
      </w:r>
    </w:p>
    <w:sectPr w:rsidR="00E365E1" w:rsidRPr="00064B0B" w:rsidSect="00064B0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062" w:rsidRPr="00064B0B" w:rsidRDefault="000B5062">
      <w:r w:rsidRPr="00064B0B">
        <w:separator/>
      </w:r>
    </w:p>
  </w:endnote>
  <w:endnote w:type="continuationSeparator" w:id="0">
    <w:p w:rsidR="000B5062" w:rsidRPr="00064B0B" w:rsidRDefault="000B5062">
      <w:r w:rsidRPr="00064B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54" w:rsidRPr="00064B0B" w:rsidRDefault="00FE2454" w:rsidP="00C0649F">
    <w:pPr>
      <w:pStyle w:val="EPFooter"/>
    </w:pPr>
    <w:r w:rsidRPr="00064B0B">
      <w:t>PE</w:t>
    </w:r>
    <w:r w:rsidRPr="00064B0B">
      <w:rPr>
        <w:rStyle w:val="HideTWBExt"/>
      </w:rPr>
      <w:t>&lt;NoPE&gt;</w:t>
    </w:r>
    <w:r w:rsidRPr="00064B0B">
      <w:t>771.884</w:t>
    </w:r>
    <w:r w:rsidRPr="00064B0B">
      <w:rPr>
        <w:rStyle w:val="HideTWBExt"/>
      </w:rPr>
      <w:t>&lt;/NoPE&gt;&lt;Version&gt;</w:t>
    </w:r>
    <w:r w:rsidRPr="00064B0B">
      <w:t>v03-00</w:t>
    </w:r>
    <w:r w:rsidRPr="00064B0B">
      <w:rPr>
        <w:rStyle w:val="HideTWBExt"/>
      </w:rPr>
      <w:t>&lt;/Version&gt;</w:t>
    </w:r>
    <w:r w:rsidRPr="00064B0B">
      <w:tab/>
    </w:r>
    <w:r w:rsidRPr="00064B0B">
      <w:fldChar w:fldCharType="begin"/>
    </w:r>
    <w:r w:rsidRPr="00064B0B">
      <w:instrText xml:space="preserve"> PAGE  \* MERGEFORMAT </w:instrText>
    </w:r>
    <w:r w:rsidRPr="00064B0B">
      <w:fldChar w:fldCharType="separate"/>
    </w:r>
    <w:r w:rsidR="00064B0B" w:rsidRPr="00064B0B">
      <w:rPr>
        <w:noProof/>
      </w:rPr>
      <w:t>2</w:t>
    </w:r>
    <w:r w:rsidRPr="00064B0B">
      <w:fldChar w:fldCharType="end"/>
    </w:r>
    <w:r w:rsidRPr="00064B0B">
      <w:t>/</w:t>
    </w:r>
    <w:fldSimple w:instr=" NUMPAGES  \* MERGEFORMAT ">
      <w:r w:rsidR="00064B0B" w:rsidRPr="00064B0B">
        <w:rPr>
          <w:noProof/>
        </w:rPr>
        <w:t>9</w:t>
      </w:r>
    </w:fldSimple>
    <w:r w:rsidRPr="00064B0B">
      <w:tab/>
    </w:r>
    <w:r w:rsidRPr="00064B0B">
      <w:rPr>
        <w:rStyle w:val="HideTWBExt"/>
      </w:rPr>
      <w:t>&lt;PathFdR&gt;</w:t>
    </w:r>
    <w:r w:rsidRPr="00064B0B">
      <w:t>RR\1320028EL.docx</w:t>
    </w:r>
    <w:r w:rsidRPr="00064B0B">
      <w:rPr>
        <w:rStyle w:val="HideTWBExt"/>
      </w:rPr>
      <w:t>&lt;/PathFdR&gt;</w:t>
    </w:r>
  </w:p>
  <w:p w:rsidR="00FE2454" w:rsidRPr="00064B0B" w:rsidRDefault="00FE2454" w:rsidP="00C0649F">
    <w:pPr>
      <w:pStyle w:val="EPFooter2"/>
    </w:pPr>
    <w:r w:rsidRPr="00064B0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454" w:rsidRPr="00064B0B" w:rsidRDefault="00FE2454" w:rsidP="00C0649F">
    <w:pPr>
      <w:pStyle w:val="EPFooter"/>
    </w:pPr>
    <w:r w:rsidRPr="00064B0B">
      <w:rPr>
        <w:rStyle w:val="HideTWBExt"/>
      </w:rPr>
      <w:t>&lt;PathFdR&gt;</w:t>
    </w:r>
    <w:r w:rsidRPr="00064B0B">
      <w:t>RR\1320028EL.docx</w:t>
    </w:r>
    <w:r w:rsidRPr="00064B0B">
      <w:rPr>
        <w:rStyle w:val="HideTWBExt"/>
      </w:rPr>
      <w:t>&lt;/PathFdR&gt;</w:t>
    </w:r>
    <w:r w:rsidRPr="00064B0B">
      <w:tab/>
    </w:r>
    <w:r w:rsidRPr="00064B0B">
      <w:tab/>
      <w:t>PE</w:t>
    </w:r>
    <w:r w:rsidRPr="00064B0B">
      <w:rPr>
        <w:rStyle w:val="HideTWBExt"/>
      </w:rPr>
      <w:t>&lt;NoPE&gt;</w:t>
    </w:r>
    <w:r w:rsidRPr="00064B0B">
      <w:t>771.884</w:t>
    </w:r>
    <w:r w:rsidRPr="00064B0B">
      <w:rPr>
        <w:rStyle w:val="HideTWBExt"/>
      </w:rPr>
      <w:t>&lt;/NoPE&gt;&lt;Version&gt;</w:t>
    </w:r>
    <w:r w:rsidRPr="00064B0B">
      <w:t>v03-00</w:t>
    </w:r>
    <w:r w:rsidRPr="00064B0B">
      <w:rPr>
        <w:rStyle w:val="HideTWBExt"/>
      </w:rPr>
      <w:t>&lt;/Version&gt;</w:t>
    </w:r>
  </w:p>
  <w:p w:rsidR="00FE2454" w:rsidRPr="00064B0B" w:rsidRDefault="00FE2454" w:rsidP="00C0649F">
    <w:pPr>
      <w:pStyle w:val="EPFooter2"/>
    </w:pPr>
    <w:r w:rsidRPr="00064B0B">
      <w:t>EL</w:t>
    </w:r>
    <w:r w:rsidRPr="00064B0B">
      <w:tab/>
    </w:r>
    <w:r w:rsidRPr="00064B0B">
      <w:rPr>
        <w:b w:val="0"/>
        <w:i/>
        <w:color w:val="C0C0C0"/>
        <w:sz w:val="22"/>
      </w:rPr>
      <w:t>Ενωμένη στην πολυμορφία</w:t>
    </w:r>
    <w:r w:rsidRPr="00064B0B">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062" w:rsidRPr="00064B0B" w:rsidRDefault="000B5062">
      <w:r w:rsidRPr="00064B0B">
        <w:separator/>
      </w:r>
    </w:p>
  </w:footnote>
  <w:footnote w:type="continuationSeparator" w:id="0">
    <w:p w:rsidR="000B5062" w:rsidRPr="00064B0B" w:rsidRDefault="000B5062">
      <w:r w:rsidRPr="00064B0B">
        <w:continuationSeparator/>
      </w:r>
    </w:p>
  </w:footnote>
  <w:footnote w:id="1">
    <w:p w:rsidR="00FE2454" w:rsidRPr="00DC471C" w:rsidRDefault="00FE2454" w:rsidP="00064B0B">
      <w:pPr>
        <w:pStyle w:val="FootnoteText"/>
        <w:ind w:left="567" w:hanging="567"/>
        <w:rPr>
          <w:sz w:val="24"/>
          <w:szCs w:val="24"/>
          <w:lang w:val="el-GR"/>
        </w:rPr>
      </w:pPr>
      <w:r w:rsidRPr="00A27068">
        <w:rPr>
          <w:rStyle w:val="FootnoteReference"/>
          <w:sz w:val="24"/>
          <w:szCs w:val="24"/>
          <w:lang w:val="el-GR"/>
        </w:rPr>
        <w:footnoteRef/>
      </w:r>
      <w:r w:rsidR="00064B0B" w:rsidRPr="00A27068">
        <w:rPr>
          <w:sz w:val="24"/>
          <w:szCs w:val="24"/>
          <w:lang w:val="el-GR"/>
        </w:rPr>
        <w:t xml:space="preserve"> </w:t>
      </w:r>
      <w:r w:rsidR="00064B0B" w:rsidRPr="00A27068">
        <w:rPr>
          <w:sz w:val="24"/>
          <w:szCs w:val="24"/>
          <w:lang w:val="el-GR"/>
        </w:rPr>
        <w:tab/>
      </w:r>
      <w:r w:rsidRPr="00A27068">
        <w:rPr>
          <w:sz w:val="24"/>
          <w:szCs w:val="24"/>
          <w:lang w:val="el-GR"/>
        </w:rPr>
        <w:t xml:space="preserve">ΕΕ L 153 της 3.5.2021, σ. 48, ELI: </w:t>
      </w:r>
      <w:hyperlink r:id="rId1" w:history="1">
        <w:r w:rsidRPr="00DC471C">
          <w:rPr>
            <w:rStyle w:val="Hyperlink"/>
            <w:sz w:val="24"/>
            <w:szCs w:val="24"/>
            <w:lang w:val="el-GR"/>
          </w:rPr>
          <w:t>http://data.europa.eu/eli/reg/2021/691/oj</w:t>
        </w:r>
      </w:hyperlink>
      <w:r w:rsidRPr="00DC471C">
        <w:rPr>
          <w:sz w:val="24"/>
          <w:szCs w:val="24"/>
          <w:lang w:val="el-GR"/>
        </w:rPr>
        <w:t>.</w:t>
      </w:r>
    </w:p>
  </w:footnote>
  <w:footnote w:id="2">
    <w:p w:rsidR="00FE2454" w:rsidRPr="00DC471C" w:rsidRDefault="00FE2454" w:rsidP="00064B0B">
      <w:pPr>
        <w:pStyle w:val="FootnoteText"/>
        <w:ind w:left="567" w:hanging="567"/>
        <w:rPr>
          <w:sz w:val="24"/>
          <w:szCs w:val="24"/>
          <w:lang w:val="el-GR"/>
        </w:rPr>
      </w:pPr>
      <w:r w:rsidRPr="00DC471C">
        <w:rPr>
          <w:rStyle w:val="FootnoteReference"/>
          <w:sz w:val="24"/>
          <w:szCs w:val="24"/>
          <w:lang w:val="el-GR"/>
        </w:rPr>
        <w:footnoteRef/>
      </w:r>
      <w:r w:rsidR="00064B0B" w:rsidRPr="00DC471C">
        <w:rPr>
          <w:sz w:val="24"/>
          <w:szCs w:val="24"/>
          <w:lang w:val="el-GR"/>
        </w:rPr>
        <w:t xml:space="preserve"> </w:t>
      </w:r>
      <w:r w:rsidR="00064B0B" w:rsidRPr="00DC471C">
        <w:rPr>
          <w:sz w:val="24"/>
          <w:szCs w:val="24"/>
          <w:lang w:val="el-GR"/>
        </w:rPr>
        <w:tab/>
      </w:r>
      <w:r w:rsidRPr="00DC471C">
        <w:rPr>
          <w:sz w:val="24"/>
          <w:szCs w:val="24"/>
          <w:lang w:val="el-GR"/>
        </w:rPr>
        <w:t xml:space="preserve">ΕΕ L 433 I της 22.12.2020, σ. 11, ELI: </w:t>
      </w:r>
      <w:hyperlink r:id="rId2" w:history="1">
        <w:r w:rsidRPr="00DC471C">
          <w:rPr>
            <w:rStyle w:val="Hyperlink"/>
            <w:sz w:val="24"/>
            <w:szCs w:val="24"/>
            <w:lang w:val="el-GR"/>
          </w:rPr>
          <w:t>http://data.europa.eu/eli/reg/2020/2093/oj</w:t>
        </w:r>
      </w:hyperlink>
      <w:r w:rsidRPr="00DC471C">
        <w:rPr>
          <w:sz w:val="24"/>
          <w:szCs w:val="24"/>
          <w:lang w:val="el-GR"/>
        </w:rPr>
        <w:t>.</w:t>
      </w:r>
    </w:p>
  </w:footnote>
  <w:footnote w:id="3">
    <w:p w:rsidR="00FE2454" w:rsidRPr="00DC471C" w:rsidRDefault="00FE2454" w:rsidP="00064B0B">
      <w:pPr>
        <w:pStyle w:val="FootnoteText"/>
        <w:ind w:left="567" w:hanging="567"/>
        <w:rPr>
          <w:sz w:val="24"/>
          <w:szCs w:val="24"/>
          <w:lang w:val="el-GR"/>
        </w:rPr>
      </w:pPr>
      <w:r w:rsidRPr="00DC471C">
        <w:rPr>
          <w:rStyle w:val="FootnoteReference"/>
          <w:sz w:val="24"/>
          <w:szCs w:val="24"/>
          <w:lang w:val="el-GR"/>
        </w:rPr>
        <w:footnoteRef/>
      </w:r>
      <w:r w:rsidR="00064B0B" w:rsidRPr="00DC471C">
        <w:rPr>
          <w:sz w:val="24"/>
          <w:szCs w:val="24"/>
          <w:shd w:val="clear" w:color="auto" w:fill="FFFFFF"/>
          <w:lang w:val="el-GR"/>
        </w:rPr>
        <w:t xml:space="preserve"> </w:t>
      </w:r>
      <w:r w:rsidR="00064B0B" w:rsidRPr="00DC471C">
        <w:rPr>
          <w:sz w:val="24"/>
          <w:szCs w:val="24"/>
          <w:shd w:val="clear" w:color="auto" w:fill="FFFFFF"/>
          <w:lang w:val="el-GR"/>
        </w:rPr>
        <w:tab/>
      </w:r>
      <w:r w:rsidRPr="00DC471C">
        <w:rPr>
          <w:sz w:val="24"/>
          <w:szCs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w:t>
      </w:r>
      <w:r w:rsidRPr="00DC471C">
        <w:rPr>
          <w:sz w:val="24"/>
          <w:szCs w:val="24"/>
          <w:lang w:val="el-GR"/>
        </w:rPr>
        <w:t>EE L, 2024/765</w:t>
      </w:r>
      <w:r w:rsidR="00A27068" w:rsidRPr="00DC471C">
        <w:rPr>
          <w:sz w:val="24"/>
          <w:szCs w:val="24"/>
          <w:lang w:val="el-GR"/>
        </w:rPr>
        <w:t>,</w:t>
      </w:r>
      <w:r w:rsidRPr="00DC471C">
        <w:rPr>
          <w:sz w:val="24"/>
          <w:szCs w:val="24"/>
          <w:lang w:val="el-GR"/>
        </w:rPr>
        <w:t xml:space="preserve"> 29.2.2024, </w:t>
      </w:r>
      <w:r w:rsidRPr="00DC471C">
        <w:rPr>
          <w:rStyle w:val="Emphasis"/>
          <w:i w:val="0"/>
          <w:sz w:val="24"/>
          <w:szCs w:val="24"/>
          <w:shd w:val="clear" w:color="auto" w:fill="FFFFFF"/>
          <w:lang w:val="el-GR"/>
        </w:rPr>
        <w:t xml:space="preserve">ELI: </w:t>
      </w:r>
      <w:hyperlink r:id="rId3" w:history="1">
        <w:r w:rsidRPr="00DC471C">
          <w:rPr>
            <w:rStyle w:val="Hyperlink"/>
            <w:szCs w:val="24"/>
          </w:rPr>
          <w:t>http</w:t>
        </w:r>
        <w:r w:rsidRPr="00DC471C">
          <w:rPr>
            <w:rStyle w:val="Hyperlink"/>
            <w:szCs w:val="24"/>
            <w:lang w:val="el-GR"/>
          </w:rPr>
          <w:t>://</w:t>
        </w:r>
        <w:r w:rsidRPr="00DC471C">
          <w:rPr>
            <w:rStyle w:val="Hyperlink"/>
            <w:szCs w:val="24"/>
          </w:rPr>
          <w:t>data</w:t>
        </w:r>
        <w:r w:rsidRPr="00DC471C">
          <w:rPr>
            <w:rStyle w:val="Hyperlink"/>
            <w:szCs w:val="24"/>
            <w:lang w:val="el-GR"/>
          </w:rPr>
          <w:t>.</w:t>
        </w:r>
        <w:r w:rsidRPr="00DC471C">
          <w:rPr>
            <w:rStyle w:val="Hyperlink"/>
            <w:szCs w:val="24"/>
          </w:rPr>
          <w:t>europa</w:t>
        </w:r>
        <w:r w:rsidRPr="00DC471C">
          <w:rPr>
            <w:rStyle w:val="Hyperlink"/>
            <w:szCs w:val="24"/>
            <w:lang w:val="el-GR"/>
          </w:rPr>
          <w:t>.</w:t>
        </w:r>
        <w:r w:rsidRPr="00DC471C">
          <w:rPr>
            <w:rStyle w:val="Hyperlink"/>
            <w:szCs w:val="24"/>
          </w:rPr>
          <w:t>eu</w:t>
        </w:r>
        <w:r w:rsidRPr="00DC471C">
          <w:rPr>
            <w:rStyle w:val="Hyperlink"/>
            <w:szCs w:val="24"/>
            <w:lang w:val="el-GR"/>
          </w:rPr>
          <w:t>/</w:t>
        </w:r>
        <w:r w:rsidRPr="00DC471C">
          <w:rPr>
            <w:rStyle w:val="Hyperlink"/>
            <w:szCs w:val="24"/>
          </w:rPr>
          <w:t>eli</w:t>
        </w:r>
        <w:r w:rsidRPr="00DC471C">
          <w:rPr>
            <w:rStyle w:val="Hyperlink"/>
            <w:szCs w:val="24"/>
            <w:lang w:val="el-GR"/>
          </w:rPr>
          <w:t>/</w:t>
        </w:r>
        <w:r w:rsidRPr="00DC471C">
          <w:rPr>
            <w:rStyle w:val="Hyperlink"/>
            <w:szCs w:val="24"/>
          </w:rPr>
          <w:t>reg</w:t>
        </w:r>
        <w:r w:rsidRPr="00DC471C">
          <w:rPr>
            <w:rStyle w:val="Hyperlink"/>
            <w:szCs w:val="24"/>
            <w:lang w:val="el-GR"/>
          </w:rPr>
          <w:t>/2024/765/</w:t>
        </w:r>
        <w:r w:rsidRPr="00DC471C">
          <w:rPr>
            <w:rStyle w:val="Hyperlink"/>
            <w:szCs w:val="24"/>
          </w:rPr>
          <w:t>oj</w:t>
        </w:r>
      </w:hyperlink>
      <w:r w:rsidRPr="00DC471C">
        <w:rPr>
          <w:rStyle w:val="Emphasis"/>
          <w:i w:val="0"/>
          <w:sz w:val="24"/>
          <w:szCs w:val="24"/>
          <w:shd w:val="clear" w:color="auto" w:fill="FFFFFF"/>
          <w:lang w:val="el-GR"/>
        </w:rPr>
        <w:t>)</w:t>
      </w:r>
      <w:r w:rsidRPr="00DC471C">
        <w:rPr>
          <w:rStyle w:val="Emphasis"/>
          <w:sz w:val="24"/>
          <w:szCs w:val="24"/>
          <w:shd w:val="clear" w:color="auto" w:fill="FFFFFF"/>
          <w:lang w:val="el-GR"/>
        </w:rPr>
        <w:t>.</w:t>
      </w:r>
    </w:p>
  </w:footnote>
  <w:footnote w:id="4">
    <w:p w:rsidR="00FE2454" w:rsidRPr="00DC471C" w:rsidRDefault="00FE2454" w:rsidP="00064B0B">
      <w:pPr>
        <w:pStyle w:val="FootnoteText"/>
        <w:ind w:left="567" w:hanging="567"/>
        <w:rPr>
          <w:sz w:val="24"/>
          <w:szCs w:val="24"/>
          <w:lang w:val="el-GR"/>
        </w:rPr>
      </w:pPr>
      <w:r w:rsidRPr="00DC471C">
        <w:rPr>
          <w:rStyle w:val="FootnoteReference"/>
          <w:sz w:val="24"/>
          <w:szCs w:val="24"/>
          <w:lang w:val="el-GR"/>
        </w:rPr>
        <w:footnoteRef/>
      </w:r>
      <w:r w:rsidR="00064B0B" w:rsidRPr="00DC471C">
        <w:rPr>
          <w:sz w:val="24"/>
          <w:szCs w:val="24"/>
          <w:lang w:val="el-GR"/>
        </w:rPr>
        <w:t xml:space="preserve"> </w:t>
      </w:r>
      <w:r w:rsidR="00064B0B" w:rsidRPr="00DC471C">
        <w:rPr>
          <w:sz w:val="24"/>
          <w:szCs w:val="24"/>
          <w:lang w:val="el-GR"/>
        </w:rPr>
        <w:tab/>
      </w:r>
      <w:r w:rsidRPr="00DC471C">
        <w:rPr>
          <w:sz w:val="24"/>
          <w:szCs w:val="24"/>
          <w:lang w:val="el-GR"/>
        </w:rPr>
        <w:t xml:space="preserve">ΕΕ L 433 I της 22.12.2020, σ. 28, ELI: </w:t>
      </w:r>
      <w:hyperlink r:id="rId4" w:history="1">
        <w:r w:rsidRPr="00DC471C">
          <w:rPr>
            <w:rStyle w:val="Hyperlink"/>
            <w:sz w:val="24"/>
            <w:szCs w:val="24"/>
            <w:lang w:val="el-GR"/>
          </w:rPr>
          <w:t>http://data.europa.eu/eli/agree_interinstit/2020/1222/oj</w:t>
        </w:r>
      </w:hyperlink>
      <w:r w:rsidRPr="00DC471C">
        <w:rPr>
          <w:sz w:val="24"/>
          <w:szCs w:val="24"/>
          <w:lang w:val="el-GR"/>
        </w:rPr>
        <w:t>.</w:t>
      </w:r>
    </w:p>
  </w:footnote>
  <w:footnote w:id="5">
    <w:p w:rsidR="00FE2454" w:rsidRPr="00DC471C" w:rsidRDefault="00FE2454" w:rsidP="00064B0B">
      <w:pPr>
        <w:pStyle w:val="FootnoteText"/>
        <w:ind w:left="567" w:hanging="567"/>
        <w:rPr>
          <w:sz w:val="24"/>
          <w:szCs w:val="24"/>
          <w:lang w:val="el-GR"/>
        </w:rPr>
      </w:pPr>
      <w:r w:rsidRPr="00DC471C">
        <w:rPr>
          <w:rStyle w:val="FootnoteReference"/>
          <w:sz w:val="24"/>
          <w:szCs w:val="24"/>
          <w:lang w:val="el-GR"/>
        </w:rPr>
        <w:footnoteRef/>
      </w:r>
      <w:r w:rsidR="00064B0B" w:rsidRPr="00DC471C">
        <w:rPr>
          <w:sz w:val="24"/>
          <w:szCs w:val="24"/>
          <w:lang w:val="el-GR"/>
        </w:rPr>
        <w:t xml:space="preserve"> </w:t>
      </w:r>
      <w:r w:rsidR="00064B0B" w:rsidRPr="00DC471C">
        <w:rPr>
          <w:sz w:val="24"/>
          <w:szCs w:val="24"/>
          <w:lang w:val="el-GR"/>
        </w:rPr>
        <w:tab/>
      </w:r>
      <w:r w:rsidRPr="00DC471C">
        <w:rPr>
          <w:sz w:val="24"/>
          <w:szCs w:val="24"/>
          <w:lang w:val="el-GR"/>
        </w:rPr>
        <w:t>Κατά την έννοια του άρθρου 3 του κανονισμού ΕΤΠ.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4B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EL"/>
    <w:docVar w:name="dvnumam" w:val="0"/>
    <w:docVar w:name="dvpe" w:val="771.884"/>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4/003 BE/Van Hool(COM(2025)0001 – C10-0056/2025 – 2025/0061(BUD))"/>
  </w:docVars>
  <w:rsids>
    <w:rsidRoot w:val="000B5062"/>
    <w:rsid w:val="00002272"/>
    <w:rsid w:val="00064002"/>
    <w:rsid w:val="00064B0B"/>
    <w:rsid w:val="000677B9"/>
    <w:rsid w:val="000831BA"/>
    <w:rsid w:val="000A42CC"/>
    <w:rsid w:val="000B506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E81"/>
    <w:rsid w:val="00471C19"/>
    <w:rsid w:val="004867E3"/>
    <w:rsid w:val="00494A28"/>
    <w:rsid w:val="004C0004"/>
    <w:rsid w:val="004C5D52"/>
    <w:rsid w:val="004F5156"/>
    <w:rsid w:val="0050519A"/>
    <w:rsid w:val="005072A1"/>
    <w:rsid w:val="00514517"/>
    <w:rsid w:val="00522902"/>
    <w:rsid w:val="00545827"/>
    <w:rsid w:val="00560270"/>
    <w:rsid w:val="005C2568"/>
    <w:rsid w:val="005F1B17"/>
    <w:rsid w:val="006037C0"/>
    <w:rsid w:val="0064542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7390"/>
    <w:rsid w:val="00865F67"/>
    <w:rsid w:val="00881A7B"/>
    <w:rsid w:val="008840E5"/>
    <w:rsid w:val="00887B3E"/>
    <w:rsid w:val="008C2AC6"/>
    <w:rsid w:val="00930C23"/>
    <w:rsid w:val="0093193B"/>
    <w:rsid w:val="009509D8"/>
    <w:rsid w:val="00950B64"/>
    <w:rsid w:val="00981893"/>
    <w:rsid w:val="009B424F"/>
    <w:rsid w:val="00A1687D"/>
    <w:rsid w:val="00A2706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71C"/>
    <w:rsid w:val="00E365E1"/>
    <w:rsid w:val="00E820A4"/>
    <w:rsid w:val="00EB006A"/>
    <w:rsid w:val="00EB4772"/>
    <w:rsid w:val="00ED169E"/>
    <w:rsid w:val="00ED4235"/>
    <w:rsid w:val="00F04346"/>
    <w:rsid w:val="00F075DC"/>
    <w:rsid w:val="00F149E9"/>
    <w:rsid w:val="00F335BF"/>
    <w:rsid w:val="00F5134D"/>
    <w:rsid w:val="00F74202"/>
    <w:rsid w:val="00F87713"/>
    <w:rsid w:val="00FA4C41"/>
    <w:rsid w:val="00FB4360"/>
    <w:rsid w:val="00FD0C70"/>
    <w:rsid w:val="00FE24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58150"/>
  <w15:chartTrackingRefBased/>
  <w15:docId w15:val="{636DB46E-466B-4CE3-9FBF-3C291ED38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245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E2454"/>
    <w:pPr>
      <w:keepNext/>
      <w:spacing w:after="480"/>
      <w:jc w:val="center"/>
    </w:pPr>
    <w:rPr>
      <w:rFonts w:ascii="Arial" w:hAnsi="Arial" w:cs="Arial"/>
      <w:b/>
    </w:rPr>
  </w:style>
  <w:style w:type="paragraph" w:customStyle="1" w:styleId="NormalHanging12a">
    <w:name w:val="NormalHanging12a"/>
    <w:basedOn w:val="Normal"/>
    <w:link w:val="NormalHanging12aChar"/>
    <w:rsid w:val="00FE2454"/>
    <w:pPr>
      <w:spacing w:after="240"/>
      <w:ind w:left="567" w:hanging="567"/>
    </w:pPr>
  </w:style>
  <w:style w:type="paragraph" w:styleId="Header">
    <w:name w:val="header"/>
    <w:basedOn w:val="Normal"/>
    <w:link w:val="HeaderChar"/>
    <w:rsid w:val="00FE2454"/>
    <w:pPr>
      <w:tabs>
        <w:tab w:val="center" w:pos="4513"/>
        <w:tab w:val="right" w:pos="9026"/>
      </w:tabs>
    </w:pPr>
  </w:style>
  <w:style w:type="character" w:customStyle="1" w:styleId="HeaderChar">
    <w:name w:val="Header Char"/>
    <w:basedOn w:val="DefaultParagraphFont"/>
    <w:link w:val="Header"/>
    <w:rsid w:val="00FE2454"/>
    <w:rPr>
      <w:sz w:val="24"/>
      <w:lang w:val="el-GR"/>
    </w:rPr>
  </w:style>
  <w:style w:type="paragraph" w:customStyle="1" w:styleId="EPFooter">
    <w:name w:val="EPFooter"/>
    <w:basedOn w:val="Normal"/>
    <w:rsid w:val="00FE2454"/>
    <w:pPr>
      <w:tabs>
        <w:tab w:val="center" w:pos="4535"/>
        <w:tab w:val="right" w:pos="9071"/>
      </w:tabs>
      <w:spacing w:before="240" w:after="240"/>
    </w:pPr>
    <w:rPr>
      <w:color w:val="010000"/>
      <w:sz w:val="22"/>
    </w:rPr>
  </w:style>
  <w:style w:type="paragraph" w:customStyle="1" w:styleId="EPComma">
    <w:name w:val="EPComma"/>
    <w:basedOn w:val="Normal"/>
    <w:rsid w:val="00FE2454"/>
    <w:pPr>
      <w:spacing w:before="480" w:after="240"/>
    </w:pPr>
  </w:style>
  <w:style w:type="character" w:customStyle="1" w:styleId="NormalHanging12aChar">
    <w:name w:val="NormalHanging12a Char"/>
    <w:basedOn w:val="DefaultParagraphFont"/>
    <w:link w:val="NormalHanging12a"/>
    <w:locked/>
    <w:rsid w:val="00FE2454"/>
    <w:rPr>
      <w:sz w:val="24"/>
      <w:lang w:val="el-GR"/>
    </w:rPr>
  </w:style>
  <w:style w:type="character" w:styleId="Emphasis">
    <w:name w:val="Emphasis"/>
    <w:basedOn w:val="DefaultParagraphFont"/>
    <w:uiPriority w:val="20"/>
    <w:qFormat/>
    <w:rsid w:val="00FE2454"/>
    <w:rPr>
      <w:i/>
      <w:iCs/>
    </w:rPr>
  </w:style>
  <w:style w:type="paragraph" w:customStyle="1" w:styleId="Institutionquiagit">
    <w:name w:val="Institution qui agit"/>
    <w:basedOn w:val="Normal"/>
    <w:next w:val="Normal"/>
    <w:rsid w:val="00FE245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E2454"/>
    <w:pPr>
      <w:widowControl/>
      <w:spacing w:before="120" w:after="120"/>
      <w:ind w:left="709" w:hanging="709"/>
      <w:jc w:val="both"/>
    </w:pPr>
    <w:rPr>
      <w:rFonts w:eastAsiaTheme="minorEastAsia"/>
      <w:szCs w:val="22"/>
      <w:lang w:eastAsia="en-US"/>
    </w:rPr>
  </w:style>
  <w:style w:type="paragraph" w:customStyle="1" w:styleId="Titrearticle">
    <w:name w:val="Titre article"/>
    <w:basedOn w:val="Normal"/>
    <w:next w:val="Normal"/>
    <w:rsid w:val="00FE245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E2454"/>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FE2454"/>
    <w:rPr>
      <w:color w:val="0563C1" w:themeColor="hyperlink"/>
      <w:u w:val="single"/>
    </w:rPr>
  </w:style>
  <w:style w:type="character" w:customStyle="1" w:styleId="PageHeadingChar">
    <w:name w:val="PageHeading Char"/>
    <w:basedOn w:val="DefaultParagraphFont"/>
    <w:link w:val="PageHeading"/>
    <w:rsid w:val="00FE2454"/>
    <w:rPr>
      <w:rFonts w:ascii="Arial" w:hAnsi="Arial" w:cs="Arial"/>
      <w:b/>
      <w:sz w:val="24"/>
      <w:lang w:val="el-GR"/>
    </w:rPr>
  </w:style>
  <w:style w:type="paragraph" w:customStyle="1" w:styleId="Personnequisigne">
    <w:name w:val="Personne qui signe"/>
    <w:basedOn w:val="Normal"/>
    <w:next w:val="Normal"/>
    <w:rsid w:val="00FE2454"/>
    <w:pPr>
      <w:widowControl/>
      <w:tabs>
        <w:tab w:val="left" w:pos="5669"/>
      </w:tabs>
      <w:spacing w:line="360" w:lineRule="auto"/>
    </w:pPr>
    <w:rPr>
      <w:rFonts w:eastAsiaTheme="minorHAnsi"/>
      <w:i/>
      <w:szCs w:val="22"/>
      <w:lang w:eastAsia="en-US"/>
    </w:rPr>
  </w:style>
  <w:style w:type="paragraph" w:styleId="Footer">
    <w:name w:val="footer"/>
    <w:basedOn w:val="Normal"/>
    <w:link w:val="FooterChar"/>
    <w:rsid w:val="00522902"/>
    <w:pPr>
      <w:tabs>
        <w:tab w:val="center" w:pos="4513"/>
        <w:tab w:val="right" w:pos="9026"/>
      </w:tabs>
    </w:pPr>
  </w:style>
  <w:style w:type="character" w:customStyle="1" w:styleId="FooterChar">
    <w:name w:val="Footer Char"/>
    <w:basedOn w:val="DefaultParagraphFont"/>
    <w:link w:val="Footer"/>
    <w:rsid w:val="00522902"/>
    <w:rPr>
      <w:sz w:val="24"/>
      <w:lang w:val="el-GR"/>
    </w:rPr>
  </w:style>
  <w:style w:type="paragraph" w:styleId="BalloonText">
    <w:name w:val="Balloon Text"/>
    <w:basedOn w:val="Normal"/>
    <w:link w:val="BalloonTextChar"/>
    <w:rsid w:val="00425E81"/>
    <w:rPr>
      <w:rFonts w:ascii="Segoe UI" w:hAnsi="Segoe UI" w:cs="Segoe UI"/>
      <w:sz w:val="18"/>
      <w:szCs w:val="18"/>
    </w:rPr>
  </w:style>
  <w:style w:type="character" w:customStyle="1" w:styleId="BalloonTextChar">
    <w:name w:val="Balloon Text Char"/>
    <w:basedOn w:val="DefaultParagraphFont"/>
    <w:link w:val="BalloonText"/>
    <w:rsid w:val="00425E8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24434-478E-47D4-8EB6-F8BE7EE47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2025-06-11T05:08:00Z</dcterms:created>
  <dcterms:modified xsi:type="dcterms:W3CDTF">2025-06-11T05:08:00Z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P10_TA(2025)0074_</vt:lpwstr>
  </property>
  <property fmtid="{D5CDD505-2E9C-101B-9397-08002B2CF9AE}" pid="4" name="&lt;Type&gt;">
    <vt:lpwstr>RR</vt:lpwstr>
  </property>
</Properties>
</file>