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718F" w14:paraId="5F8FDF51" w14:textId="77777777" w:rsidTr="0010095E">
        <w:trPr>
          <w:trHeight w:hRule="exact" w:val="1418"/>
        </w:trPr>
        <w:tc>
          <w:tcPr>
            <w:tcW w:w="6804" w:type="dxa"/>
            <w:shd w:val="clear" w:color="auto" w:fill="auto"/>
            <w:vAlign w:val="center"/>
          </w:tcPr>
          <w:p w14:paraId="2E4EB67B" w14:textId="77777777" w:rsidR="00751A4A" w:rsidRPr="0045718F" w:rsidRDefault="00397514" w:rsidP="0010095E">
            <w:pPr>
              <w:pStyle w:val="EPName"/>
            </w:pPr>
            <w:r w:rsidRPr="0045718F">
              <w:t>Euroopan parlamentti</w:t>
            </w:r>
          </w:p>
          <w:p w14:paraId="1CBB670D" w14:textId="77777777" w:rsidR="00751A4A" w:rsidRPr="0045718F" w:rsidRDefault="005F1B17" w:rsidP="005F1B17">
            <w:pPr>
              <w:pStyle w:val="EPTerm"/>
              <w:rPr>
                <w:rStyle w:val="HideTWBExt"/>
                <w:noProof w:val="0"/>
                <w:vanish w:val="0"/>
                <w:color w:val="auto"/>
              </w:rPr>
            </w:pPr>
            <w:r w:rsidRPr="0045718F">
              <w:t>2024</w:t>
            </w:r>
            <w:r w:rsidR="00817416" w:rsidRPr="0045718F">
              <w:t>-202</w:t>
            </w:r>
            <w:r w:rsidRPr="0045718F">
              <w:t>9</w:t>
            </w:r>
          </w:p>
        </w:tc>
        <w:tc>
          <w:tcPr>
            <w:tcW w:w="2268" w:type="dxa"/>
            <w:shd w:val="clear" w:color="auto" w:fill="auto"/>
          </w:tcPr>
          <w:p w14:paraId="5C6D1372" w14:textId="77777777" w:rsidR="00751A4A" w:rsidRPr="0045718F" w:rsidRDefault="00187494" w:rsidP="0010095E">
            <w:pPr>
              <w:pStyle w:val="EPLogo"/>
            </w:pPr>
            <w:r w:rsidRPr="0045718F">
              <w:rPr>
                <w:noProof/>
                <w:lang w:val="en-GB"/>
              </w:rPr>
              <w:drawing>
                <wp:inline distT="0" distB="0" distL="0" distR="0" wp14:anchorId="20290F21" wp14:editId="62362C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771DA3" w14:textId="77777777" w:rsidR="00D058B8" w:rsidRPr="0045718F" w:rsidRDefault="00D058B8" w:rsidP="004C5D52">
      <w:pPr>
        <w:pStyle w:val="LineTop"/>
      </w:pPr>
    </w:p>
    <w:p w14:paraId="4DB8CFAE" w14:textId="77777777" w:rsidR="00680577" w:rsidRPr="0045718F" w:rsidRDefault="00397514" w:rsidP="00680577">
      <w:pPr>
        <w:pStyle w:val="EPBodyTA1"/>
      </w:pPr>
      <w:r w:rsidRPr="0045718F">
        <w:t>HYVÄKSYTYT TEKSTIT</w:t>
      </w:r>
    </w:p>
    <w:p w14:paraId="46041B68" w14:textId="77777777" w:rsidR="00D058B8" w:rsidRPr="0045718F" w:rsidRDefault="00D058B8" w:rsidP="00D058B8">
      <w:pPr>
        <w:pStyle w:val="LineBottom"/>
      </w:pPr>
    </w:p>
    <w:p w14:paraId="269C2C6A" w14:textId="1850B9C6" w:rsidR="00397514" w:rsidRPr="0045718F" w:rsidRDefault="00397514" w:rsidP="00397514">
      <w:pPr>
        <w:pStyle w:val="ATHeading1"/>
      </w:pPr>
      <w:bookmarkStart w:id="0" w:name="TANumber"/>
      <w:r w:rsidRPr="0045718F">
        <w:t>P10_</w:t>
      </w:r>
      <w:proofErr w:type="gramStart"/>
      <w:r w:rsidRPr="0045718F">
        <w:t>TA(</w:t>
      </w:r>
      <w:proofErr w:type="gramEnd"/>
      <w:r w:rsidRPr="0045718F">
        <w:t>2025)00</w:t>
      </w:r>
      <w:r w:rsidR="00CE233F">
        <w:t>74</w:t>
      </w:r>
      <w:bookmarkEnd w:id="0"/>
    </w:p>
    <w:p w14:paraId="5060AADC" w14:textId="77777777" w:rsidR="00397514" w:rsidRPr="0045718F" w:rsidRDefault="00284E0D" w:rsidP="00284E0D">
      <w:pPr>
        <w:pStyle w:val="ATHeading2"/>
      </w:pPr>
      <w:bookmarkStart w:id="1" w:name="title"/>
      <w:r w:rsidRPr="00284E0D">
        <w:rPr>
          <w:bCs/>
        </w:rPr>
        <w:t>Työttömiksi jääneitä työntekijöitä tukevan Euroopan globalisaatiorahaston varojen käyttöönotto</w:t>
      </w:r>
      <w:r>
        <w:rPr>
          <w:bCs/>
        </w:rPr>
        <w:t xml:space="preserve"> </w:t>
      </w:r>
      <w:r w:rsidRPr="00284E0D">
        <w:rPr>
          <w:bCs/>
        </w:rPr>
        <w:t xml:space="preserve">Belgian hakemuksen johdosta – EGF/2024/003 BE/Van </w:t>
      </w:r>
      <w:proofErr w:type="spellStart"/>
      <w:r w:rsidRPr="00284E0D">
        <w:rPr>
          <w:bCs/>
        </w:rPr>
        <w:t>Hool</w:t>
      </w:r>
      <w:bookmarkEnd w:id="1"/>
      <w:proofErr w:type="spellEnd"/>
    </w:p>
    <w:p w14:paraId="27879749" w14:textId="77777777" w:rsidR="00397514" w:rsidRPr="0045718F" w:rsidRDefault="00397514" w:rsidP="00397514">
      <w:pPr>
        <w:rPr>
          <w:i/>
          <w:vanish/>
        </w:rPr>
      </w:pPr>
      <w:r w:rsidRPr="0045718F">
        <w:rPr>
          <w:i/>
        </w:rPr>
        <w:fldChar w:fldCharType="begin"/>
      </w:r>
      <w:r w:rsidRPr="0045718F">
        <w:rPr>
          <w:i/>
        </w:rPr>
        <w:instrText xml:space="preserve"> TC"(</w:instrText>
      </w:r>
      <w:bookmarkStart w:id="2" w:name="DocNumber"/>
      <w:r w:rsidRPr="0045718F">
        <w:rPr>
          <w:i/>
        </w:rPr>
        <w:instrText>A10-0080/2025</w:instrText>
      </w:r>
      <w:bookmarkEnd w:id="2"/>
      <w:r w:rsidRPr="0045718F">
        <w:rPr>
          <w:i/>
        </w:rPr>
        <w:instrText xml:space="preserve"> - Esittelijä: Janusz Lewandowski)"\l3 \n&gt; \* MERGEFORMAT </w:instrText>
      </w:r>
      <w:r w:rsidRPr="0045718F">
        <w:rPr>
          <w:i/>
        </w:rPr>
        <w:fldChar w:fldCharType="end"/>
      </w:r>
    </w:p>
    <w:p w14:paraId="17C38B70" w14:textId="77777777" w:rsidR="00397514" w:rsidRPr="0045718F" w:rsidRDefault="00397514" w:rsidP="00397514">
      <w:pPr>
        <w:rPr>
          <w:vanish/>
        </w:rPr>
      </w:pPr>
      <w:bookmarkStart w:id="3" w:name="Commission"/>
      <w:r w:rsidRPr="0045718F">
        <w:rPr>
          <w:vanish/>
        </w:rPr>
        <w:t>Budjettivaliokunta</w:t>
      </w:r>
      <w:bookmarkEnd w:id="3"/>
    </w:p>
    <w:p w14:paraId="43C8F8D7" w14:textId="77777777" w:rsidR="00397514" w:rsidRPr="0045718F" w:rsidRDefault="00397514" w:rsidP="00397514">
      <w:pPr>
        <w:rPr>
          <w:vanish/>
        </w:rPr>
      </w:pPr>
      <w:bookmarkStart w:id="4" w:name="PE"/>
      <w:r w:rsidRPr="0045718F">
        <w:rPr>
          <w:vanish/>
        </w:rPr>
        <w:t>PE771.884</w:t>
      </w:r>
      <w:bookmarkEnd w:id="4"/>
    </w:p>
    <w:p w14:paraId="0FFF2FF1" w14:textId="77777777" w:rsidR="00397514" w:rsidRPr="0045718F" w:rsidRDefault="00397514" w:rsidP="00397514">
      <w:pPr>
        <w:pStyle w:val="ATHeading3"/>
      </w:pPr>
      <w:bookmarkStart w:id="5" w:name="Sujet"/>
      <w:r w:rsidRPr="0045718F">
        <w:t xml:space="preserve">Euroopan parlamentin päätöslauselma </w:t>
      </w:r>
      <w:r w:rsidR="00284E0D">
        <w:t>6</w:t>
      </w:r>
      <w:r w:rsidRPr="0045718F">
        <w:t xml:space="preserve">. toukokuuta 2025 ehdotuksesta Euroopan parlamentin ja neuvoston päätökseksi työttömiksi jääneitä työntekijöitä tukevan Euroopan globalisaatiorahaston varojen käyttöönotosta Belgian hakemuksen johdosta – EGF/2024/003 BE/Van </w:t>
      </w:r>
      <w:proofErr w:type="spellStart"/>
      <w:r w:rsidRPr="0045718F">
        <w:t>Hool</w:t>
      </w:r>
      <w:bookmarkEnd w:id="5"/>
      <w:proofErr w:type="spellEnd"/>
      <w:r w:rsidRPr="0045718F">
        <w:t xml:space="preserve"> </w:t>
      </w:r>
      <w:bookmarkStart w:id="6" w:name="References"/>
      <w:r w:rsidRPr="0045718F">
        <w:t>(</w:t>
      </w:r>
      <w:proofErr w:type="gramStart"/>
      <w:r w:rsidRPr="0045718F">
        <w:t>COM(</w:t>
      </w:r>
      <w:proofErr w:type="gramEnd"/>
      <w:r w:rsidRPr="0045718F">
        <w:t>2025)0001 – C10-0056/2025 – 2025/0061(BUD))</w:t>
      </w:r>
      <w:bookmarkEnd w:id="6"/>
    </w:p>
    <w:p w14:paraId="4BDEF03D" w14:textId="77777777" w:rsidR="00D50CEB" w:rsidRPr="0045718F" w:rsidRDefault="00D50CEB" w:rsidP="00284E0D">
      <w:pPr>
        <w:pStyle w:val="EPComma"/>
        <w:widowControl/>
        <w:rPr>
          <w:noProof/>
        </w:rPr>
      </w:pPr>
      <w:r w:rsidRPr="0045718F">
        <w:rPr>
          <w:i/>
        </w:rPr>
        <w:t>Euroopan parlamentti</w:t>
      </w:r>
      <w:r w:rsidRPr="0045718F">
        <w:t>, joka</w:t>
      </w:r>
    </w:p>
    <w:p w14:paraId="42B33D23" w14:textId="77777777" w:rsidR="00D50CEB" w:rsidRPr="0045718F" w:rsidRDefault="00D50CEB" w:rsidP="00284E0D">
      <w:pPr>
        <w:pStyle w:val="NormalHanging12a"/>
        <w:widowControl/>
        <w:rPr>
          <w:noProof/>
        </w:rPr>
      </w:pPr>
      <w:r w:rsidRPr="0045718F">
        <w:t>–</w:t>
      </w:r>
      <w:r w:rsidRPr="0045718F">
        <w:tab/>
        <w:t>ottaa huomioon komission ehdotuksen Euro</w:t>
      </w:r>
      <w:bookmarkStart w:id="7" w:name="_GoBack"/>
      <w:bookmarkEnd w:id="7"/>
      <w:r w:rsidRPr="0045718F">
        <w:t>opan parlamentille ja neuvostolle (</w:t>
      </w:r>
      <w:proofErr w:type="gramStart"/>
      <w:r w:rsidRPr="0045718F">
        <w:t>COM(</w:t>
      </w:r>
      <w:proofErr w:type="gramEnd"/>
      <w:r w:rsidRPr="0045718F">
        <w:t>2025)0001 – C10-0056/2025),</w:t>
      </w:r>
    </w:p>
    <w:p w14:paraId="713D2D8C" w14:textId="77777777" w:rsidR="00D50CEB" w:rsidRPr="0045718F" w:rsidRDefault="00D50CEB" w:rsidP="00284E0D">
      <w:pPr>
        <w:pStyle w:val="NormalHanging12a"/>
        <w:widowControl/>
        <w:rPr>
          <w:noProof/>
        </w:rPr>
      </w:pPr>
      <w:r w:rsidRPr="0045718F">
        <w:t>–</w:t>
      </w:r>
      <w:r w:rsidRPr="0045718F">
        <w:tab/>
        <w:t>ottaa huomioon Euroopan globalisaatiorahastosta (EGR) työttömiksi jääneille työntekijöille ja asetuksen (EU) N:o 1309/2013 kumoamisesta 28. huhtikuuta 2021 annetun Euroopan parlamentin ja neuvoston asetuksen (EU) 2021/691, jäljempänä ’EGR-asetus’</w:t>
      </w:r>
      <w:r w:rsidRPr="0045718F">
        <w:rPr>
          <w:rStyle w:val="FootnoteReference"/>
          <w:noProof/>
        </w:rPr>
        <w:footnoteReference w:id="1"/>
      </w:r>
      <w:r w:rsidRPr="0045718F">
        <w:t>,</w:t>
      </w:r>
    </w:p>
    <w:p w14:paraId="530938C9" w14:textId="77777777" w:rsidR="00D50CEB" w:rsidRPr="0045718F" w:rsidRDefault="00D50CEB" w:rsidP="00284E0D">
      <w:pPr>
        <w:pStyle w:val="NormalHanging12a"/>
        <w:widowControl/>
        <w:rPr>
          <w:noProof/>
        </w:rPr>
      </w:pPr>
      <w:r w:rsidRPr="0045718F">
        <w:t>–</w:t>
      </w:r>
      <w:r w:rsidRPr="0045718F">
        <w:tab/>
        <w:t>ottaa huomioon vuosia 2021–2027 koskevan monivuotisen rahoituskehyksen vahvistamisesta 17. joulukuuta 2020 annetun neuvoston asetuksen (EU, Euratom) 2020/2093</w:t>
      </w:r>
      <w:r w:rsidRPr="0045718F">
        <w:rPr>
          <w:rStyle w:val="FootnoteReference"/>
          <w:noProof/>
        </w:rPr>
        <w:footnoteReference w:id="2"/>
      </w:r>
      <w:r w:rsidRPr="0045718F">
        <w:t>, sellaisena kun se on muutettuna asetuksella (EU, Euratom) 2024/765</w:t>
      </w:r>
      <w:r w:rsidRPr="0045718F">
        <w:rPr>
          <w:rStyle w:val="FootnoteReference"/>
          <w:bdr w:val="none" w:sz="0" w:space="0" w:color="auto" w:frame="1"/>
        </w:rPr>
        <w:footnoteReference w:id="3"/>
      </w:r>
      <w:r w:rsidRPr="0045718F">
        <w:t>, ja erityisesti sen 8 artiklan,</w:t>
      </w:r>
    </w:p>
    <w:p w14:paraId="23D46AA3" w14:textId="77777777" w:rsidR="00D50CEB" w:rsidRPr="0045718F" w:rsidRDefault="00D50CEB" w:rsidP="00284E0D">
      <w:pPr>
        <w:pStyle w:val="NormalHanging12a"/>
        <w:widowControl/>
        <w:rPr>
          <w:noProof/>
        </w:rPr>
      </w:pPr>
      <w:r w:rsidRPr="0045718F">
        <w:t>–</w:t>
      </w:r>
      <w:r w:rsidRPr="0045718F">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45718F">
        <w:rPr>
          <w:rStyle w:val="FootnoteReference"/>
          <w:noProof/>
        </w:rPr>
        <w:footnoteReference w:id="4"/>
      </w:r>
      <w:r w:rsidRPr="0045718F">
        <w:t xml:space="preserve"> ja erityisesti sen 9 kohdan,</w:t>
      </w:r>
    </w:p>
    <w:p w14:paraId="270BAD1C" w14:textId="77777777" w:rsidR="00D50CEB" w:rsidRPr="0045718F" w:rsidRDefault="00D50CEB" w:rsidP="00284E0D">
      <w:pPr>
        <w:pStyle w:val="NormalHanging12a"/>
        <w:widowControl/>
        <w:rPr>
          <w:noProof/>
        </w:rPr>
      </w:pPr>
      <w:r w:rsidRPr="0045718F">
        <w:t>–</w:t>
      </w:r>
      <w:r w:rsidRPr="0045718F">
        <w:tab/>
        <w:t>ottaa huomioon työllisyyden ja sosiaaliasioiden valiokunnan kirjeen,</w:t>
      </w:r>
    </w:p>
    <w:p w14:paraId="05FCC000" w14:textId="77777777" w:rsidR="00D50CEB" w:rsidRPr="0045718F" w:rsidRDefault="00D50CEB" w:rsidP="00284E0D">
      <w:pPr>
        <w:pStyle w:val="NormalHanging12a"/>
        <w:widowControl/>
      </w:pPr>
      <w:r w:rsidRPr="0045718F">
        <w:lastRenderedPageBreak/>
        <w:t>–</w:t>
      </w:r>
      <w:r w:rsidRPr="0045718F">
        <w:tab/>
        <w:t xml:space="preserve">ottaa huomioon budjettivaliokunnan mietinnön (A10-0080/2025), </w:t>
      </w:r>
    </w:p>
    <w:p w14:paraId="4C5E75A6" w14:textId="77777777" w:rsidR="00D50CEB" w:rsidRPr="0045718F" w:rsidRDefault="00D50CEB" w:rsidP="00284E0D">
      <w:pPr>
        <w:pStyle w:val="NormalHanging12a"/>
        <w:widowControl/>
        <w:rPr>
          <w:noProof/>
        </w:rPr>
      </w:pPr>
      <w:r w:rsidRPr="0045718F">
        <w:t>A.</w:t>
      </w:r>
      <w:r w:rsidRPr="0045718F">
        <w:tab/>
        <w:t>ottaa huomioon, että unioni on ottanut käyttöön lainsäädäntö- ja budjettivälineitä voidakseen tarjota lisätukea työntekijöille, jotka kärsivät maailmankaupan huomattavien rakenteellisten muutosten tai maailmanlaajuisen talous- ja rahoituskriisin seurauksista, ja auttaakseen heitä integroitumaan uudelleen työmarkkinoille; toteaa, että tuki annetaan rahoitustukena työntekijöille ja yrityksille, joiden palveluksessa he ovat työskennelleet;</w:t>
      </w:r>
    </w:p>
    <w:p w14:paraId="5ED43D3D" w14:textId="77777777" w:rsidR="00D50CEB" w:rsidRPr="0045718F" w:rsidRDefault="00D50CEB" w:rsidP="00284E0D">
      <w:pPr>
        <w:pStyle w:val="NormalHanging12a"/>
        <w:widowControl/>
      </w:pPr>
      <w:r w:rsidRPr="0045718F">
        <w:t>B.</w:t>
      </w:r>
      <w:r w:rsidRPr="0045718F">
        <w:tab/>
        <w:t xml:space="preserve">ottaa huomioon, että Belgia toimitti hakemuksen EGF/2024/003 BE/Van </w:t>
      </w:r>
      <w:proofErr w:type="spellStart"/>
      <w:r w:rsidRPr="0045718F">
        <w:t>Hool</w:t>
      </w:r>
      <w:proofErr w:type="spellEnd"/>
      <w:r w:rsidRPr="0045718F">
        <w:t xml:space="preserve"> rahoitustuen saamiseksi Euroopan globalisaatiorahastosta (EGR) sen jälkeen, kun NACE </w:t>
      </w:r>
      <w:proofErr w:type="spellStart"/>
      <w:r w:rsidRPr="0045718F">
        <w:t>Rev</w:t>
      </w:r>
      <w:proofErr w:type="spellEnd"/>
      <w:r w:rsidRPr="0045718F">
        <w:t>. 2:n kaksinumerotasoon 29 (moottoriajoneuvojen, perävaunujen ja puoliperävaunujen valmistus) luokitellulla toimialalla oli vähennetty 2 411 työntekijää</w:t>
      </w:r>
      <w:r w:rsidRPr="0045718F">
        <w:rPr>
          <w:rStyle w:val="FootnoteReference"/>
        </w:rPr>
        <w:footnoteReference w:id="5"/>
      </w:r>
      <w:r w:rsidRPr="0045718F">
        <w:t xml:space="preserve"> NUTS 2 -tason alueella </w:t>
      </w:r>
      <w:proofErr w:type="spellStart"/>
      <w:r w:rsidRPr="0045718F">
        <w:t>Provincie</w:t>
      </w:r>
      <w:proofErr w:type="spellEnd"/>
      <w:r w:rsidRPr="0045718F">
        <w:t xml:space="preserve"> Antwerpen (BE21) neljän kuukauden viiteajanjakson aikana 8. huhtikuuta 2024 – 8. elokuuta 2024; </w:t>
      </w:r>
    </w:p>
    <w:p w14:paraId="0F3E487F" w14:textId="77777777" w:rsidR="00D50CEB" w:rsidRPr="0045718F" w:rsidRDefault="00284E0D" w:rsidP="00284E0D">
      <w:pPr>
        <w:pStyle w:val="NormalHanging12a"/>
        <w:widowControl/>
      </w:pPr>
      <w:r>
        <w:t>C.</w:t>
      </w:r>
      <w:r w:rsidR="00D50CEB" w:rsidRPr="0045718F">
        <w:tab/>
        <w:t xml:space="preserve">ottaa huomioon, että hakemus koskee 2 411:tä Van </w:t>
      </w:r>
      <w:proofErr w:type="spellStart"/>
      <w:r w:rsidR="00D50CEB" w:rsidRPr="0045718F">
        <w:t>Hool</w:t>
      </w:r>
      <w:proofErr w:type="spellEnd"/>
      <w:r w:rsidR="00D50CEB" w:rsidRPr="0045718F">
        <w:t xml:space="preserve"> -yrityksen vähentämää työntekijää;</w:t>
      </w:r>
    </w:p>
    <w:p w14:paraId="636FE2DD" w14:textId="77777777" w:rsidR="00D50CEB" w:rsidRPr="0045718F" w:rsidRDefault="00284E0D" w:rsidP="00284E0D">
      <w:pPr>
        <w:pStyle w:val="NormalHanging12a"/>
        <w:widowControl/>
      </w:pPr>
      <w:r>
        <w:t>D.</w:t>
      </w:r>
      <w:r w:rsidR="00D50CEB" w:rsidRPr="0045718F">
        <w:tab/>
        <w:t>ottaa huomioon, että hakemus perustuu EGR-asetuksen 4 artiklan 2 kohdan a alakohdan toimintakriteeriin, jossa edellytyksenä on vähintään 200:n työttömäksi jääneen työntekijän tai itsenäisen ammatinharjoittajan työskentelyn loppuminen neljän kuukauden viiteajanjakson aikana jäsenvaltiossa sijaitsevassa yrityksessä, mukaan luettuina työntekijät, jotka vähennetään yrityksen toimittajien tai jatkojalostajien palveluksesta;</w:t>
      </w:r>
    </w:p>
    <w:p w14:paraId="565F1100" w14:textId="77777777" w:rsidR="00D50CEB" w:rsidRPr="0045718F" w:rsidRDefault="00284E0D" w:rsidP="00284E0D">
      <w:pPr>
        <w:pStyle w:val="NormalHanging12a"/>
        <w:widowControl/>
      </w:pPr>
      <w:r>
        <w:t>E.</w:t>
      </w:r>
      <w:r w:rsidR="00D50CEB" w:rsidRPr="0045718F">
        <w:tab/>
        <w:t>ottaa huomioon, että covid-19-pandemia vaikutti linja-autojen kysyntään ja Venäjän hyökkäyssota Ukrainaa vastaan on vaikuttanut kustannusrakenteeseen;</w:t>
      </w:r>
    </w:p>
    <w:p w14:paraId="181C093D" w14:textId="77777777" w:rsidR="00D50CEB" w:rsidRPr="0045718F" w:rsidRDefault="00284E0D" w:rsidP="00284E0D">
      <w:pPr>
        <w:pStyle w:val="NormalHanging12a"/>
        <w:widowControl/>
      </w:pPr>
      <w:r>
        <w:t>F.</w:t>
      </w:r>
      <w:r w:rsidR="00D50CEB" w:rsidRPr="0045718F">
        <w:tab/>
        <w:t>ottaa huomioon, että Euroopan autoteollisuuteen ja sen alihankintateollisuuteen kohdistuu ennennäkemättömiä paineita, jotka johtuvat sekä ulkoisista että sisäisistä haasteista, kuten kilpailun vääristymisestä etenkin sähköautoalalla Kiinan harjoittaman epäreilun tukipolitiikan takia ja korkeista energiakustannuksista, jotka johtuvat merkittävistä rakenneuudistuksista;</w:t>
      </w:r>
    </w:p>
    <w:p w14:paraId="069B33A5" w14:textId="77777777" w:rsidR="00D50CEB" w:rsidRPr="0045718F" w:rsidRDefault="00D50CEB" w:rsidP="00284E0D">
      <w:pPr>
        <w:pStyle w:val="NormalHanging12a"/>
        <w:widowControl/>
      </w:pPr>
      <w:r w:rsidRPr="0045718F">
        <w:t>G.</w:t>
      </w:r>
      <w:r w:rsidRPr="0045718F">
        <w:rPr>
          <w:color w:val="7030A0"/>
        </w:rPr>
        <w:tab/>
      </w:r>
      <w:r w:rsidRPr="0045718F">
        <w:t xml:space="preserve">ottaa huomioon, että Van </w:t>
      </w:r>
      <w:proofErr w:type="spellStart"/>
      <w:r w:rsidRPr="0045718F">
        <w:t>Hool</w:t>
      </w:r>
      <w:proofErr w:type="spellEnd"/>
      <w:r w:rsidRPr="0045718F">
        <w:t xml:space="preserve"> oli erikoistunut linja-autojen, johdinautojen ja perävaunujen valmistukseen; ottaa huomioon, että pandemian vaikutuksen seurauksena vähentynyt linja-autojen kysyntä johti Van </w:t>
      </w:r>
      <w:proofErr w:type="spellStart"/>
      <w:r w:rsidRPr="0045718F">
        <w:t>Hoolin</w:t>
      </w:r>
      <w:proofErr w:type="spellEnd"/>
      <w:r w:rsidRPr="0045718F">
        <w:t xml:space="preserve"> keskimääräisen myynnin supistumiseen Euroopassa ja kannattavuuden jyrkkään laskuun; ottaa huomioon, että inflaation kiihtyminen ja toimitusketjujen häiriintyminen lisäsivät entisestään yrityksen marginaaleihin kohdistuvia paineita; </w:t>
      </w:r>
    </w:p>
    <w:p w14:paraId="0B18E330" w14:textId="77777777" w:rsidR="00D50CEB" w:rsidRPr="0045718F" w:rsidRDefault="00D50CEB" w:rsidP="00284E0D">
      <w:pPr>
        <w:pStyle w:val="NormalHanging12a"/>
        <w:widowControl/>
      </w:pPr>
      <w:r w:rsidRPr="0045718F">
        <w:t>H.</w:t>
      </w:r>
      <w:r w:rsidRPr="0045718F">
        <w:tab/>
        <w:t>ottaa huomioon, että yritys noudatti Belgian lainsäädäntöä pakollisesta menettelystä työntekijöiden edustajille tiedottamista ja heidän kuulemistaan varten; ottaa huomioon, että konkurssitapauksissa ei sovelleta vaatimusta perustaa työllistämisyksikkö, jonka tarkoituksena on tarjota joukkovähentämisten yhteydessä irtisanotuille työntekijöi</w:t>
      </w:r>
      <w:r w:rsidR="00284E0D">
        <w:t>lle uudelleensijoituspalveluja;</w:t>
      </w:r>
    </w:p>
    <w:p w14:paraId="54D05C49" w14:textId="77777777" w:rsidR="00D50CEB" w:rsidRPr="0045718F" w:rsidRDefault="00D50CEB" w:rsidP="00284E0D">
      <w:pPr>
        <w:pStyle w:val="NormalHanging12a"/>
        <w:widowControl/>
      </w:pPr>
      <w:r w:rsidRPr="0045718F">
        <w:t>I.</w:t>
      </w:r>
      <w:r w:rsidRPr="0045718F">
        <w:tab/>
        <w:t xml:space="preserve">toteaa, että </w:t>
      </w:r>
      <w:proofErr w:type="spellStart"/>
      <w:r w:rsidRPr="0045718F">
        <w:t>EGR:n</w:t>
      </w:r>
      <w:proofErr w:type="spellEnd"/>
      <w:r w:rsidRPr="0045718F">
        <w:t xml:space="preserve"> rahoitustuki olisi keskitettävä ensisijaisesti aktiivisiin työvoimapoliittisiin toimenpiteisiin ja yksilöllisiin palveluihin, joilla pyritään integroimaan edunsaajat nopeasti takaisin ihmisarvoisiin ja kestäviin työpaikkoihin joko </w:t>
      </w:r>
      <w:r w:rsidRPr="0045718F">
        <w:lastRenderedPageBreak/>
        <w:t>entisellä toimialalla tai sen ulkopuolella samalla, kun heitä valmistellaan vihreämpään ja digitaalisempaan eurooppalaiseen talouteen;</w:t>
      </w:r>
    </w:p>
    <w:p w14:paraId="58715108" w14:textId="77777777" w:rsidR="00D50CEB" w:rsidRPr="0045718F" w:rsidRDefault="00D50CEB" w:rsidP="00284E0D">
      <w:pPr>
        <w:pStyle w:val="NormalHanging12a"/>
        <w:widowControl/>
      </w:pPr>
      <w:r w:rsidRPr="0045718F">
        <w:t>J.</w:t>
      </w:r>
      <w:r w:rsidRPr="0045718F">
        <w:tab/>
        <w:t>ottaa huomioon, että Flanderin työvoimapalvelu (VDAB) myöntää toimenpiteitä koskevaa ennakkorahoitusta ja yhteisrahoitusta;</w:t>
      </w:r>
    </w:p>
    <w:p w14:paraId="0E3E8B0F" w14:textId="77777777" w:rsidR="00D50CEB" w:rsidRPr="00284E0D" w:rsidRDefault="00D50CEB" w:rsidP="00284E0D">
      <w:pPr>
        <w:pStyle w:val="NormalHanging12a"/>
        <w:widowControl/>
      </w:pPr>
      <w:r w:rsidRPr="0045718F">
        <w:t>K.</w:t>
      </w:r>
      <w:r w:rsidRPr="00284E0D">
        <w:tab/>
      </w:r>
      <w:r w:rsidRPr="0045718F">
        <w:t>ottaa huomioon, että EGR ei saa ylittää 30 miljoonan euron vuotuista enimmäismäärää (vuoden 2018 hintoina), kuten asetuksen (EU, Euratom) 2020/2093 8 artiklassa, sellaisena kuin se on muutettuna asetuksella (EU, Euratom) 2024/765, säädetään; toteaa, että moitteettoman varainhoidon periaatteen mukaisesti käyttämättömät rahoitusosuudet olisi maksettava takaisin komissiolle;</w:t>
      </w:r>
    </w:p>
    <w:p w14:paraId="10696830" w14:textId="77777777" w:rsidR="00D50CEB" w:rsidRPr="0045718F" w:rsidRDefault="00D50CEB" w:rsidP="00284E0D">
      <w:pPr>
        <w:pStyle w:val="NormalHanging12a"/>
        <w:widowControl/>
      </w:pPr>
      <w:r w:rsidRPr="0045718F">
        <w:t>1.</w:t>
      </w:r>
      <w:r w:rsidRPr="0045718F">
        <w:tab/>
        <w:t>on yhtä mieltä komission kanssa siitä, että EGR-asetuksen 4 artiklan 2 kohdan a alakohdassa säädetyt edellytykset täyttyvät ja että Belgia on oikeutettu saamaan kyseisen asetuksen mukaista rahoitustukea 7 999 015 euroa eli 85 prosenttia 9 410 607 euron kokonaiskustannuksista, joista yksilöllisten palvelujen osuus on 9 034 607 euroa ja valmistelu-, hallinnointi-, tiedotus-, mainonta-, valvonta- ja raportointitoimien osuus 376 000 euroa;</w:t>
      </w:r>
    </w:p>
    <w:p w14:paraId="36CEB395" w14:textId="77777777" w:rsidR="00D50CEB" w:rsidRPr="0045718F" w:rsidRDefault="00284E0D" w:rsidP="00284E0D">
      <w:pPr>
        <w:pStyle w:val="NormalHanging12a"/>
        <w:widowControl/>
      </w:pPr>
      <w:r>
        <w:t>2.</w:t>
      </w:r>
      <w:r w:rsidR="00D50CEB" w:rsidRPr="0045718F">
        <w:tab/>
        <w:t xml:space="preserve">toteaa, että Belgian viranomaiset jättivät hakemuksen 29. lokakuuta 2024 ja että Belgian toimitettua lisätietoja komissio sai hakemusta koskevan arvionsa valmiiksi 26. maaliskuuta 2025 ja ilmoitti asiasta parlamentille samana päivänä; </w:t>
      </w:r>
    </w:p>
    <w:p w14:paraId="32CC332C" w14:textId="77777777" w:rsidR="00D50CEB" w:rsidRPr="0045718F" w:rsidRDefault="00D50CEB" w:rsidP="00284E0D">
      <w:pPr>
        <w:pStyle w:val="NormalHanging12a"/>
        <w:widowControl/>
      </w:pPr>
      <w:r w:rsidRPr="0045718F">
        <w:t>3.</w:t>
      </w:r>
      <w:r w:rsidRPr="0045718F">
        <w:tab/>
        <w:t xml:space="preserve">ottaa huomioon, että hakemus koskee 2 411:tä Van </w:t>
      </w:r>
      <w:proofErr w:type="spellStart"/>
      <w:r w:rsidRPr="0045718F">
        <w:t>Hool</w:t>
      </w:r>
      <w:proofErr w:type="spellEnd"/>
      <w:r w:rsidRPr="0045718F">
        <w:t xml:space="preserve"> -yrityksen vähentämää työntekijää; toteaa lisäksi, että kohteena olevien edunsaajien kokonaismäärä on 2 397 työntekijää;</w:t>
      </w:r>
    </w:p>
    <w:p w14:paraId="5ED3E2DE" w14:textId="6BF3984D" w:rsidR="00D50CEB" w:rsidRPr="0045718F" w:rsidRDefault="00D50CEB" w:rsidP="00284E0D">
      <w:pPr>
        <w:pStyle w:val="NormalHanging12a"/>
        <w:widowControl/>
      </w:pPr>
      <w:r w:rsidRPr="0045718F">
        <w:t>4.</w:t>
      </w:r>
      <w:r w:rsidRPr="0045718F">
        <w:tab/>
        <w:t xml:space="preserve">korostaa, että Belgian yrittäjien keskusliiton (VBO) mukaan teollisuuden tilanne on tällä hetkellä heikentymässä Belgiassa; </w:t>
      </w:r>
      <w:r w:rsidR="00284E0D">
        <w:t>ottaa huomioon</w:t>
      </w:r>
      <w:r w:rsidRPr="0045718F">
        <w:t>, että teollisuudella on perinteisesti ollut merkittävä asema Lierissä, minkä vuoksi teollisuuden taantuminen vaikuttaa merkittävästi Lierin työmarkkinoihin; korostaa, että Lierissä tarjolla olevien teollisuustyöpaikkojen määrä väheni 13 prosenttia vuonna 2023;</w:t>
      </w:r>
    </w:p>
    <w:p w14:paraId="01B34E39" w14:textId="148A5CFF" w:rsidR="00D50CEB" w:rsidRPr="0045718F" w:rsidRDefault="00D50CEB" w:rsidP="00284E0D">
      <w:pPr>
        <w:pStyle w:val="NormalHanging12a"/>
        <w:widowControl/>
      </w:pPr>
      <w:r w:rsidRPr="0045718F">
        <w:t>5.</w:t>
      </w:r>
      <w:r w:rsidRPr="0045718F">
        <w:tab/>
        <w:t>huomauttaa, että työttömiksi jääneistä työntekijöistä kolmasosa on vähintään 50</w:t>
      </w:r>
      <w:r w:rsidRPr="0045718F">
        <w:noBreakHyphen/>
        <w:t>vuotiaita ja 80 prosentilla on enintään toisen asteen koulutus ja vanhentuneet taidot; korostaa, että kun otetaan huomioon avointen työpaikkojen määrän laskusuuntaus ja maantieteellinen jakauma, työtekijät tarvitsevat kohdennettua tukea, jossa keskitytään täydennys- ja uudelleenkoulutukseen, jotta voidaan parantaa heidän mahdollisuuksiaan palata töihin; katsoo, että unioni ja jäsenvaltio</w:t>
      </w:r>
      <w:r w:rsidR="00CA45F3">
        <w:t xml:space="preserve">t ovat yhteiskunnallisessa vastuussa siitä, että </w:t>
      </w:r>
      <w:r w:rsidRPr="0045718F">
        <w:t>asianomaisille työntekijöille</w:t>
      </w:r>
      <w:r w:rsidR="00CA45F3">
        <w:t xml:space="preserve"> tarjotaan</w:t>
      </w:r>
      <w:r w:rsidRPr="0045718F">
        <w:t xml:space="preserve"> mahdollisuus hankkia tarvittava pätevyys tulevaan työhön;</w:t>
      </w:r>
    </w:p>
    <w:p w14:paraId="56CC7F94" w14:textId="77777777" w:rsidR="00D50CEB" w:rsidRPr="0045718F" w:rsidRDefault="00D50CEB" w:rsidP="00284E0D">
      <w:pPr>
        <w:pStyle w:val="NormalHanging12a"/>
        <w:widowControl/>
      </w:pPr>
      <w:r w:rsidRPr="0045718F">
        <w:t>6.</w:t>
      </w:r>
      <w:r w:rsidRPr="0045718F">
        <w:tab/>
        <w:t>suhtautuu myönteisesti siihen, että työntekijöille tarjottavat yksilölliset palvelut koostuvat seuraavista toimista: sosiaalitoimista vastaava neuvonantaja ja työntekijöiden rekisteröinti, uudelleensijoitus, työnhaun tuki ja työnvälitys, ammatinvalintaohjaus, uudelleenkoulutus ja ammatillinen koulutus sekä työpaikalla annettava koulutus; korostaa erityisesti palveluja, jotka liittyvät kohdennettuun tukeen ja henkilökohtaiseen arviointiin, sekä tieto- ja viestintätekniikan koulutusta, joka edistää digiteollisella aikakaudella tarvittavaa täydennyskoulutusta;</w:t>
      </w:r>
    </w:p>
    <w:p w14:paraId="7E47244F" w14:textId="77777777" w:rsidR="00D50CEB" w:rsidRPr="0045718F" w:rsidRDefault="00D50CEB" w:rsidP="00284E0D">
      <w:pPr>
        <w:pStyle w:val="NormalHanging12a"/>
        <w:widowControl/>
      </w:pPr>
      <w:r w:rsidRPr="0045718F">
        <w:t>7.</w:t>
      </w:r>
      <w:r w:rsidRPr="0045718F">
        <w:tab/>
        <w:t xml:space="preserve">panee merkille, että Belgia aloitti yksilöllisten palvelujen tarjoamisen kohteena oleville edunsaajille 22. huhtikuuta 2024 ja että toimenpiteisiin liittyviin menoihin voidaan näin </w:t>
      </w:r>
      <w:r w:rsidRPr="0045718F">
        <w:lastRenderedPageBreak/>
        <w:t xml:space="preserve">ollen myöntää </w:t>
      </w:r>
      <w:proofErr w:type="spellStart"/>
      <w:r w:rsidRPr="0045718F">
        <w:t>EGR:n</w:t>
      </w:r>
      <w:proofErr w:type="spellEnd"/>
      <w:r w:rsidRPr="0045718F">
        <w:t xml:space="preserve"> rahoitustukea kaudella, joka alkaa kyseisestä päivästä ja päättyy 24 kuukauden kuluttua rahoituspäätöksen voimaantulopäivästä;</w:t>
      </w:r>
    </w:p>
    <w:p w14:paraId="0A48EFDA" w14:textId="77777777" w:rsidR="00D50CEB" w:rsidRPr="0045718F" w:rsidRDefault="00D50CEB" w:rsidP="00284E0D">
      <w:pPr>
        <w:pStyle w:val="NormalHanging12a"/>
        <w:widowControl/>
        <w:rPr>
          <w:sz w:val="23"/>
          <w:szCs w:val="23"/>
        </w:rPr>
      </w:pPr>
      <w:r w:rsidRPr="0045718F">
        <w:t>8.</w:t>
      </w:r>
      <w:r w:rsidRPr="0045718F">
        <w:tab/>
        <w:t xml:space="preserve">toteaa, että Belgialle on aiheutunut hallinnollisia menoja </w:t>
      </w:r>
      <w:proofErr w:type="spellStart"/>
      <w:r w:rsidRPr="0045718F">
        <w:t>EGR:n</w:t>
      </w:r>
      <w:proofErr w:type="spellEnd"/>
      <w:r w:rsidRPr="0045718F">
        <w:t xml:space="preserve"> täytäntöönpanosta 14. maaliskuuta 2024 lähtien ja että näihin toimiin liittyviin menoihin voidaan näin ollen myöntää </w:t>
      </w:r>
      <w:proofErr w:type="spellStart"/>
      <w:r w:rsidRPr="0045718F">
        <w:t>EGR:n</w:t>
      </w:r>
      <w:proofErr w:type="spellEnd"/>
      <w:r w:rsidRPr="0045718F">
        <w:t xml:space="preserve"> rahoitustukea kaudella, joka alkaa kyseisestä päivästä ja päättyy 31 kuukauden kuluttua rahoituspäätöksen voimaantulopäivästä;</w:t>
      </w:r>
    </w:p>
    <w:p w14:paraId="2B262921" w14:textId="77777777" w:rsidR="00D50CEB" w:rsidRPr="0045718F" w:rsidRDefault="00D50CEB" w:rsidP="00284E0D">
      <w:pPr>
        <w:pStyle w:val="NormalHanging12a"/>
        <w:widowControl/>
      </w:pPr>
      <w:r w:rsidRPr="0045718F">
        <w:t>9.</w:t>
      </w:r>
      <w:r w:rsidRPr="0045718F">
        <w:tab/>
        <w:t>painottaa Belgian viranomaisten vakuuttaneen, että suunniteltuihin toimiin osallistumisen ja täytäntöönpanon osalta noudatetaan yhdenvertaisen kohtelun ja syrjimättömyyden periaatteita ja että kaksinkertainen rahoitus estetään;</w:t>
      </w:r>
    </w:p>
    <w:p w14:paraId="7204B3E6" w14:textId="77777777" w:rsidR="00D50CEB" w:rsidRPr="0045718F" w:rsidRDefault="00D50CEB" w:rsidP="00284E0D">
      <w:pPr>
        <w:pStyle w:val="NormalHanging12a"/>
        <w:widowControl/>
      </w:pPr>
      <w:r w:rsidRPr="0045718F">
        <w:t>10.</w:t>
      </w:r>
      <w:r w:rsidRPr="0045718F">
        <w:tab/>
        <w:t>muistuttaa, että Belgian viranomaisten on varmistettava, että miesten ja naisten tasa</w:t>
      </w:r>
      <w:r w:rsidRPr="0045718F">
        <w:noBreakHyphen/>
        <w:t>arvo ja sukupuolinäkökulman huomioon ottaminen ovat olennainen osa täytäntöönpanoa ja että niitä edistetään koko täytäntöönpanokauden ajan;</w:t>
      </w:r>
    </w:p>
    <w:p w14:paraId="39766163" w14:textId="77777777" w:rsidR="00D50CEB" w:rsidRPr="0045718F" w:rsidRDefault="00D50CEB" w:rsidP="00284E0D">
      <w:pPr>
        <w:pStyle w:val="NormalHanging12a"/>
        <w:widowControl/>
      </w:pPr>
      <w:r w:rsidRPr="0045718F">
        <w:t>11.</w:t>
      </w:r>
      <w:r w:rsidRPr="0045718F">
        <w:tab/>
        <w:t>toteaa jälleen, ettei EGR-tuki saa korvata toimenpiteitä, jotka kuuluvat yritysten vastuulle kansallisen lainsäädännön tai työehtosopimusten nojalla;</w:t>
      </w:r>
    </w:p>
    <w:p w14:paraId="0D82DCEC" w14:textId="77777777" w:rsidR="00D50CEB" w:rsidRPr="0045718F" w:rsidRDefault="00D50CEB" w:rsidP="00284E0D">
      <w:pPr>
        <w:pStyle w:val="NormalHanging12a"/>
        <w:widowControl/>
      </w:pPr>
      <w:r w:rsidRPr="0045718F">
        <w:t>12.</w:t>
      </w:r>
      <w:r w:rsidRPr="0045718F">
        <w:tab/>
        <w:t xml:space="preserve">muistuttaa, että Belgian viranomaisten on ilmaistava rahoituksen alkuperä, varmistettava unionin rahoituksen näkyvyys ja korostettava toimenpiteen tuomaa unionin lisäarvoa ja tarjottava siksi johdonmukaista, vaikuttavaa ja kohdennettua tietoa eri kohderyhmille, mukaan lukien kohdennettu tiedottaminen edunsaajille, </w:t>
      </w:r>
      <w:proofErr w:type="spellStart"/>
      <w:r w:rsidRPr="0045718F">
        <w:t>paikallis</w:t>
      </w:r>
      <w:proofErr w:type="spellEnd"/>
      <w:r w:rsidRPr="0045718F">
        <w:t>- ja alueviranomaisille, työmarkkinaosapuolille, tiedotusvälineille ja suurelle yleisölle;</w:t>
      </w:r>
    </w:p>
    <w:p w14:paraId="706207EC" w14:textId="77777777" w:rsidR="00D50CEB" w:rsidRPr="0045718F" w:rsidRDefault="00D50CEB" w:rsidP="00284E0D">
      <w:pPr>
        <w:pStyle w:val="NormalHanging12a"/>
        <w:widowControl/>
      </w:pPr>
      <w:r w:rsidRPr="0045718F">
        <w:t>13.</w:t>
      </w:r>
      <w:r w:rsidRPr="0045718F">
        <w:tab/>
        <w:t>hyväksyy tämän päätöslauselman liitteenä olevan päätöksen;</w:t>
      </w:r>
    </w:p>
    <w:p w14:paraId="7BD6DFCB" w14:textId="77777777" w:rsidR="00D50CEB" w:rsidRPr="0045718F" w:rsidRDefault="00D50CEB" w:rsidP="00284E0D">
      <w:pPr>
        <w:pStyle w:val="NormalHanging12a"/>
        <w:widowControl/>
      </w:pPr>
      <w:r w:rsidRPr="0045718F">
        <w:t>14.</w:t>
      </w:r>
      <w:r w:rsidRPr="0045718F">
        <w:tab/>
        <w:t xml:space="preserve">kehottaa puhemiestä allekirjoittamaan päätöksen neuvoston puheenjohtajan kanssa ja huolehtimaan sen julkaisemisesta </w:t>
      </w:r>
      <w:r w:rsidRPr="0045718F">
        <w:rPr>
          <w:i/>
        </w:rPr>
        <w:t>Euroopan unionin virallisessa lehdessä</w:t>
      </w:r>
      <w:r w:rsidRPr="0045718F">
        <w:t>;</w:t>
      </w:r>
    </w:p>
    <w:p w14:paraId="7D5460B5" w14:textId="77777777" w:rsidR="00D50CEB" w:rsidRPr="0045718F" w:rsidRDefault="00D50CEB" w:rsidP="00284E0D">
      <w:pPr>
        <w:pStyle w:val="NormalHanging12a"/>
        <w:widowControl/>
        <w:sectPr w:rsidR="00D50CEB" w:rsidRPr="0045718F" w:rsidSect="0045718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45718F">
        <w:t>15.</w:t>
      </w:r>
      <w:r w:rsidRPr="0045718F">
        <w:tab/>
        <w:t>kehottaa puhemiestä välittämään tämän päätöslauselman liitteineen neuvostolle ja komissiolle.</w:t>
      </w:r>
    </w:p>
    <w:p w14:paraId="13B72CAD" w14:textId="77777777" w:rsidR="00065559" w:rsidRPr="00065559" w:rsidRDefault="00065559" w:rsidP="00284E0D">
      <w:pPr>
        <w:pStyle w:val="PageHeading"/>
        <w:widowControl/>
        <w:rPr>
          <w:rFonts w:ascii="Times New Roman" w:hAnsi="Times New Roman" w:cs="Times New Roman"/>
        </w:rPr>
      </w:pPr>
      <w:bookmarkStart w:id="8" w:name="_Toc197338361"/>
      <w:r w:rsidRPr="00065559">
        <w:rPr>
          <w:rFonts w:ascii="Times New Roman" w:hAnsi="Times New Roman" w:cs="Times New Roman"/>
        </w:rPr>
        <w:lastRenderedPageBreak/>
        <w:t>LIITE</w:t>
      </w:r>
    </w:p>
    <w:p w14:paraId="290F0A99" w14:textId="3F76B616" w:rsidR="00D50CEB" w:rsidRPr="00065559" w:rsidRDefault="00D50CEB" w:rsidP="00284E0D">
      <w:pPr>
        <w:pStyle w:val="PageHeading"/>
        <w:widowControl/>
        <w:rPr>
          <w:rFonts w:ascii="Times New Roman" w:hAnsi="Times New Roman" w:cs="Times New Roman"/>
          <w:noProof/>
        </w:rPr>
      </w:pPr>
      <w:r w:rsidRPr="00065559">
        <w:rPr>
          <w:rFonts w:ascii="Times New Roman" w:hAnsi="Times New Roman" w:cs="Times New Roman"/>
          <w:caps/>
        </w:rPr>
        <w:t>Euroopan parlamentin ja neuvoston päätös</w:t>
      </w:r>
      <w:bookmarkEnd w:id="8"/>
    </w:p>
    <w:p w14:paraId="41165963" w14:textId="6C720B63" w:rsidR="00D50CEB" w:rsidRDefault="00D50CEB" w:rsidP="00065559">
      <w:pPr>
        <w:widowControl/>
        <w:spacing w:after="480"/>
        <w:rPr>
          <w:b/>
        </w:rPr>
      </w:pPr>
      <w:r w:rsidRPr="0045718F">
        <w:rPr>
          <w:b/>
        </w:rPr>
        <w:t xml:space="preserve">työttömiksi jääneitä työntekijöitä tukevan Euroopan globalisaatiorahaston varojen käyttöönotosta Belgian hakemuksen johdosta (EGF/2024/003 BE/Van </w:t>
      </w:r>
      <w:proofErr w:type="spellStart"/>
      <w:r w:rsidRPr="0045718F">
        <w:rPr>
          <w:b/>
        </w:rPr>
        <w:t>Hool</w:t>
      </w:r>
      <w:proofErr w:type="spellEnd"/>
      <w:r w:rsidRPr="0045718F">
        <w:rPr>
          <w:b/>
        </w:rPr>
        <w:t>)</w:t>
      </w:r>
    </w:p>
    <w:p w14:paraId="6E2BC0C9" w14:textId="3A83D470" w:rsidR="00065559" w:rsidRPr="0045718F" w:rsidRDefault="00065559" w:rsidP="00065559">
      <w:pPr>
        <w:suppressAutoHyphens/>
        <w:rPr>
          <w:b/>
          <w:bCs/>
          <w:noProof/>
        </w:rPr>
      </w:pPr>
      <w:r w:rsidRPr="008046BC">
        <w:rPr>
          <w:i/>
          <w:szCs w:val="24"/>
        </w:rPr>
        <w:t xml:space="preserve">(Euroopan parlamentin ja neuvoston päästyä sopimukseen parlamentin kanta vastaa lopullista säädöstä, </w:t>
      </w:r>
      <w:r w:rsidRPr="00065559">
        <w:rPr>
          <w:i/>
          <w:szCs w:val="24"/>
        </w:rPr>
        <w:t xml:space="preserve">päätöstä </w:t>
      </w:r>
      <w:r w:rsidRPr="00065559">
        <w:rPr>
          <w:rStyle w:val="Emphasis"/>
        </w:rPr>
        <w:t>(EU) 2025/1018.)</w:t>
      </w:r>
    </w:p>
    <w:sectPr w:rsidR="00065559" w:rsidRPr="0045718F" w:rsidSect="0045718F">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86C46" w14:textId="77777777" w:rsidR="00397514" w:rsidRPr="0045718F" w:rsidRDefault="00397514">
      <w:r w:rsidRPr="0045718F">
        <w:separator/>
      </w:r>
    </w:p>
  </w:endnote>
  <w:endnote w:type="continuationSeparator" w:id="0">
    <w:p w14:paraId="76D4C165" w14:textId="77777777" w:rsidR="00397514" w:rsidRPr="0045718F" w:rsidRDefault="00397514">
      <w:r w:rsidRPr="004571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AB62A" w14:textId="77777777" w:rsidR="00D50CEB" w:rsidRPr="0045718F" w:rsidRDefault="00D50CEB" w:rsidP="001939AF">
    <w:pPr>
      <w:pStyle w:val="EPFooter"/>
    </w:pPr>
    <w:r w:rsidRPr="0045718F">
      <w:t>PE</w:t>
    </w:r>
    <w:r w:rsidRPr="0045718F">
      <w:rPr>
        <w:rStyle w:val="HideTWBExt"/>
      </w:rPr>
      <w:t>&lt;NoPE&gt;</w:t>
    </w:r>
    <w:r w:rsidRPr="0045718F">
      <w:t>771.884</w:t>
    </w:r>
    <w:r w:rsidRPr="0045718F">
      <w:rPr>
        <w:rStyle w:val="HideTWBExt"/>
      </w:rPr>
      <w:t>&lt;/NoPE&gt;&lt;Version&gt;</w:t>
    </w:r>
    <w:r w:rsidRPr="0045718F">
      <w:t>v03-00</w:t>
    </w:r>
    <w:r w:rsidRPr="0045718F">
      <w:rPr>
        <w:rStyle w:val="HideTWBExt"/>
      </w:rPr>
      <w:t>&lt;/Version&gt;</w:t>
    </w:r>
    <w:r w:rsidRPr="0045718F">
      <w:tab/>
    </w:r>
    <w:r w:rsidRPr="0045718F">
      <w:fldChar w:fldCharType="begin"/>
    </w:r>
    <w:r w:rsidRPr="0045718F">
      <w:instrText xml:space="preserve"> PAGE  \* MERGEFORMAT </w:instrText>
    </w:r>
    <w:r w:rsidRPr="0045718F">
      <w:fldChar w:fldCharType="separate"/>
    </w:r>
    <w:r w:rsidRPr="0045718F">
      <w:rPr>
        <w:noProof/>
      </w:rPr>
      <w:t>4</w:t>
    </w:r>
    <w:r w:rsidRPr="0045718F">
      <w:fldChar w:fldCharType="end"/>
    </w:r>
    <w:r w:rsidRPr="0045718F">
      <w:t>/</w:t>
    </w:r>
    <w:r w:rsidR="00065559">
      <w:fldChar w:fldCharType="begin"/>
    </w:r>
    <w:r w:rsidR="00065559">
      <w:instrText xml:space="preserve"> NUMPAGES  \* MERGEFORMAT </w:instrText>
    </w:r>
    <w:r w:rsidR="00065559">
      <w:fldChar w:fldCharType="separate"/>
    </w:r>
    <w:r w:rsidRPr="0045718F">
      <w:rPr>
        <w:noProof/>
      </w:rPr>
      <w:t>4</w:t>
    </w:r>
    <w:r w:rsidR="00065559">
      <w:rPr>
        <w:noProof/>
      </w:rPr>
      <w:fldChar w:fldCharType="end"/>
    </w:r>
    <w:r w:rsidRPr="0045718F">
      <w:tab/>
    </w:r>
    <w:r w:rsidRPr="0045718F">
      <w:rPr>
        <w:rStyle w:val="HideTWBExt"/>
      </w:rPr>
      <w:t>&lt;PathFdR&gt;</w:t>
    </w:r>
    <w:r w:rsidRPr="0045718F">
      <w:t>RR\1320028FI.docx</w:t>
    </w:r>
    <w:r w:rsidRPr="0045718F">
      <w:rPr>
        <w:rStyle w:val="HideTWBExt"/>
      </w:rPr>
      <w:t>&lt;/PathFdR&gt;</w:t>
    </w:r>
  </w:p>
  <w:p w14:paraId="100B1F36" w14:textId="77777777" w:rsidR="00D50CEB" w:rsidRPr="0045718F" w:rsidRDefault="00D50CEB" w:rsidP="001939AF">
    <w:pPr>
      <w:pStyle w:val="EPFooter2"/>
    </w:pPr>
    <w:r w:rsidRPr="0045718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C9A60" w14:textId="77777777" w:rsidR="00D50CEB" w:rsidRPr="0045718F" w:rsidRDefault="00D50CEB" w:rsidP="001939AF">
    <w:pPr>
      <w:pStyle w:val="EPFooter"/>
    </w:pPr>
    <w:r w:rsidRPr="0045718F">
      <w:rPr>
        <w:rStyle w:val="HideTWBExt"/>
      </w:rPr>
      <w:t>&lt;PathFdR&gt;</w:t>
    </w:r>
    <w:r w:rsidRPr="0045718F">
      <w:t>RR\1320028FI.docx</w:t>
    </w:r>
    <w:r w:rsidRPr="0045718F">
      <w:rPr>
        <w:rStyle w:val="HideTWBExt"/>
      </w:rPr>
      <w:t>&lt;/PathFdR&gt;</w:t>
    </w:r>
    <w:r w:rsidRPr="0045718F">
      <w:tab/>
    </w:r>
    <w:r w:rsidRPr="0045718F">
      <w:tab/>
      <w:t>PE</w:t>
    </w:r>
    <w:r w:rsidRPr="0045718F">
      <w:rPr>
        <w:rStyle w:val="HideTWBExt"/>
      </w:rPr>
      <w:t>&lt;NoPE&gt;</w:t>
    </w:r>
    <w:r w:rsidRPr="0045718F">
      <w:t>771.884</w:t>
    </w:r>
    <w:r w:rsidRPr="0045718F">
      <w:rPr>
        <w:rStyle w:val="HideTWBExt"/>
      </w:rPr>
      <w:t>&lt;/NoPE&gt;&lt;Version&gt;</w:t>
    </w:r>
    <w:r w:rsidRPr="0045718F">
      <w:t>v03-00</w:t>
    </w:r>
    <w:r w:rsidRPr="0045718F">
      <w:rPr>
        <w:rStyle w:val="HideTWBExt"/>
      </w:rPr>
      <w:t>&lt;/Version&gt;</w:t>
    </w:r>
  </w:p>
  <w:p w14:paraId="425B3E1D" w14:textId="77777777" w:rsidR="00D50CEB" w:rsidRPr="0045718F" w:rsidRDefault="00D50CEB" w:rsidP="001939AF">
    <w:pPr>
      <w:pStyle w:val="EPFooter2"/>
    </w:pPr>
    <w:r w:rsidRPr="0045718F">
      <w:t>FI</w:t>
    </w:r>
    <w:r w:rsidRPr="0045718F">
      <w:tab/>
    </w:r>
    <w:r w:rsidRPr="0045718F">
      <w:rPr>
        <w:b w:val="0"/>
        <w:i/>
        <w:color w:val="C0C0C0"/>
        <w:sz w:val="22"/>
      </w:rPr>
      <w:t>Moninaisuudessaan yhtenäinen</w:t>
    </w:r>
    <w:r w:rsidRPr="0045718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3EC4C" w14:textId="77777777" w:rsidR="00064002" w:rsidRPr="0045718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BA5BE" w14:textId="77777777" w:rsidR="00064002" w:rsidRPr="004571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96214" w14:textId="77777777" w:rsidR="00397514" w:rsidRPr="0045718F" w:rsidRDefault="00397514">
      <w:r w:rsidRPr="0045718F">
        <w:separator/>
      </w:r>
    </w:p>
  </w:footnote>
  <w:footnote w:type="continuationSeparator" w:id="0">
    <w:p w14:paraId="5C151471" w14:textId="77777777" w:rsidR="00397514" w:rsidRPr="0045718F" w:rsidRDefault="00397514">
      <w:r w:rsidRPr="0045718F">
        <w:continuationSeparator/>
      </w:r>
    </w:p>
  </w:footnote>
  <w:footnote w:id="1">
    <w:p w14:paraId="6A80B52C" w14:textId="45B4E718" w:rsidR="00D50CEB" w:rsidRPr="0045718F" w:rsidRDefault="00D50CEB" w:rsidP="0045718F">
      <w:pPr>
        <w:pStyle w:val="FootnoteText"/>
        <w:ind w:left="567" w:hanging="567"/>
        <w:rPr>
          <w:sz w:val="24"/>
          <w:lang w:val="fi-FI"/>
        </w:rPr>
      </w:pPr>
      <w:r w:rsidRPr="0045718F">
        <w:rPr>
          <w:rStyle w:val="FootnoteReference"/>
          <w:sz w:val="24"/>
          <w:lang w:val="fi-FI"/>
        </w:rPr>
        <w:footnoteRef/>
      </w:r>
      <w:r w:rsidR="0045718F" w:rsidRPr="0045718F">
        <w:rPr>
          <w:sz w:val="24"/>
          <w:lang w:val="fi-FI"/>
        </w:rPr>
        <w:t xml:space="preserve"> </w:t>
      </w:r>
      <w:r w:rsidR="0045718F" w:rsidRPr="0045718F">
        <w:rPr>
          <w:sz w:val="24"/>
          <w:lang w:val="fi-FI"/>
        </w:rPr>
        <w:tab/>
      </w:r>
      <w:r w:rsidRPr="0045718F">
        <w:rPr>
          <w:sz w:val="24"/>
          <w:lang w:val="fi-FI"/>
        </w:rPr>
        <w:t xml:space="preserve">EUVL L 153, 3.5.2021, s. 48, ELI: </w:t>
      </w:r>
      <w:hyperlink r:id="rId1" w:history="1">
        <w:r w:rsidR="00CA45F3" w:rsidRPr="00B1106B">
          <w:rPr>
            <w:rStyle w:val="Hyperlink"/>
            <w:sz w:val="24"/>
            <w:lang w:val="fi-FI"/>
          </w:rPr>
          <w:t>http://data.europa.eu/eli/reg/2021/691/oj</w:t>
        </w:r>
      </w:hyperlink>
      <w:r w:rsidRPr="0045718F">
        <w:rPr>
          <w:sz w:val="24"/>
          <w:lang w:val="fi-FI"/>
        </w:rPr>
        <w:t>.</w:t>
      </w:r>
    </w:p>
  </w:footnote>
  <w:footnote w:id="2">
    <w:p w14:paraId="66B35B48" w14:textId="7BBB863C" w:rsidR="00D50CEB" w:rsidRPr="0045718F" w:rsidRDefault="00D50CEB" w:rsidP="0045718F">
      <w:pPr>
        <w:pStyle w:val="FootnoteText"/>
        <w:ind w:left="567" w:hanging="567"/>
        <w:rPr>
          <w:sz w:val="24"/>
          <w:lang w:val="fi-FI"/>
        </w:rPr>
      </w:pPr>
      <w:r w:rsidRPr="0045718F">
        <w:rPr>
          <w:rStyle w:val="FootnoteReference"/>
          <w:sz w:val="24"/>
          <w:lang w:val="fi-FI"/>
        </w:rPr>
        <w:footnoteRef/>
      </w:r>
      <w:r w:rsidR="0045718F" w:rsidRPr="0045718F">
        <w:rPr>
          <w:sz w:val="24"/>
          <w:lang w:val="fi-FI"/>
        </w:rPr>
        <w:t xml:space="preserve"> </w:t>
      </w:r>
      <w:r w:rsidR="0045718F" w:rsidRPr="0045718F">
        <w:rPr>
          <w:sz w:val="24"/>
          <w:lang w:val="fi-FI"/>
        </w:rPr>
        <w:tab/>
      </w:r>
      <w:r w:rsidRPr="0045718F">
        <w:rPr>
          <w:sz w:val="24"/>
          <w:lang w:val="fi-FI"/>
        </w:rPr>
        <w:t xml:space="preserve">EUVL L 433 I, 22.12.2020, s. 11, ELI: </w:t>
      </w:r>
      <w:hyperlink r:id="rId2" w:history="1">
        <w:r w:rsidR="00CA45F3" w:rsidRPr="00B1106B">
          <w:rPr>
            <w:rStyle w:val="Hyperlink"/>
            <w:sz w:val="24"/>
            <w:lang w:val="fi-FI"/>
          </w:rPr>
          <w:t>http://data.europa.eu/eli/reg/2020/2093/oj</w:t>
        </w:r>
      </w:hyperlink>
      <w:r w:rsidRPr="0045718F">
        <w:rPr>
          <w:sz w:val="24"/>
          <w:lang w:val="fi-FI"/>
        </w:rPr>
        <w:t>.</w:t>
      </w:r>
    </w:p>
  </w:footnote>
  <w:footnote w:id="3">
    <w:p w14:paraId="09C1D47E" w14:textId="0E8DF106" w:rsidR="00D50CEB" w:rsidRPr="0045718F" w:rsidRDefault="00D50CEB" w:rsidP="0045718F">
      <w:pPr>
        <w:pStyle w:val="FootnoteText"/>
        <w:ind w:left="567" w:hanging="567"/>
        <w:rPr>
          <w:sz w:val="24"/>
          <w:lang w:val="fi-FI"/>
        </w:rPr>
      </w:pPr>
      <w:r w:rsidRPr="0045718F">
        <w:rPr>
          <w:rStyle w:val="FootnoteReference"/>
          <w:sz w:val="24"/>
          <w:lang w:val="fi-FI"/>
        </w:rPr>
        <w:footnoteRef/>
      </w:r>
      <w:r w:rsidR="0045718F" w:rsidRPr="0045718F">
        <w:rPr>
          <w:sz w:val="24"/>
          <w:lang w:val="fi-FI"/>
        </w:rPr>
        <w:t xml:space="preserve"> </w:t>
      </w:r>
      <w:r w:rsidR="0045718F" w:rsidRPr="0045718F">
        <w:rPr>
          <w:sz w:val="24"/>
          <w:lang w:val="fi-FI"/>
        </w:rPr>
        <w:tab/>
      </w:r>
      <w:r w:rsidRPr="0045718F">
        <w:rPr>
          <w:sz w:val="24"/>
          <w:lang w:val="fi-FI"/>
        </w:rPr>
        <w:t>Neuvoston asetus (EU, Euratom) 2024/765, annettu 29. helmikuuta 2024, vuosia 2021–2027 koskevan monivuotisen rahoituskehyksen vahvistamisesta annetun asetuksen (EU, Euratom) 2020/2093 muuttamisesta (EUVL L, 2024/765, 29.2.2024, ELI:</w:t>
      </w:r>
      <w:r w:rsidRPr="0045718F">
        <w:rPr>
          <w:rStyle w:val="Emphasis"/>
          <w:color w:val="333333"/>
          <w:sz w:val="24"/>
          <w:shd w:val="clear" w:color="auto" w:fill="FFFFFF"/>
          <w:lang w:val="fi-FI"/>
        </w:rPr>
        <w:t xml:space="preserve"> </w:t>
      </w:r>
      <w:hyperlink r:id="rId3" w:history="1">
        <w:r w:rsidR="00CA45F3" w:rsidRPr="00CE233F">
          <w:rPr>
            <w:rStyle w:val="Hyperlink"/>
            <w:lang w:val="fi-FI"/>
          </w:rPr>
          <w:t>http://data.europa.eu/eli/reg/2024/765/oj</w:t>
        </w:r>
      </w:hyperlink>
      <w:r w:rsidRPr="00CE233F">
        <w:rPr>
          <w:rStyle w:val="Emphasis"/>
          <w:i w:val="0"/>
          <w:color w:val="333333"/>
          <w:sz w:val="24"/>
          <w:shd w:val="clear" w:color="auto" w:fill="FFFFFF"/>
          <w:lang w:val="fi-FI"/>
        </w:rPr>
        <w:t>)</w:t>
      </w:r>
      <w:r w:rsidRPr="0045718F">
        <w:rPr>
          <w:rStyle w:val="Emphasis"/>
          <w:color w:val="333333"/>
          <w:sz w:val="24"/>
          <w:shd w:val="clear" w:color="auto" w:fill="FFFFFF"/>
          <w:lang w:val="fi-FI"/>
        </w:rPr>
        <w:t>.</w:t>
      </w:r>
    </w:p>
  </w:footnote>
  <w:footnote w:id="4">
    <w:p w14:paraId="6C01987F" w14:textId="3E7E0F0F" w:rsidR="00D50CEB" w:rsidRPr="0045718F" w:rsidRDefault="00D50CEB" w:rsidP="0045718F">
      <w:pPr>
        <w:pStyle w:val="FootnoteText"/>
        <w:ind w:left="567" w:hanging="567"/>
        <w:rPr>
          <w:sz w:val="24"/>
          <w:lang w:val="fi-FI"/>
        </w:rPr>
      </w:pPr>
      <w:r w:rsidRPr="0045718F">
        <w:rPr>
          <w:rStyle w:val="FootnoteReference"/>
          <w:sz w:val="24"/>
          <w:lang w:val="fi-FI"/>
        </w:rPr>
        <w:footnoteRef/>
      </w:r>
      <w:r w:rsidR="0045718F" w:rsidRPr="0045718F">
        <w:rPr>
          <w:sz w:val="24"/>
          <w:lang w:val="fi-FI"/>
        </w:rPr>
        <w:t xml:space="preserve"> </w:t>
      </w:r>
      <w:r w:rsidR="0045718F" w:rsidRPr="0045718F">
        <w:rPr>
          <w:sz w:val="24"/>
          <w:lang w:val="fi-FI"/>
        </w:rPr>
        <w:tab/>
      </w:r>
      <w:r w:rsidRPr="0045718F">
        <w:rPr>
          <w:sz w:val="24"/>
          <w:lang w:val="fi-FI"/>
        </w:rPr>
        <w:t xml:space="preserve">EUVL L 433 I, 22.12.2020, s. 28, ELI: </w:t>
      </w:r>
      <w:hyperlink r:id="rId4" w:history="1">
        <w:r w:rsidR="00CA45F3" w:rsidRPr="00B1106B">
          <w:rPr>
            <w:rStyle w:val="Hyperlink"/>
            <w:sz w:val="24"/>
            <w:lang w:val="fi-FI"/>
          </w:rPr>
          <w:t>http://data.europa.eu/eli/agree_interinstit/2020/1222/oj</w:t>
        </w:r>
      </w:hyperlink>
      <w:r w:rsidRPr="0045718F">
        <w:rPr>
          <w:sz w:val="24"/>
          <w:lang w:val="fi-FI"/>
        </w:rPr>
        <w:t>.</w:t>
      </w:r>
    </w:p>
  </w:footnote>
  <w:footnote w:id="5">
    <w:p w14:paraId="14443F38" w14:textId="77777777" w:rsidR="00D50CEB" w:rsidRPr="0045718F" w:rsidRDefault="00D50CEB" w:rsidP="0045718F">
      <w:pPr>
        <w:pStyle w:val="FootnoteText"/>
        <w:ind w:left="567" w:hanging="567"/>
        <w:rPr>
          <w:sz w:val="24"/>
          <w:lang w:val="fi-FI"/>
        </w:rPr>
      </w:pPr>
      <w:r w:rsidRPr="0045718F">
        <w:rPr>
          <w:rStyle w:val="FootnoteReference"/>
          <w:sz w:val="24"/>
          <w:lang w:val="fi-FI"/>
        </w:rPr>
        <w:footnoteRef/>
      </w:r>
      <w:r w:rsidR="0045718F" w:rsidRPr="0045718F">
        <w:rPr>
          <w:sz w:val="24"/>
          <w:lang w:val="fi-FI"/>
        </w:rPr>
        <w:t xml:space="preserve"> </w:t>
      </w:r>
      <w:r w:rsidR="0045718F" w:rsidRPr="0045718F">
        <w:rPr>
          <w:sz w:val="24"/>
          <w:lang w:val="fi-FI"/>
        </w:rPr>
        <w:tab/>
      </w:r>
      <w:r w:rsidRPr="0045718F">
        <w:rPr>
          <w:sz w:val="24"/>
          <w:lang w:val="fi-FI"/>
        </w:rPr>
        <w:t>EGR-asetuksen 3 artiklan mukaisessa merkityksessä.</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CA5E5" w14:textId="77777777" w:rsidR="00064002" w:rsidRPr="004571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06DBB" w14:textId="77777777" w:rsidR="00064002" w:rsidRPr="004571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CF23F" w14:textId="77777777" w:rsidR="00064002" w:rsidRPr="004571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FI"/>
    <w:docVar w:name="dvnumam" w:val="0"/>
    <w:docVar w:name="dvpe" w:val="771.884"/>
    <w:docVar w:name="dvrapporteur" w:val="Esittelijä: "/>
    <w:docVar w:name="dvtitre" w:val="Euroopan parlamentin päätöslauselma xx. toukokuuta 2025 ehdotuksesta Euroopan parlamentin ja neuvoston päätökseksi työttömiksi jääneitä työntekijöitä tukevan Euroopan globalisaatiorahaston varojen käyttöönotosta Belgian hakemuksen johdosta – EGF/2024/003 BE/Van Hool(COM(2025)0001 – C10-0056/2025 – 2025/0061(BUD))"/>
  </w:docVars>
  <w:rsids>
    <w:rsidRoot w:val="00397514"/>
    <w:rsid w:val="00002272"/>
    <w:rsid w:val="00064002"/>
    <w:rsid w:val="00065559"/>
    <w:rsid w:val="000677B9"/>
    <w:rsid w:val="000831BA"/>
    <w:rsid w:val="000A42CC"/>
    <w:rsid w:val="000E7DD9"/>
    <w:rsid w:val="0010095E"/>
    <w:rsid w:val="00125B37"/>
    <w:rsid w:val="00187494"/>
    <w:rsid w:val="001F32AE"/>
    <w:rsid w:val="002767FF"/>
    <w:rsid w:val="00284E0D"/>
    <w:rsid w:val="002B18FE"/>
    <w:rsid w:val="002B5493"/>
    <w:rsid w:val="00340C35"/>
    <w:rsid w:val="00343214"/>
    <w:rsid w:val="00361C00"/>
    <w:rsid w:val="00395FA1"/>
    <w:rsid w:val="00397514"/>
    <w:rsid w:val="003E15D4"/>
    <w:rsid w:val="00411CCE"/>
    <w:rsid w:val="0041666E"/>
    <w:rsid w:val="00421060"/>
    <w:rsid w:val="0045718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A5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5F3"/>
    <w:rsid w:val="00CC2357"/>
    <w:rsid w:val="00CE233F"/>
    <w:rsid w:val="00CF071A"/>
    <w:rsid w:val="00D058B8"/>
    <w:rsid w:val="00D50CE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52430"/>
  <w15:chartTrackingRefBased/>
  <w15:docId w15:val="{F598293C-6CEA-4ACE-A29E-3583A677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50CE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50CEB"/>
    <w:pPr>
      <w:keepNext/>
      <w:spacing w:after="480"/>
      <w:jc w:val="center"/>
    </w:pPr>
    <w:rPr>
      <w:rFonts w:ascii="Arial" w:hAnsi="Arial" w:cs="Arial"/>
      <w:b/>
    </w:rPr>
  </w:style>
  <w:style w:type="paragraph" w:customStyle="1" w:styleId="NormalHanging12a">
    <w:name w:val="NormalHanging12a"/>
    <w:basedOn w:val="Normal"/>
    <w:link w:val="NormalHanging12aChar"/>
    <w:rsid w:val="00D50CEB"/>
    <w:pPr>
      <w:spacing w:after="240"/>
      <w:ind w:left="567" w:hanging="567"/>
    </w:pPr>
  </w:style>
  <w:style w:type="paragraph" w:styleId="Header">
    <w:name w:val="header"/>
    <w:basedOn w:val="Normal"/>
    <w:link w:val="HeaderChar"/>
    <w:rsid w:val="00D50CEB"/>
    <w:pPr>
      <w:tabs>
        <w:tab w:val="center" w:pos="4513"/>
        <w:tab w:val="right" w:pos="9026"/>
      </w:tabs>
    </w:pPr>
  </w:style>
  <w:style w:type="character" w:customStyle="1" w:styleId="HeaderChar">
    <w:name w:val="Header Char"/>
    <w:basedOn w:val="DefaultParagraphFont"/>
    <w:link w:val="Header"/>
    <w:rsid w:val="00D50CEB"/>
    <w:rPr>
      <w:sz w:val="24"/>
      <w:lang w:val="fi-FI"/>
    </w:rPr>
  </w:style>
  <w:style w:type="paragraph" w:customStyle="1" w:styleId="EPFooter">
    <w:name w:val="EPFooter"/>
    <w:basedOn w:val="Normal"/>
    <w:rsid w:val="00D50CEB"/>
    <w:pPr>
      <w:tabs>
        <w:tab w:val="center" w:pos="4535"/>
        <w:tab w:val="right" w:pos="9071"/>
      </w:tabs>
      <w:spacing w:before="240" w:after="240"/>
    </w:pPr>
    <w:rPr>
      <w:color w:val="010000"/>
      <w:sz w:val="22"/>
    </w:rPr>
  </w:style>
  <w:style w:type="paragraph" w:customStyle="1" w:styleId="EPComma">
    <w:name w:val="EPComma"/>
    <w:basedOn w:val="Normal"/>
    <w:rsid w:val="00D50CEB"/>
    <w:pPr>
      <w:spacing w:before="480" w:after="240"/>
    </w:pPr>
  </w:style>
  <w:style w:type="character" w:customStyle="1" w:styleId="NormalHanging12aChar">
    <w:name w:val="NormalHanging12a Char"/>
    <w:basedOn w:val="DefaultParagraphFont"/>
    <w:link w:val="NormalHanging12a"/>
    <w:locked/>
    <w:rsid w:val="00D50CEB"/>
    <w:rPr>
      <w:sz w:val="24"/>
      <w:lang w:val="fi-FI"/>
    </w:rPr>
  </w:style>
  <w:style w:type="character" w:styleId="Emphasis">
    <w:name w:val="Emphasis"/>
    <w:basedOn w:val="DefaultParagraphFont"/>
    <w:qFormat/>
    <w:rsid w:val="00D50CEB"/>
    <w:rPr>
      <w:i/>
      <w:iCs/>
    </w:rPr>
  </w:style>
  <w:style w:type="paragraph" w:customStyle="1" w:styleId="Institutionquiagit">
    <w:name w:val="Institution qui agit"/>
    <w:basedOn w:val="Normal"/>
    <w:next w:val="Normal"/>
    <w:rsid w:val="00D50CE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50CEB"/>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D50CE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50CE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50CE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50CEB"/>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D50CEB"/>
    <w:rPr>
      <w:color w:val="0563C1" w:themeColor="hyperlink"/>
      <w:u w:val="single"/>
    </w:rPr>
  </w:style>
  <w:style w:type="character" w:customStyle="1" w:styleId="PageHeadingChar">
    <w:name w:val="PageHeading Char"/>
    <w:basedOn w:val="DefaultParagraphFont"/>
    <w:link w:val="PageHeading"/>
    <w:rsid w:val="00D50CEB"/>
    <w:rPr>
      <w:rFonts w:ascii="Arial" w:hAnsi="Arial" w:cs="Arial"/>
      <w:b/>
      <w:sz w:val="24"/>
      <w:lang w:val="fi-FI"/>
    </w:rPr>
  </w:style>
  <w:style w:type="paragraph" w:customStyle="1" w:styleId="Personnequisigne">
    <w:name w:val="Personne qui signe"/>
    <w:basedOn w:val="Normal"/>
    <w:next w:val="Institutionquisigne"/>
    <w:rsid w:val="00D50CEB"/>
    <w:pPr>
      <w:widowControl/>
      <w:tabs>
        <w:tab w:val="left" w:pos="5669"/>
      </w:tabs>
      <w:spacing w:line="360" w:lineRule="auto"/>
    </w:pPr>
    <w:rPr>
      <w:rFonts w:eastAsiaTheme="minorHAnsi"/>
      <w:i/>
      <w:szCs w:val="22"/>
      <w:lang w:eastAsia="en-US"/>
    </w:rPr>
  </w:style>
  <w:style w:type="paragraph" w:customStyle="1" w:styleId="Lignefinal">
    <w:name w:val="Ligne final"/>
    <w:basedOn w:val="Normal"/>
    <w:next w:val="Normal"/>
    <w:rsid w:val="00D50CEB"/>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Footer">
    <w:name w:val="footer"/>
    <w:basedOn w:val="Normal"/>
    <w:link w:val="FooterChar"/>
    <w:rsid w:val="00284E0D"/>
    <w:pPr>
      <w:tabs>
        <w:tab w:val="center" w:pos="4513"/>
        <w:tab w:val="right" w:pos="9026"/>
      </w:tabs>
    </w:pPr>
  </w:style>
  <w:style w:type="character" w:customStyle="1" w:styleId="FooterChar">
    <w:name w:val="Footer Char"/>
    <w:basedOn w:val="DefaultParagraphFont"/>
    <w:link w:val="Footer"/>
    <w:rsid w:val="00284E0D"/>
    <w:rPr>
      <w:sz w:val="24"/>
      <w:lang w:val="fi-FI"/>
    </w:rPr>
  </w:style>
  <w:style w:type="character" w:styleId="CommentReference">
    <w:name w:val="annotation reference"/>
    <w:basedOn w:val="DefaultParagraphFont"/>
    <w:rsid w:val="00284E0D"/>
    <w:rPr>
      <w:sz w:val="16"/>
      <w:szCs w:val="16"/>
    </w:rPr>
  </w:style>
  <w:style w:type="paragraph" w:styleId="CommentText">
    <w:name w:val="annotation text"/>
    <w:basedOn w:val="Normal"/>
    <w:link w:val="CommentTextChar"/>
    <w:rsid w:val="00284E0D"/>
    <w:rPr>
      <w:sz w:val="20"/>
    </w:rPr>
  </w:style>
  <w:style w:type="character" w:customStyle="1" w:styleId="CommentTextChar">
    <w:name w:val="Comment Text Char"/>
    <w:basedOn w:val="DefaultParagraphFont"/>
    <w:link w:val="CommentText"/>
    <w:rsid w:val="00284E0D"/>
    <w:rPr>
      <w:lang w:val="fi-FI"/>
    </w:rPr>
  </w:style>
  <w:style w:type="paragraph" w:styleId="CommentSubject">
    <w:name w:val="annotation subject"/>
    <w:basedOn w:val="CommentText"/>
    <w:next w:val="CommentText"/>
    <w:link w:val="CommentSubjectChar"/>
    <w:rsid w:val="00284E0D"/>
    <w:rPr>
      <w:b/>
      <w:bCs/>
    </w:rPr>
  </w:style>
  <w:style w:type="character" w:customStyle="1" w:styleId="CommentSubjectChar">
    <w:name w:val="Comment Subject Char"/>
    <w:basedOn w:val="CommentTextChar"/>
    <w:link w:val="CommentSubject"/>
    <w:rsid w:val="00284E0D"/>
    <w:rPr>
      <w:b/>
      <w:bCs/>
      <w:lang w:val="fi-FI"/>
    </w:rPr>
  </w:style>
  <w:style w:type="paragraph" w:styleId="Revision">
    <w:name w:val="Revision"/>
    <w:hidden/>
    <w:uiPriority w:val="99"/>
    <w:semiHidden/>
    <w:rsid w:val="00284E0D"/>
    <w:rPr>
      <w:sz w:val="24"/>
      <w:lang w:val="fi-FI"/>
    </w:rPr>
  </w:style>
  <w:style w:type="paragraph" w:styleId="BalloonText">
    <w:name w:val="Balloon Text"/>
    <w:basedOn w:val="Normal"/>
    <w:link w:val="BalloonTextChar"/>
    <w:rsid w:val="00284E0D"/>
    <w:rPr>
      <w:rFonts w:ascii="Segoe UI" w:hAnsi="Segoe UI" w:cs="Segoe UI"/>
      <w:sz w:val="18"/>
      <w:szCs w:val="18"/>
    </w:rPr>
  </w:style>
  <w:style w:type="character" w:customStyle="1" w:styleId="BalloonTextChar">
    <w:name w:val="Balloon Text Char"/>
    <w:basedOn w:val="DefaultParagraphFont"/>
    <w:link w:val="BalloonText"/>
    <w:rsid w:val="00284E0D"/>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F479A-34F0-4BC4-B441-044D2DB07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9145</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2025-06-11T13:11:00Z</dcterms:created>
  <dcterms:modified xsi:type="dcterms:W3CDTF">2025-06-11T13:11:00Z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P10_TA(2025)0074_</vt:lpwstr>
  </property>
  <property fmtid="{D5CDD505-2E9C-101B-9397-08002B2CF9AE}" pid="4" name="&lt;Type&gt;">
    <vt:lpwstr>RR</vt:lpwstr>
  </property>
</Properties>
</file>