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974F5" w14:paraId="7B81967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2FC5CF" w14:textId="77777777" w:rsidR="00751A4A" w:rsidRPr="002974F5" w:rsidRDefault="000A7CD8" w:rsidP="0010095E">
            <w:pPr>
              <w:pStyle w:val="EPName"/>
            </w:pPr>
            <w:r w:rsidRPr="002974F5">
              <w:t>Europski parlament</w:t>
            </w:r>
          </w:p>
          <w:p w14:paraId="54C46120" w14:textId="77777777" w:rsidR="00751A4A" w:rsidRPr="002974F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74F5">
              <w:t>2024</w:t>
            </w:r>
            <w:r w:rsidR="00817416" w:rsidRPr="002974F5">
              <w:t>-202</w:t>
            </w:r>
            <w:r w:rsidRPr="002974F5">
              <w:t>9</w:t>
            </w:r>
          </w:p>
        </w:tc>
        <w:tc>
          <w:tcPr>
            <w:tcW w:w="2268" w:type="dxa"/>
            <w:shd w:val="clear" w:color="auto" w:fill="auto"/>
          </w:tcPr>
          <w:p w14:paraId="0CCEFB0B" w14:textId="77777777" w:rsidR="00751A4A" w:rsidRPr="002974F5" w:rsidRDefault="00187494" w:rsidP="0010095E">
            <w:pPr>
              <w:pStyle w:val="EPLogo"/>
            </w:pPr>
            <w:r w:rsidRPr="002974F5">
              <w:rPr>
                <w:noProof/>
                <w:lang w:val="en-GB"/>
              </w:rPr>
              <w:drawing>
                <wp:inline distT="0" distB="0" distL="0" distR="0" wp14:anchorId="2595628F" wp14:editId="6EF2C59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76E372" w14:textId="77777777" w:rsidR="00D058B8" w:rsidRPr="002974F5" w:rsidRDefault="00D058B8" w:rsidP="004C5D52">
      <w:pPr>
        <w:pStyle w:val="LineTop"/>
      </w:pPr>
    </w:p>
    <w:p w14:paraId="2D006282" w14:textId="77777777" w:rsidR="00680577" w:rsidRPr="002974F5" w:rsidRDefault="000A7CD8" w:rsidP="00680577">
      <w:pPr>
        <w:pStyle w:val="EPBodyTA1"/>
      </w:pPr>
      <w:r w:rsidRPr="002974F5">
        <w:t>USVOJENI TEKSTOVI</w:t>
      </w:r>
    </w:p>
    <w:p w14:paraId="02CFE3C1" w14:textId="77777777" w:rsidR="00D058B8" w:rsidRPr="002974F5" w:rsidRDefault="00D058B8" w:rsidP="00D058B8">
      <w:pPr>
        <w:pStyle w:val="LineBottom"/>
      </w:pPr>
    </w:p>
    <w:p w14:paraId="7C61245F" w14:textId="77777777" w:rsidR="000A7CD8" w:rsidRPr="002974F5" w:rsidRDefault="000A7CD8" w:rsidP="000A7CD8">
      <w:pPr>
        <w:pStyle w:val="ATHeading1"/>
      </w:pPr>
      <w:bookmarkStart w:id="0" w:name="TANumber"/>
      <w:r w:rsidRPr="002974F5">
        <w:t>P10_TA(2025)00</w:t>
      </w:r>
      <w:r w:rsidR="002974F5" w:rsidRPr="002974F5">
        <w:t>74</w:t>
      </w:r>
      <w:bookmarkEnd w:id="0"/>
    </w:p>
    <w:p w14:paraId="35BD58BC" w14:textId="77777777" w:rsidR="000A7CD8" w:rsidRPr="002974F5" w:rsidRDefault="00182CAE" w:rsidP="000A7CD8">
      <w:pPr>
        <w:pStyle w:val="ATHeading2"/>
      </w:pPr>
      <w:bookmarkStart w:id="1" w:name="title"/>
      <w:r w:rsidRPr="002974F5">
        <w:t>Mobilizacija</w:t>
      </w:r>
      <w:r w:rsidR="000A7CD8" w:rsidRPr="002974F5">
        <w:t xml:space="preserve"> Europskog fonda za prilagodbu globalizaciji za radnike koji su proglašeni viškom</w:t>
      </w:r>
      <w:r w:rsidRPr="002974F5">
        <w:t xml:space="preserve">: </w:t>
      </w:r>
      <w:r w:rsidR="00737C72" w:rsidRPr="002974F5">
        <w:t xml:space="preserve">zahtjev </w:t>
      </w:r>
      <w:r w:rsidR="000A7CD8" w:rsidRPr="002974F5">
        <w:t>EGF/2024/003 BE/Van Hool</w:t>
      </w:r>
      <w:bookmarkEnd w:id="1"/>
      <w:r w:rsidR="00D14748" w:rsidRPr="002974F5">
        <w:t xml:space="preserve"> - Belgija</w:t>
      </w:r>
    </w:p>
    <w:p w14:paraId="3C01F765" w14:textId="77777777" w:rsidR="000A7CD8" w:rsidRPr="002974F5" w:rsidRDefault="000A7CD8" w:rsidP="000A7CD8">
      <w:pPr>
        <w:rPr>
          <w:i/>
          <w:vanish/>
        </w:rPr>
      </w:pPr>
      <w:r w:rsidRPr="002974F5">
        <w:rPr>
          <w:i/>
        </w:rPr>
        <w:fldChar w:fldCharType="begin"/>
      </w:r>
      <w:r w:rsidRPr="002974F5">
        <w:rPr>
          <w:i/>
        </w:rPr>
        <w:instrText xml:space="preserve"> TC"(</w:instrText>
      </w:r>
      <w:bookmarkStart w:id="2" w:name="DocNumber"/>
      <w:r w:rsidRPr="002974F5">
        <w:rPr>
          <w:i/>
        </w:rPr>
        <w:instrText>A10-0080/2025</w:instrText>
      </w:r>
      <w:bookmarkEnd w:id="2"/>
      <w:r w:rsidRPr="002974F5">
        <w:rPr>
          <w:i/>
        </w:rPr>
        <w:instrText xml:space="preserve"> - Izvjestitelj: Janusz Lewandowski)"\l3 \n&gt; \* MERGEFORMAT </w:instrText>
      </w:r>
      <w:r w:rsidRPr="002974F5">
        <w:rPr>
          <w:i/>
        </w:rPr>
        <w:fldChar w:fldCharType="end"/>
      </w:r>
    </w:p>
    <w:p w14:paraId="327CA207" w14:textId="77777777" w:rsidR="000A7CD8" w:rsidRPr="002974F5" w:rsidRDefault="000A7CD8" w:rsidP="000A7CD8">
      <w:pPr>
        <w:rPr>
          <w:vanish/>
        </w:rPr>
      </w:pPr>
      <w:bookmarkStart w:id="3" w:name="Commission"/>
      <w:r w:rsidRPr="002974F5">
        <w:rPr>
          <w:vanish/>
        </w:rPr>
        <w:t>Odbor za proračune</w:t>
      </w:r>
      <w:bookmarkEnd w:id="3"/>
    </w:p>
    <w:p w14:paraId="7260B331" w14:textId="77777777" w:rsidR="000A7CD8" w:rsidRPr="002974F5" w:rsidRDefault="000A7CD8" w:rsidP="000A7CD8">
      <w:pPr>
        <w:rPr>
          <w:vanish/>
        </w:rPr>
      </w:pPr>
      <w:bookmarkStart w:id="4" w:name="PE"/>
      <w:r w:rsidRPr="002974F5">
        <w:rPr>
          <w:vanish/>
        </w:rPr>
        <w:t>PE771.884</w:t>
      </w:r>
      <w:bookmarkEnd w:id="4"/>
    </w:p>
    <w:p w14:paraId="02C7580A" w14:textId="77777777" w:rsidR="000A7CD8" w:rsidRPr="002974F5" w:rsidRDefault="000A7CD8" w:rsidP="000A7CD8">
      <w:pPr>
        <w:pStyle w:val="ATHeading3"/>
      </w:pPr>
      <w:bookmarkStart w:id="5" w:name="Sujet"/>
      <w:r w:rsidRPr="002974F5">
        <w:t xml:space="preserve">Rezolucija Europskog parlamenta od </w:t>
      </w:r>
      <w:r w:rsidR="00182CAE" w:rsidRPr="002974F5">
        <w:t>6. svibnja</w:t>
      </w:r>
      <w:r w:rsidRPr="002974F5">
        <w:t xml:space="preserve"> 2025. o Prijedlogu odluke Europskog parlamenta i Vijeća o mobilizaciji Europskog fonda za prilagodbu globalizaciji za radnike koji su proglašeni viškom na temelju zahtjeva iz Belgije – EGF/2024/003 BE/Van Hool</w:t>
      </w:r>
      <w:bookmarkEnd w:id="5"/>
      <w:r w:rsidRPr="002974F5">
        <w:t xml:space="preserve"> </w:t>
      </w:r>
      <w:bookmarkStart w:id="6" w:name="References"/>
      <w:r w:rsidRPr="002974F5">
        <w:t>(COM(2025)0001 – C10-0056/2025 – 2025/0061(BUD))</w:t>
      </w:r>
      <w:bookmarkEnd w:id="6"/>
    </w:p>
    <w:p w14:paraId="34892737" w14:textId="77777777" w:rsidR="000C2282" w:rsidRPr="002974F5" w:rsidRDefault="000C2282" w:rsidP="000C2282">
      <w:pPr>
        <w:pStyle w:val="EPComma"/>
        <w:rPr>
          <w:noProof/>
        </w:rPr>
      </w:pPr>
      <w:r w:rsidRPr="002974F5">
        <w:rPr>
          <w:i/>
        </w:rPr>
        <w:t>Europski parlament</w:t>
      </w:r>
      <w:r w:rsidRPr="002974F5">
        <w:t>,</w:t>
      </w:r>
    </w:p>
    <w:p w14:paraId="0CB22993" w14:textId="77777777" w:rsidR="000C2282" w:rsidRPr="002974F5" w:rsidRDefault="000C2282" w:rsidP="000C2282">
      <w:pPr>
        <w:pStyle w:val="NormalHanging12a"/>
        <w:rPr>
          <w:noProof/>
        </w:rPr>
      </w:pPr>
      <w:r w:rsidRPr="002974F5">
        <w:t>–</w:t>
      </w:r>
      <w:r w:rsidRPr="002974F5">
        <w:tab/>
        <w:t>uzimajući u obzir prijedlog Komisije upućen Europskom parlamentu i Vijeću (COM(2025)0001 – C10</w:t>
      </w:r>
      <w:r w:rsidRPr="002974F5">
        <w:noBreakHyphen/>
        <w:t>0056/2025),</w:t>
      </w:r>
    </w:p>
    <w:p w14:paraId="29F1A68C" w14:textId="77777777" w:rsidR="000C2282" w:rsidRPr="002974F5" w:rsidRDefault="000C2282" w:rsidP="000C2282">
      <w:pPr>
        <w:pStyle w:val="NormalHanging12a"/>
        <w:rPr>
          <w:noProof/>
        </w:rPr>
      </w:pPr>
      <w:r w:rsidRPr="002974F5">
        <w:t>–</w:t>
      </w:r>
      <w:r w:rsidRPr="002974F5">
        <w:tab/>
        <w:t>uzimajući u obzir Uredbu (EU) 2021/691 Europskog parlamenta i Vijeća od 28. travnja 2021. o Europskom fondu za prilagodbu globalizaciji za radnike koji su proglašeni viškom (EGF) i stavljanju izvan snage Uredbe (EU) br. 1309/2013</w:t>
      </w:r>
      <w:r w:rsidRPr="002974F5">
        <w:rPr>
          <w:rStyle w:val="FootnoteReference"/>
          <w:noProof/>
        </w:rPr>
        <w:footnoteReference w:id="1"/>
      </w:r>
      <w:r w:rsidRPr="002974F5">
        <w:t xml:space="preserve"> („Uredba o EGF-u”),</w:t>
      </w:r>
    </w:p>
    <w:p w14:paraId="368F20E7" w14:textId="77777777" w:rsidR="000C2282" w:rsidRPr="002974F5" w:rsidRDefault="000C2282" w:rsidP="000C2282">
      <w:pPr>
        <w:pStyle w:val="NormalHanging12a"/>
        <w:rPr>
          <w:noProof/>
        </w:rPr>
      </w:pPr>
      <w:r w:rsidRPr="002974F5">
        <w:t>–</w:t>
      </w:r>
      <w:r w:rsidRPr="002974F5">
        <w:tab/>
        <w:t>uzimajući u obzir Uredbu Vijeća (EU, Euratom) 2020/2093 od 17. prosinca 2020. kojom se utvrđuje višegodišnji financijski okvir za razdoblje 2021. – 2027.</w:t>
      </w:r>
      <w:r w:rsidRPr="002974F5">
        <w:rPr>
          <w:rStyle w:val="FootnoteReference"/>
          <w:noProof/>
        </w:rPr>
        <w:footnoteReference w:id="2"/>
      </w:r>
      <w:r w:rsidRPr="002974F5">
        <w:t>, kako je izmijenjena Uredbom (EU, Euratom) 2024/765</w:t>
      </w:r>
      <w:r w:rsidRPr="002974F5">
        <w:rPr>
          <w:rStyle w:val="FootnoteReference"/>
          <w:bdr w:val="none" w:sz="0" w:space="0" w:color="auto" w:frame="1"/>
        </w:rPr>
        <w:footnoteReference w:id="3"/>
      </w:r>
      <w:r w:rsidRPr="002974F5">
        <w:t>, a posebno njezin članak 8.,</w:t>
      </w:r>
    </w:p>
    <w:p w14:paraId="2BEE01CE" w14:textId="77777777" w:rsidR="000C2282" w:rsidRPr="002974F5" w:rsidRDefault="000C2282" w:rsidP="000C2282">
      <w:pPr>
        <w:pStyle w:val="NormalHanging12a"/>
      </w:pPr>
      <w:r w:rsidRPr="002974F5">
        <w:t>–</w:t>
      </w:r>
      <w:r w:rsidRPr="002974F5">
        <w:tab/>
        <w:t>uzimajući u obzir Međuinstitucijski sporazum od 16. prosinca 2020. između Europskog parlamenta, Vijeća Europske unije i Europske komisije o proračunskoj disciplini, suradnji u proračunskim pitanjima i dobrom financijskom upravljanju te novim vlastitim sredstvima, uključujući plan za uvođenje novih vlastitih sredstava</w:t>
      </w:r>
      <w:r w:rsidRPr="002974F5">
        <w:rPr>
          <w:rStyle w:val="FootnoteReference"/>
          <w:noProof/>
        </w:rPr>
        <w:footnoteReference w:id="4"/>
      </w:r>
      <w:r w:rsidRPr="002974F5">
        <w:t xml:space="preserve">, a posebno </w:t>
      </w:r>
      <w:r w:rsidRPr="002974F5">
        <w:lastRenderedPageBreak/>
        <w:t>njegovu točku 9.,</w:t>
      </w:r>
    </w:p>
    <w:p w14:paraId="64C8050A" w14:textId="77777777" w:rsidR="000C2282" w:rsidRPr="002974F5" w:rsidRDefault="000C2282" w:rsidP="000C2282">
      <w:pPr>
        <w:pStyle w:val="NormalHanging12a"/>
        <w:rPr>
          <w:noProof/>
        </w:rPr>
      </w:pPr>
      <w:r w:rsidRPr="002974F5">
        <w:t>–</w:t>
      </w:r>
      <w:r w:rsidRPr="002974F5">
        <w:tab/>
        <w:t>uzimajući u obzir pismo Odbora za zapošljavanje i socijalna pitanja,</w:t>
      </w:r>
    </w:p>
    <w:p w14:paraId="68763C3A" w14:textId="77777777" w:rsidR="000C2282" w:rsidRPr="002974F5" w:rsidRDefault="000C2282" w:rsidP="000C2282">
      <w:pPr>
        <w:pStyle w:val="NormalHanging12a"/>
      </w:pPr>
      <w:r w:rsidRPr="002974F5">
        <w:t>–</w:t>
      </w:r>
      <w:r w:rsidRPr="002974F5">
        <w:tab/>
        <w:t>uzimajući u obzir izvješće Odbora za proračune (A10</w:t>
      </w:r>
      <w:r w:rsidRPr="002974F5">
        <w:noBreakHyphen/>
        <w:t>0080/2025),</w:t>
      </w:r>
    </w:p>
    <w:p w14:paraId="1AF176FB" w14:textId="77777777" w:rsidR="000C2282" w:rsidRPr="002974F5" w:rsidRDefault="000C2282" w:rsidP="000C2282">
      <w:pPr>
        <w:pStyle w:val="NormalHanging12a"/>
        <w:rPr>
          <w:noProof/>
        </w:rPr>
      </w:pPr>
      <w:r w:rsidRPr="002974F5">
        <w:t>A.</w:t>
      </w:r>
      <w:r w:rsidRPr="002974F5">
        <w:tab/>
        <w:t>budući da je Unija uspostavila zakonodavne i proračunske instrumente kako bi pružila dodatnu potporu radnicima suočenima s posljedicama velikih strukturnih promjena u tokovima svjetske trgovine ili svjetske financijske i gospodarske krize te kako bi im se pomoglo da se ponovno uključe na tržište rada; budući da se ta pomoć ostvaruje u obliku financijske potpore radnicima i poduzećima za koja su radili;</w:t>
      </w:r>
    </w:p>
    <w:p w14:paraId="3C6E42F7" w14:textId="77777777" w:rsidR="000C2282" w:rsidRPr="002974F5" w:rsidRDefault="000C2282" w:rsidP="000C2282">
      <w:pPr>
        <w:pStyle w:val="NormalHanging12a"/>
      </w:pPr>
      <w:r w:rsidRPr="002974F5">
        <w:t xml:space="preserve">B. </w:t>
      </w:r>
      <w:r w:rsidRPr="002974F5">
        <w:tab/>
        <w:t>budući da je Belgija podnijela zahtjev EGF/2024/003 BE/Van Hool za financijski doprinos iz Europskog fonda za prilagodbu globalizaciji (EGF) nakon otpuštanja 2411 radnika</w:t>
      </w:r>
      <w:r w:rsidRPr="002974F5">
        <w:rPr>
          <w:rStyle w:val="FootnoteReference"/>
        </w:rPr>
        <w:footnoteReference w:id="5"/>
      </w:r>
      <w:r w:rsidRPr="002974F5">
        <w:t xml:space="preserve"> u sektoru gospodarstva svrstanom u odjeljak 29. NACE-a Rev. 2 (proizvodnja motornih vozila, prikolica i poluprikolica) u regiji NUTS 2 pokrajine Antwerpen (BE21), u referentnom razdoblju za podnošenje zahtjeva od četiri mjeseca, od 8. travnja 2024. do 8. kolovoza 2024.; </w:t>
      </w:r>
    </w:p>
    <w:p w14:paraId="6D0BD804" w14:textId="77777777" w:rsidR="000C2282" w:rsidRPr="002974F5" w:rsidRDefault="000C2282" w:rsidP="000C2282">
      <w:pPr>
        <w:pStyle w:val="NormalHanging12a"/>
      </w:pPr>
      <w:r w:rsidRPr="002974F5">
        <w:t xml:space="preserve">C. </w:t>
      </w:r>
      <w:r w:rsidRPr="002974F5">
        <w:tab/>
        <w:t>budući da se zahtjev odnosi na 2411 otpuštenih radnika u poduzeću Van Hool;</w:t>
      </w:r>
    </w:p>
    <w:p w14:paraId="7A6B0CEF" w14:textId="77777777" w:rsidR="000C2282" w:rsidRPr="002974F5" w:rsidRDefault="000C2282" w:rsidP="000C2282">
      <w:pPr>
        <w:pStyle w:val="NormalHanging12a"/>
      </w:pPr>
      <w:r w:rsidRPr="002974F5">
        <w:t xml:space="preserve">D. </w:t>
      </w:r>
      <w:r w:rsidRPr="002974F5">
        <w:tab/>
        <w:t>budući da se zahtjev temelji na intervencijskim kriterijima iz članka 4. stavka 2. točke (a) Uredbe o EGF-u kojom se propisuje prestanak djelatnosti najmanje 200 radnika ili samozaposlenih osoba koji su proglašeni viškom tijekom referentnog razdoblja od četiri mjeseca u poduzeću u državi članici, uključujući radnike proglašene viškom kod dobavljača i daljnjih proizvođača;</w:t>
      </w:r>
    </w:p>
    <w:p w14:paraId="77DC13D9" w14:textId="77777777" w:rsidR="000C2282" w:rsidRPr="002974F5" w:rsidRDefault="000C2282" w:rsidP="000C2282">
      <w:pPr>
        <w:pStyle w:val="NormalHanging12a"/>
      </w:pPr>
      <w:r w:rsidRPr="002974F5">
        <w:t xml:space="preserve">E. </w:t>
      </w:r>
      <w:r w:rsidRPr="002974F5">
        <w:tab/>
        <w:t xml:space="preserve">budući da je pandemija bolesti COVID-19 utjecala na potražnju za autobusima, a </w:t>
      </w:r>
      <w:r w:rsidR="006335BB" w:rsidRPr="002974F5">
        <w:t>agresivni rat Rusije protiv</w:t>
      </w:r>
      <w:r w:rsidRPr="002974F5">
        <w:t xml:space="preserve"> Ukrajin</w:t>
      </w:r>
      <w:r w:rsidR="007E7F1C" w:rsidRPr="002974F5">
        <w:t>e</w:t>
      </w:r>
      <w:r w:rsidRPr="002974F5">
        <w:t xml:space="preserve"> utjeca</w:t>
      </w:r>
      <w:r w:rsidR="006335BB" w:rsidRPr="002974F5">
        <w:t>o</w:t>
      </w:r>
      <w:r w:rsidRPr="002974F5">
        <w:t xml:space="preserve"> na strukturu troškova;</w:t>
      </w:r>
    </w:p>
    <w:p w14:paraId="50F262BE" w14:textId="77777777" w:rsidR="000C2282" w:rsidRPr="002974F5" w:rsidRDefault="000C2282" w:rsidP="000C2282">
      <w:pPr>
        <w:pStyle w:val="NormalHanging12a"/>
      </w:pPr>
      <w:r w:rsidRPr="002974F5">
        <w:t xml:space="preserve">F. </w:t>
      </w:r>
      <w:r w:rsidRPr="002974F5">
        <w:tab/>
        <w:t>budući da se europska automobilska industrija i industrija dobavljača suočava s dosad nezabilježenim pritiscima koji potječu od vanjskih i unutarnjih izazova, kao što su narušavanje tržišnog natjecanja, posebno u sektoru električnih vozila zbog nepoštenog subvencioniranja Kine, i visoki troškovi energije prouzročeni velikim restrukturiranjem;</w:t>
      </w:r>
    </w:p>
    <w:p w14:paraId="7DC2F70D" w14:textId="77777777" w:rsidR="000C2282" w:rsidRPr="002974F5" w:rsidRDefault="000C2282" w:rsidP="000C2282">
      <w:pPr>
        <w:pStyle w:val="NormalHanging12a"/>
        <w:jc w:val="both"/>
      </w:pPr>
      <w:r w:rsidRPr="002974F5">
        <w:t>G.</w:t>
      </w:r>
      <w:r w:rsidRPr="002974F5">
        <w:rPr>
          <w:color w:val="7030A0"/>
        </w:rPr>
        <w:tab/>
      </w:r>
      <w:r w:rsidRPr="002974F5">
        <w:t xml:space="preserve">budući da je poduzeće Van Hool bilo specijalizirano za proizvodnju autobusa, trolejbusa i prikolica; budući da je pad potražnje za autobusima koji je posljedica pandemije doveo do smanjenja prosječne prodaje poduzeća Van Hool u Europi te do naglog pada profitabilnosti; buduća da su sve veća inflacija i poremećaji u lancima opskrbe dodatno povećali pritisak na marže poduzeća; </w:t>
      </w:r>
    </w:p>
    <w:p w14:paraId="3B8C9A5F" w14:textId="77777777" w:rsidR="000C2282" w:rsidRPr="002974F5" w:rsidRDefault="000C2282" w:rsidP="000C2282">
      <w:pPr>
        <w:pStyle w:val="NormalHanging12a"/>
        <w:jc w:val="both"/>
      </w:pPr>
      <w:r w:rsidRPr="002974F5">
        <w:t>H.</w:t>
      </w:r>
      <w:r w:rsidRPr="002974F5">
        <w:tab/>
        <w:t xml:space="preserve">budući da je to poduzeće, u skladu s belgijskim pravom, slijedilo obvezni postupak obavješćivanja predstavnika radnika i savjetovanja s njima; budući da se zahtjev za osnivanje odjela za zapošljavanje, čija je svrha radnicima otpuštenima u kontekstu kolektivnog otkaza pružiti usluge traženja zamjenskog posla, ne primjenjuje u slučaju stečaja; </w:t>
      </w:r>
    </w:p>
    <w:p w14:paraId="1C0AF0AD" w14:textId="77777777" w:rsidR="000C2282" w:rsidRPr="002974F5" w:rsidRDefault="000C2282" w:rsidP="000C2282">
      <w:pPr>
        <w:pStyle w:val="NormalHanging12a"/>
        <w:jc w:val="both"/>
      </w:pPr>
      <w:r w:rsidRPr="002974F5">
        <w:t>I.</w:t>
      </w:r>
      <w:r w:rsidRPr="002974F5">
        <w:tab/>
        <w:t xml:space="preserve">budući da bi financijski doprinos iz EGF-a ponajprije trebao biti usmjeren na aktivne mjere politike tržišta rada i personalizirane usluge čiji je cilj brza reintegracija korisnika na dostojanstvena i održiva radna mjesta u istom ili drugom sektoru, pri čemu ih treba </w:t>
      </w:r>
      <w:r w:rsidRPr="002974F5">
        <w:lastRenderedPageBreak/>
        <w:t>pripremiti na zelenije i digitalnije europsko gospodarstvo;</w:t>
      </w:r>
    </w:p>
    <w:p w14:paraId="6ABFDF3B" w14:textId="77777777" w:rsidR="000C2282" w:rsidRPr="002974F5" w:rsidRDefault="000C2282" w:rsidP="000C2282">
      <w:pPr>
        <w:pStyle w:val="NormalHanging12a"/>
        <w:jc w:val="both"/>
      </w:pPr>
      <w:r w:rsidRPr="002974F5">
        <w:t>J.</w:t>
      </w:r>
      <w:r w:rsidRPr="002974F5">
        <w:tab/>
        <w:t>budući da flamanske službe za zapošljavanje (VDAB) osiguravaju nacionalno pretfinanciranje i sufinanciranje mjera;</w:t>
      </w:r>
    </w:p>
    <w:p w14:paraId="5DE3D816" w14:textId="77777777" w:rsidR="000C2282" w:rsidRPr="002974F5" w:rsidRDefault="000C2282" w:rsidP="000C2282">
      <w:pPr>
        <w:widowControl/>
        <w:ind w:left="567" w:hanging="567"/>
        <w:rPr>
          <w:szCs w:val="24"/>
        </w:rPr>
      </w:pPr>
      <w:r w:rsidRPr="002974F5">
        <w:t>K.</w:t>
      </w:r>
      <w:r w:rsidRPr="002974F5">
        <w:rPr>
          <w:color w:val="7030A0"/>
        </w:rPr>
        <w:tab/>
      </w:r>
      <w:r w:rsidRPr="002974F5">
        <w:t>budući da EGF ne smije premašiti najveći godišnji iznos od 30 milijuna EUR (u cijenama iz 2018.), kako je utvrđeno člankom 8. Uredbe (EU, Euratom) 2020/2093 kako je izmijenjena Uredbom (EU, Euratom) 2024/765; budući da bi u skladu s načelom dobrog financijskog upravljanja nepotrošene doprinose trebalo vratiti Komisiji;</w:t>
      </w:r>
    </w:p>
    <w:p w14:paraId="08E5B54A" w14:textId="77777777" w:rsidR="000C2282" w:rsidRPr="002974F5" w:rsidRDefault="000C2282" w:rsidP="000C2282">
      <w:pPr>
        <w:widowControl/>
        <w:ind w:left="567" w:hanging="567"/>
        <w:rPr>
          <w:szCs w:val="24"/>
        </w:rPr>
      </w:pPr>
    </w:p>
    <w:p w14:paraId="6F687D92" w14:textId="77777777" w:rsidR="000C2282" w:rsidRPr="002974F5" w:rsidRDefault="000C2282" w:rsidP="000C2282">
      <w:pPr>
        <w:pStyle w:val="NormalHanging12a"/>
        <w:jc w:val="both"/>
      </w:pPr>
      <w:r w:rsidRPr="002974F5">
        <w:t>1.</w:t>
      </w:r>
      <w:r w:rsidRPr="002974F5">
        <w:tab/>
        <w:t>slaže se s Komisijom da su uvjeti iz članka 4. stavka 2. točke (a) Uredbe o EGF-u ispunjeni i da Belgija u skladu s tom Uredbom ima pravo na financijski doprinos u iznosu od 7 999 015 EUR, odnosno 85 % ukupnog troška od 9 410 607 EUR, što obuhvaća troškove za personalizirane usluge u iznosu od 9 034 607 EUR i troškove za aktivnosti pripreme, upravljanja, informiranja i promidžbe te kontrole i izvješćivanja u iznosu od 376 000 EUR;</w:t>
      </w:r>
    </w:p>
    <w:p w14:paraId="16A631E4" w14:textId="77777777" w:rsidR="000C2282" w:rsidRPr="002974F5" w:rsidRDefault="00182CAE" w:rsidP="000C2282">
      <w:pPr>
        <w:pStyle w:val="NormalHanging12a"/>
        <w:jc w:val="both"/>
      </w:pPr>
      <w:r w:rsidRPr="002974F5">
        <w:t>2.</w:t>
      </w:r>
      <w:r w:rsidR="000C2282" w:rsidRPr="002974F5">
        <w:tab/>
        <w:t xml:space="preserve">primjećuje da su belgijske vlasti zahtjev podnijele 29. listopada 2024. te da je, na temelju dodatnih informacija koje je Belgija pružila, Komisija dovršila ocjenjivanje zahtjeva 26. ožujka 2025. i o tome istoga dana obavijestila Parlament; </w:t>
      </w:r>
    </w:p>
    <w:p w14:paraId="00D4C861" w14:textId="77777777" w:rsidR="000C2282" w:rsidRPr="002974F5" w:rsidRDefault="000C2282" w:rsidP="000C2282">
      <w:pPr>
        <w:pStyle w:val="NormalHanging12a"/>
        <w:jc w:val="both"/>
      </w:pPr>
      <w:r w:rsidRPr="002974F5">
        <w:t>3.</w:t>
      </w:r>
      <w:r w:rsidRPr="002974F5">
        <w:tab/>
        <w:t>prima na znanje da se zahtjev odnosi na 2411 otpuštenih radnika u poduzeću Van Hool; nadalje, napominje da će ukupno 2397 radnika biti ciljani korisnici;</w:t>
      </w:r>
    </w:p>
    <w:p w14:paraId="7E17EED3" w14:textId="77777777" w:rsidR="000C2282" w:rsidRPr="002974F5" w:rsidRDefault="000C2282" w:rsidP="000C2282">
      <w:pPr>
        <w:pStyle w:val="NormalHanging12a"/>
        <w:jc w:val="both"/>
      </w:pPr>
      <w:r w:rsidRPr="002974F5">
        <w:t>4.</w:t>
      </w:r>
      <w:r w:rsidRPr="002974F5">
        <w:tab/>
        <w:t xml:space="preserve">ističe da, prema podacima Federacije belgijskih poduzeća (VBO), industrijski sektor u Belgiji trenutačno bilježi pad; </w:t>
      </w:r>
      <w:r w:rsidR="007E7F1C" w:rsidRPr="002974F5">
        <w:t xml:space="preserve">primjećuje da </w:t>
      </w:r>
      <w:r w:rsidRPr="002974F5">
        <w:t>industrijski sektor tradicionalno ima važnu ulogu u Lieru pa njegovo slabljenje znatno utječe na tržište rada Liera; ističe da se 2023. broj radnih mjesta u industriji u Lieru smanjio za 13 %;</w:t>
      </w:r>
    </w:p>
    <w:p w14:paraId="773220B1" w14:textId="77777777" w:rsidR="000C2282" w:rsidRPr="002974F5" w:rsidRDefault="000C2282" w:rsidP="000C2282">
      <w:pPr>
        <w:pStyle w:val="NormalHanging12a"/>
        <w:jc w:val="both"/>
      </w:pPr>
      <w:r w:rsidRPr="002974F5">
        <w:t>5.</w:t>
      </w:r>
      <w:r w:rsidRPr="002974F5">
        <w:tab/>
        <w:t>naglašava da profili radnika koji su proglašeni viškom, od kojih je jedna trećina u dobi od 50 ili više godina, a 80 % ih ima srednjoškolsko ili niže obrazovanje te zastarjele vještine; ističe da će, uzimajući u obzir silazni trend u pogledu slobodnih radnih mjesta i njihovu geografsku raspodjelu, radnicima biti potrebna ciljana potpora usmjerena na usavršavanje i prekvalifikaciju kako bi se povećali njihovi izgledi za ponovno zaposlenje; smatra da je društvena odgovornost Unije i država članica pružiti pogođenim radnicima mogućnost stjecanja potrebnih kvalifikacija za buduće zapošljavanje;</w:t>
      </w:r>
    </w:p>
    <w:p w14:paraId="591D1E69" w14:textId="77777777" w:rsidR="000C2282" w:rsidRPr="002974F5" w:rsidRDefault="000C2282" w:rsidP="000C2282">
      <w:pPr>
        <w:pStyle w:val="NormalHanging12a"/>
        <w:jc w:val="both"/>
      </w:pPr>
      <w:r w:rsidRPr="002974F5">
        <w:t>6.</w:t>
      </w:r>
      <w:r w:rsidRPr="002974F5">
        <w:tab/>
        <w:t>pozdravlja činjenicu da će se personalizirane usluge koje će se pružati radnicima sastojati od sljedećih mjera: savjetnik za socijalnu intervenciju i prijava radnika, pronalaženje novog radnog mjesta, potpora pri traženju zaposlenja i posredovanje pri zapošljavanju, strukovno usmjeravanje, prekvalifikacija i strukovno osposobljavanje, kao i osposobljavanje na radnom mjestu; posebno ističe usluge povezane s ciljanom potporom i osobnom procjenom, kao i osposobljavanje u području IKT-a koje doprinosi usavršavanju potrebnom u digitalnom industrijskom dobu;</w:t>
      </w:r>
    </w:p>
    <w:p w14:paraId="4D248294" w14:textId="77777777" w:rsidR="000C2282" w:rsidRPr="002974F5" w:rsidRDefault="000C2282" w:rsidP="000C2282">
      <w:pPr>
        <w:pStyle w:val="NormalHanging12a"/>
        <w:jc w:val="both"/>
      </w:pPr>
      <w:r w:rsidRPr="002974F5">
        <w:t>7.</w:t>
      </w:r>
      <w:r w:rsidRPr="002974F5">
        <w:tab/>
        <w:t>prima na znanje da je Belgija ciljanim korisnicima počela pružati personalizirane usluge 22. travnja 2024. i da će stoga razdoblje prihvatljivosti za financijski doprinos iz EGF-a trajati od tog datuma do datuma koji nastupi 24 mjeseca nakon stupanja na snagu odluke o financiranju;</w:t>
      </w:r>
    </w:p>
    <w:p w14:paraId="0CB238D7" w14:textId="77777777" w:rsidR="000C2282" w:rsidRPr="002974F5" w:rsidRDefault="000C2282" w:rsidP="000C2282">
      <w:pPr>
        <w:pStyle w:val="NormalHanging12a"/>
        <w:jc w:val="both"/>
        <w:rPr>
          <w:sz w:val="23"/>
          <w:szCs w:val="23"/>
        </w:rPr>
      </w:pPr>
      <w:r w:rsidRPr="002974F5">
        <w:t>8.</w:t>
      </w:r>
      <w:r w:rsidRPr="002974F5">
        <w:tab/>
        <w:t xml:space="preserve">napominje da Belgija od 14. ožujka 2024. snosi administrativne izdatke provedbe EGF-a </w:t>
      </w:r>
      <w:r w:rsidRPr="002974F5">
        <w:lastRenderedPageBreak/>
        <w:t>te da ti izdaci stoga ispunjavaju uvjete za financijski doprinos iz EGF-a od tog datuma do datuma koji nastupi 31 mjesec nakon stupanja na snagu odluke o financiranju;</w:t>
      </w:r>
    </w:p>
    <w:p w14:paraId="2C3B581D" w14:textId="77777777" w:rsidR="000C2282" w:rsidRPr="002974F5" w:rsidRDefault="000C2282" w:rsidP="000C2282">
      <w:pPr>
        <w:pStyle w:val="NormalHanging12a"/>
        <w:jc w:val="both"/>
      </w:pPr>
      <w:r w:rsidRPr="002974F5">
        <w:t>9.</w:t>
      </w:r>
      <w:r w:rsidRPr="002974F5">
        <w:tab/>
        <w:t>naglašava da su belgijske vlasti potvrdile da će se u pristupu predloženim mjerama i u njihovoj provedbi poštovati načela jednakog postupanja i nediskriminacije te da će se spriječiti svako dvostruko financiranje;</w:t>
      </w:r>
    </w:p>
    <w:p w14:paraId="7BB0195D" w14:textId="77777777" w:rsidR="000C2282" w:rsidRPr="002974F5" w:rsidRDefault="000C2282" w:rsidP="000C2282">
      <w:pPr>
        <w:pStyle w:val="NormalHanging12a"/>
        <w:jc w:val="both"/>
      </w:pPr>
      <w:r w:rsidRPr="002974F5">
        <w:t>10.</w:t>
      </w:r>
      <w:r w:rsidRPr="002974F5">
        <w:tab/>
        <w:t>podsjeća da belgijske vlasti moraju osigurati da ravnopravnost muškaraca i žena i integracija rodne perspektive budu sastavni dio provedbe mjera te da se promiču tijekom cijelog razdoblja provedbe;</w:t>
      </w:r>
    </w:p>
    <w:p w14:paraId="2DC9F3E8" w14:textId="77777777" w:rsidR="000C2282" w:rsidRPr="002974F5" w:rsidRDefault="000C2282" w:rsidP="000C2282">
      <w:pPr>
        <w:pStyle w:val="NormalHanging12a"/>
        <w:jc w:val="both"/>
      </w:pPr>
      <w:r w:rsidRPr="002974F5">
        <w:t>11.</w:t>
      </w:r>
      <w:r w:rsidRPr="002974F5">
        <w:tab/>
        <w:t>ponovno ističe da pomoć iz EGF-a ne smije zamijeniti mjere za koje su prema nacionalnom pravu ili kolektivnim ugovorima odgovorna poduzeća;</w:t>
      </w:r>
    </w:p>
    <w:p w14:paraId="379ECD25" w14:textId="77777777" w:rsidR="000C2282" w:rsidRPr="002974F5" w:rsidRDefault="000C2282" w:rsidP="000C2282">
      <w:pPr>
        <w:pStyle w:val="NormalHanging12a"/>
        <w:jc w:val="both"/>
      </w:pPr>
      <w:r w:rsidRPr="002974F5">
        <w:t>12.</w:t>
      </w:r>
      <w:r w:rsidRPr="002974F5">
        <w:tab/>
        <w:t>podsjeća da belgijske vlasti moraju priznati izvor financiranja, kao i jamčiti vidljivost financiranja Unije, te isticati dodanu vrijednost Unije do koje je došlo zahvaljujući intervenciji, i to pružanjem koherentnih, učinkovitih i ciljanih informacija različitoj publici, među ostalim usmjerenih informacija korisnicima, lokalnim i regionalnim vlastima, socijalnim partnerima, medijima i javnosti;</w:t>
      </w:r>
    </w:p>
    <w:p w14:paraId="6230D151" w14:textId="77777777" w:rsidR="000C2282" w:rsidRPr="002974F5" w:rsidRDefault="000C2282" w:rsidP="000C2282">
      <w:pPr>
        <w:pStyle w:val="NormalHanging12a"/>
        <w:jc w:val="both"/>
      </w:pPr>
      <w:r w:rsidRPr="002974F5">
        <w:t>13.</w:t>
      </w:r>
      <w:r w:rsidRPr="002974F5">
        <w:tab/>
        <w:t>odobrava Odluku priloženu ovoj Rezoluciji;</w:t>
      </w:r>
    </w:p>
    <w:p w14:paraId="05DAF835" w14:textId="77777777" w:rsidR="000C2282" w:rsidRPr="002974F5" w:rsidRDefault="000C2282" w:rsidP="000C2282">
      <w:pPr>
        <w:pStyle w:val="NormalHanging12a"/>
        <w:jc w:val="both"/>
      </w:pPr>
      <w:r w:rsidRPr="002974F5">
        <w:t>14.</w:t>
      </w:r>
      <w:r w:rsidRPr="002974F5">
        <w:tab/>
        <w:t xml:space="preserve">nalaže svojoj predsjednici da potpiše ovu Odluku zajedno s predsjednikom Vijeća te da je da na objavu u </w:t>
      </w:r>
      <w:r w:rsidRPr="002974F5">
        <w:rPr>
          <w:i/>
          <w:iCs/>
        </w:rPr>
        <w:t>Službenom listu Europske unije</w:t>
      </w:r>
      <w:r w:rsidRPr="002974F5">
        <w:t>;</w:t>
      </w:r>
    </w:p>
    <w:p w14:paraId="3C70AC52" w14:textId="77777777" w:rsidR="000C2282" w:rsidRPr="002974F5" w:rsidRDefault="000C2282" w:rsidP="000C2282">
      <w:pPr>
        <w:pStyle w:val="NormalHanging12a"/>
        <w:sectPr w:rsidR="000C2282" w:rsidRPr="002974F5" w:rsidSect="00BC6BF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974F5">
        <w:t>15.</w:t>
      </w:r>
      <w:r w:rsidRPr="002974F5">
        <w:tab/>
        <w:t>nalaže svojoj predsjednici da ovu Rezoluciju, zajedno s njezinim Prilogom, proslijedi Vijeću i Komisiji.</w:t>
      </w:r>
    </w:p>
    <w:p w14:paraId="6A878EDC" w14:textId="77777777" w:rsidR="00C36959" w:rsidRDefault="0043014C" w:rsidP="0043014C">
      <w:pPr>
        <w:pStyle w:val="PageHeading"/>
        <w:rPr>
          <w:rFonts w:ascii="Times New Roman" w:hAnsi="Times New Roman" w:cs="Times New Roman"/>
        </w:rPr>
      </w:pPr>
      <w:bookmarkStart w:id="7" w:name="_Toc197344071"/>
      <w:r w:rsidRPr="002974F5">
        <w:rPr>
          <w:rFonts w:ascii="Times New Roman" w:hAnsi="Times New Roman" w:cs="Times New Roman"/>
        </w:rPr>
        <w:lastRenderedPageBreak/>
        <w:t>PRILOG</w:t>
      </w:r>
    </w:p>
    <w:p w14:paraId="498F9FED" w14:textId="3AB5C65C" w:rsidR="0043014C" w:rsidRPr="002974F5" w:rsidRDefault="0043014C" w:rsidP="0043014C">
      <w:pPr>
        <w:pStyle w:val="PageHeading"/>
        <w:rPr>
          <w:rFonts w:ascii="Times New Roman" w:hAnsi="Times New Roman" w:cs="Times New Roman"/>
        </w:rPr>
      </w:pPr>
      <w:r w:rsidRPr="002974F5">
        <w:rPr>
          <w:rFonts w:ascii="Times New Roman" w:hAnsi="Times New Roman" w:cs="Times New Roman"/>
        </w:rPr>
        <w:t>ODLUKA EUROPSKOG PARLAMENTA I VIJEĆA</w:t>
      </w:r>
      <w:bookmarkEnd w:id="7"/>
      <w:r w:rsidRPr="002974F5">
        <w:rPr>
          <w:rFonts w:ascii="Times New Roman" w:hAnsi="Times New Roman" w:cs="Times New Roman"/>
        </w:rPr>
        <w:t xml:space="preserve"> </w:t>
      </w:r>
    </w:p>
    <w:p w14:paraId="25F734A5" w14:textId="77777777" w:rsidR="000C2282" w:rsidRDefault="000C2282" w:rsidP="0043014C">
      <w:pPr>
        <w:pStyle w:val="PageHeading"/>
        <w:jc w:val="left"/>
        <w:rPr>
          <w:rFonts w:ascii="Times New Roman" w:hAnsi="Times New Roman" w:cs="Times New Roman"/>
        </w:rPr>
      </w:pPr>
      <w:r w:rsidRPr="002974F5">
        <w:rPr>
          <w:rFonts w:ascii="Times New Roman" w:hAnsi="Times New Roman" w:cs="Times New Roman"/>
        </w:rPr>
        <w:t xml:space="preserve">o mobilizaciji Europskog fonda za prilagodbu globalizaciji za radnike koji su proglašeni viškom na temelju zahtjeva Belgije </w:t>
      </w:r>
      <w:r w:rsidR="0043014C" w:rsidRPr="00C36959">
        <w:rPr>
          <w:rFonts w:ascii="Times New Roman" w:hAnsi="Times New Roman" w:cs="Times New Roman"/>
        </w:rPr>
        <w:t xml:space="preserve">– </w:t>
      </w:r>
      <w:r w:rsidRPr="002974F5">
        <w:rPr>
          <w:rFonts w:ascii="Times New Roman" w:hAnsi="Times New Roman" w:cs="Times New Roman"/>
        </w:rPr>
        <w:t>EGF/2024/003 BE/Van Hool</w:t>
      </w:r>
    </w:p>
    <w:p w14:paraId="17AB66D9" w14:textId="77777777" w:rsidR="00C71540" w:rsidRPr="00C71540" w:rsidRDefault="00C71540" w:rsidP="0043014C">
      <w:pPr>
        <w:pStyle w:val="PageHeading"/>
        <w:jc w:val="left"/>
        <w:rPr>
          <w:rFonts w:ascii="Times New Roman" w:hAnsi="Times New Roman" w:cs="Times New Roman"/>
          <w:b w:val="0"/>
          <w:i/>
        </w:rPr>
      </w:pPr>
      <w:r w:rsidRPr="00C71540">
        <w:rPr>
          <w:rFonts w:ascii="Times New Roman" w:hAnsi="Times New Roman" w:cs="Times New Roman"/>
          <w:b w:val="0"/>
          <w:i/>
        </w:rPr>
        <w:t>(Tekst ovog priloga nije naveden ovdje budući da odgovara</w:t>
      </w:r>
      <w:r>
        <w:rPr>
          <w:rFonts w:ascii="Times New Roman" w:hAnsi="Times New Roman" w:cs="Times New Roman"/>
          <w:b w:val="0"/>
          <w:i/>
        </w:rPr>
        <w:t xml:space="preserve"> konačnom aktu, Odluci (EU) </w:t>
      </w:r>
      <w:r w:rsidRPr="00C71540">
        <w:rPr>
          <w:rFonts w:ascii="Times New Roman" w:hAnsi="Times New Roman" w:cs="Times New Roman"/>
          <w:b w:val="0"/>
          <w:i/>
        </w:rPr>
        <w:t>2025/1018</w:t>
      </w:r>
      <w:r>
        <w:rPr>
          <w:rFonts w:ascii="Times New Roman" w:hAnsi="Times New Roman" w:cs="Times New Roman"/>
          <w:b w:val="0"/>
          <w:i/>
        </w:rPr>
        <w:t>.</w:t>
      </w:r>
      <w:r w:rsidRPr="00C71540">
        <w:rPr>
          <w:rFonts w:ascii="Times New Roman" w:hAnsi="Times New Roman" w:cs="Times New Roman"/>
          <w:b w:val="0"/>
          <w:i/>
        </w:rPr>
        <w:t>)</w:t>
      </w:r>
    </w:p>
    <w:sectPr w:rsidR="00C71540" w:rsidRPr="00C71540" w:rsidSect="00BC6BF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AB994" w14:textId="77777777" w:rsidR="000A7CD8" w:rsidRPr="00BC6BF1" w:rsidRDefault="000A7CD8">
      <w:r w:rsidRPr="00BC6BF1">
        <w:separator/>
      </w:r>
    </w:p>
  </w:endnote>
  <w:endnote w:type="continuationSeparator" w:id="0">
    <w:p w14:paraId="153E141B" w14:textId="77777777" w:rsidR="000A7CD8" w:rsidRPr="00BC6BF1" w:rsidRDefault="000A7CD8">
      <w:r w:rsidRPr="00BC6B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53ED0" w14:textId="77777777" w:rsidR="000C2282" w:rsidRPr="00BC6BF1" w:rsidRDefault="000C2282" w:rsidP="000C6D0C">
    <w:pPr>
      <w:pStyle w:val="EPFooter"/>
    </w:pPr>
    <w:r w:rsidRPr="00BC6BF1">
      <w:t>PE</w:t>
    </w:r>
    <w:r w:rsidRPr="00BC6BF1">
      <w:rPr>
        <w:rStyle w:val="HideTWBExt"/>
      </w:rPr>
      <w:t>&lt;NoPE&gt;</w:t>
    </w:r>
    <w:r w:rsidRPr="00BC6BF1">
      <w:t>771.884</w:t>
    </w:r>
    <w:r w:rsidRPr="00BC6BF1">
      <w:rPr>
        <w:rStyle w:val="HideTWBExt"/>
      </w:rPr>
      <w:t>&lt;/NoPE&gt;&lt;Version&gt;</w:t>
    </w:r>
    <w:r w:rsidRPr="00BC6BF1">
      <w:t>v03-00</w:t>
    </w:r>
    <w:r w:rsidRPr="00BC6BF1">
      <w:rPr>
        <w:rStyle w:val="HideTWBExt"/>
      </w:rPr>
      <w:t>&lt;/Version&gt;</w:t>
    </w:r>
    <w:r w:rsidRPr="00BC6BF1">
      <w:tab/>
    </w:r>
    <w:r w:rsidRPr="00BC6BF1">
      <w:fldChar w:fldCharType="begin"/>
    </w:r>
    <w:r w:rsidRPr="00BC6BF1">
      <w:instrText xml:space="preserve"> PAGE  \* MERGEFORMAT </w:instrText>
    </w:r>
    <w:r w:rsidRPr="00BC6BF1">
      <w:fldChar w:fldCharType="separate"/>
    </w:r>
    <w:r w:rsidR="00BC6BF1" w:rsidRPr="00BC6BF1">
      <w:rPr>
        <w:noProof/>
      </w:rPr>
      <w:t>2</w:t>
    </w:r>
    <w:r w:rsidRPr="00BC6BF1">
      <w:fldChar w:fldCharType="end"/>
    </w:r>
    <w:r w:rsidRPr="00BC6BF1">
      <w:t>/</w:t>
    </w:r>
    <w:fldSimple w:instr=" NUMPAGES  \* MERGEFORMAT ">
      <w:r w:rsidR="00BC6BF1" w:rsidRPr="00BC6BF1">
        <w:rPr>
          <w:noProof/>
        </w:rPr>
        <w:t>8</w:t>
      </w:r>
    </w:fldSimple>
    <w:r w:rsidRPr="00BC6BF1">
      <w:tab/>
    </w:r>
    <w:r w:rsidRPr="00BC6BF1">
      <w:rPr>
        <w:rStyle w:val="HideTWBExt"/>
      </w:rPr>
      <w:t>&lt;PathFdR&gt;</w:t>
    </w:r>
    <w:r w:rsidRPr="00BC6BF1">
      <w:t>RR\1320028HR.docx</w:t>
    </w:r>
    <w:r w:rsidRPr="00BC6BF1">
      <w:rPr>
        <w:rStyle w:val="HideTWBExt"/>
      </w:rPr>
      <w:t>&lt;/PathFdR&gt;</w:t>
    </w:r>
  </w:p>
  <w:p w14:paraId="2D5797D7" w14:textId="77777777" w:rsidR="000C2282" w:rsidRPr="00BC6BF1" w:rsidRDefault="000C2282" w:rsidP="000C6D0C">
    <w:pPr>
      <w:pStyle w:val="EPFooter2"/>
    </w:pPr>
    <w:r w:rsidRPr="00BC6BF1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DB599" w14:textId="77777777" w:rsidR="000C2282" w:rsidRPr="00BC6BF1" w:rsidRDefault="000C2282" w:rsidP="000C6D0C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DCEE5" w14:textId="77777777" w:rsidR="000C2282" w:rsidRPr="00BC6BF1" w:rsidRDefault="000C2282" w:rsidP="000C6D0C">
    <w:pPr>
      <w:pStyle w:val="EPFooter"/>
    </w:pPr>
    <w:r w:rsidRPr="00BC6BF1">
      <w:rPr>
        <w:rStyle w:val="HideTWBExt"/>
      </w:rPr>
      <w:t>&lt;PathFdR&gt;</w:t>
    </w:r>
    <w:r w:rsidRPr="00BC6BF1">
      <w:t>RR\1320028HR.docx</w:t>
    </w:r>
    <w:r w:rsidRPr="00BC6BF1">
      <w:rPr>
        <w:rStyle w:val="HideTWBExt"/>
      </w:rPr>
      <w:t>&lt;/PathFdR&gt;</w:t>
    </w:r>
    <w:r w:rsidRPr="00BC6BF1">
      <w:tab/>
    </w:r>
    <w:r w:rsidRPr="00BC6BF1">
      <w:tab/>
      <w:t>PE</w:t>
    </w:r>
    <w:r w:rsidRPr="00BC6BF1">
      <w:rPr>
        <w:rStyle w:val="HideTWBExt"/>
      </w:rPr>
      <w:t>&lt;NoPE&gt;</w:t>
    </w:r>
    <w:r w:rsidRPr="00BC6BF1">
      <w:t>771.884</w:t>
    </w:r>
    <w:r w:rsidRPr="00BC6BF1">
      <w:rPr>
        <w:rStyle w:val="HideTWBExt"/>
      </w:rPr>
      <w:t>&lt;/NoPE&gt;&lt;Version&gt;</w:t>
    </w:r>
    <w:r w:rsidRPr="00BC6BF1">
      <w:t>v03-00</w:t>
    </w:r>
    <w:r w:rsidRPr="00BC6BF1">
      <w:rPr>
        <w:rStyle w:val="HideTWBExt"/>
      </w:rPr>
      <w:t>&lt;/Version&gt;</w:t>
    </w:r>
  </w:p>
  <w:p w14:paraId="6316D0ED" w14:textId="77777777" w:rsidR="000C2282" w:rsidRPr="00BC6BF1" w:rsidRDefault="000C2282" w:rsidP="000C6D0C">
    <w:pPr>
      <w:pStyle w:val="EPFooter2"/>
    </w:pPr>
    <w:r w:rsidRPr="00BC6BF1">
      <w:t>HR</w:t>
    </w:r>
    <w:r w:rsidRPr="00BC6BF1">
      <w:tab/>
    </w:r>
    <w:r w:rsidRPr="00BC6BF1">
      <w:rPr>
        <w:b w:val="0"/>
        <w:i/>
        <w:color w:val="C0C0C0"/>
        <w:sz w:val="22"/>
      </w:rPr>
      <w:t>Ujedinjena u raznolikosti</w:t>
    </w:r>
    <w:r w:rsidRPr="00BC6BF1">
      <w:tab/>
      <w:t>HR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978F6" w14:textId="77777777" w:rsidR="00064002" w:rsidRPr="00BC6BF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7FA87" w14:textId="77777777" w:rsidR="00064002" w:rsidRPr="00BC6BF1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3E8C" w14:textId="77777777" w:rsidR="00064002" w:rsidRPr="00BC6BF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46FBD" w14:textId="77777777" w:rsidR="000A7CD8" w:rsidRPr="00BC6BF1" w:rsidRDefault="000A7CD8">
      <w:r w:rsidRPr="00BC6BF1">
        <w:separator/>
      </w:r>
    </w:p>
  </w:footnote>
  <w:footnote w:type="continuationSeparator" w:id="0">
    <w:p w14:paraId="1C0A4B86" w14:textId="77777777" w:rsidR="000A7CD8" w:rsidRPr="00BC6BF1" w:rsidRDefault="000A7CD8">
      <w:r w:rsidRPr="00BC6BF1">
        <w:continuationSeparator/>
      </w:r>
    </w:p>
  </w:footnote>
  <w:footnote w:id="1">
    <w:p w14:paraId="7B14ADDC" w14:textId="77777777" w:rsidR="000C2282" w:rsidRPr="00BC6BF1" w:rsidRDefault="000C2282" w:rsidP="00BC6BF1">
      <w:pPr>
        <w:pStyle w:val="FootnoteText"/>
        <w:ind w:left="567" w:hanging="567"/>
        <w:rPr>
          <w:sz w:val="24"/>
          <w:lang w:val="hr-HR"/>
        </w:rPr>
      </w:pPr>
      <w:r w:rsidRPr="00BC6BF1">
        <w:rPr>
          <w:rStyle w:val="FootnoteReference"/>
          <w:sz w:val="24"/>
          <w:lang w:val="hr-HR"/>
        </w:rPr>
        <w:footnoteRef/>
      </w:r>
      <w:r w:rsidR="00BC6BF1" w:rsidRPr="00BC6BF1">
        <w:rPr>
          <w:sz w:val="24"/>
          <w:lang w:val="hr-HR"/>
        </w:rPr>
        <w:t xml:space="preserve"> </w:t>
      </w:r>
      <w:r w:rsidR="00BC6BF1" w:rsidRPr="00BC6BF1">
        <w:rPr>
          <w:sz w:val="24"/>
          <w:lang w:val="hr-HR"/>
        </w:rPr>
        <w:tab/>
      </w:r>
      <w:r w:rsidRPr="00BC6BF1">
        <w:rPr>
          <w:sz w:val="24"/>
          <w:lang w:val="hr-HR"/>
        </w:rPr>
        <w:t>SL L 153, 3.5.2021., str. 48.,</w:t>
      </w:r>
      <w:r w:rsidR="00182CAE">
        <w:rPr>
          <w:sz w:val="24"/>
          <w:lang w:val="hr-HR"/>
        </w:rPr>
        <w:t xml:space="preserve"> ELI:</w:t>
      </w:r>
      <w:r w:rsidRPr="00BC6BF1">
        <w:rPr>
          <w:sz w:val="24"/>
          <w:lang w:val="hr-HR"/>
        </w:rPr>
        <w:t xml:space="preserve"> </w:t>
      </w:r>
      <w:hyperlink r:id="rId1" w:history="1">
        <w:r w:rsidRPr="00182CAE">
          <w:rPr>
            <w:rStyle w:val="Hyperlink"/>
            <w:sz w:val="24"/>
            <w:lang w:val="hr-HR"/>
          </w:rPr>
          <w:t>http://data.europa.eu/eli/reg/2021/691/oj</w:t>
        </w:r>
      </w:hyperlink>
      <w:r w:rsidRPr="00BC6BF1">
        <w:rPr>
          <w:sz w:val="24"/>
          <w:lang w:val="hr-HR"/>
        </w:rPr>
        <w:t>.</w:t>
      </w:r>
    </w:p>
  </w:footnote>
  <w:footnote w:id="2">
    <w:p w14:paraId="635EBF37" w14:textId="77777777" w:rsidR="000C2282" w:rsidRPr="00BC6BF1" w:rsidRDefault="000C2282" w:rsidP="00BC6BF1">
      <w:pPr>
        <w:pStyle w:val="FootnoteText"/>
        <w:ind w:left="567" w:hanging="567"/>
        <w:rPr>
          <w:sz w:val="24"/>
          <w:lang w:val="hr-HR"/>
        </w:rPr>
      </w:pPr>
      <w:r w:rsidRPr="00BC6BF1">
        <w:rPr>
          <w:rStyle w:val="FootnoteReference"/>
          <w:sz w:val="24"/>
          <w:lang w:val="hr-HR"/>
        </w:rPr>
        <w:footnoteRef/>
      </w:r>
      <w:r w:rsidR="00BC6BF1" w:rsidRPr="00BC6BF1">
        <w:rPr>
          <w:sz w:val="24"/>
          <w:lang w:val="hr-HR"/>
        </w:rPr>
        <w:t xml:space="preserve"> </w:t>
      </w:r>
      <w:r w:rsidR="00BC6BF1" w:rsidRPr="00BC6BF1">
        <w:rPr>
          <w:sz w:val="24"/>
          <w:lang w:val="hr-HR"/>
        </w:rPr>
        <w:tab/>
      </w:r>
      <w:r w:rsidRPr="00BC6BF1">
        <w:rPr>
          <w:sz w:val="24"/>
          <w:lang w:val="hr-HR"/>
        </w:rPr>
        <w:t xml:space="preserve">SL L 433 I, 22.12.2020., str. 11., ELI: </w:t>
      </w:r>
      <w:hyperlink r:id="rId2" w:history="1">
        <w:r w:rsidRPr="00182CAE">
          <w:rPr>
            <w:rStyle w:val="Hyperlink"/>
            <w:sz w:val="24"/>
            <w:lang w:val="hr-HR"/>
          </w:rPr>
          <w:t>http://data.europa.eu/eli/reg/2020/2093/oj</w:t>
        </w:r>
      </w:hyperlink>
      <w:r w:rsidRPr="00BC6BF1">
        <w:rPr>
          <w:sz w:val="24"/>
          <w:lang w:val="hr-HR"/>
        </w:rPr>
        <w:t>.</w:t>
      </w:r>
    </w:p>
  </w:footnote>
  <w:footnote w:id="3">
    <w:p w14:paraId="44DA8935" w14:textId="77777777" w:rsidR="000C2282" w:rsidRPr="00BC6BF1" w:rsidRDefault="000C2282" w:rsidP="00BC6BF1">
      <w:pPr>
        <w:pStyle w:val="FootnoteText"/>
        <w:ind w:left="567" w:hanging="567"/>
        <w:rPr>
          <w:sz w:val="24"/>
          <w:lang w:val="hr-HR"/>
        </w:rPr>
      </w:pPr>
      <w:r w:rsidRPr="00BC6BF1">
        <w:rPr>
          <w:rStyle w:val="FootnoteReference"/>
          <w:sz w:val="24"/>
          <w:lang w:val="hr-HR"/>
        </w:rPr>
        <w:footnoteRef/>
      </w:r>
      <w:r w:rsidR="00BC6BF1" w:rsidRPr="00BC6BF1">
        <w:rPr>
          <w:color w:val="333333"/>
          <w:sz w:val="24"/>
          <w:shd w:val="clear" w:color="auto" w:fill="FFFFFF"/>
          <w:lang w:val="hr-HR"/>
        </w:rPr>
        <w:t xml:space="preserve"> </w:t>
      </w:r>
      <w:r w:rsidR="00BC6BF1" w:rsidRPr="00BC6BF1">
        <w:rPr>
          <w:color w:val="333333"/>
          <w:sz w:val="24"/>
          <w:shd w:val="clear" w:color="auto" w:fill="FFFFFF"/>
          <w:lang w:val="hr-HR"/>
        </w:rPr>
        <w:tab/>
      </w:r>
      <w:r w:rsidRPr="00BC6BF1">
        <w:rPr>
          <w:color w:val="333333"/>
          <w:sz w:val="24"/>
          <w:shd w:val="clear" w:color="auto" w:fill="FFFFFF"/>
          <w:lang w:val="hr-HR"/>
        </w:rPr>
        <w:t xml:space="preserve">Uredba Vijeća (EU, Euratom) 2024/765 od 29. veljače 2024. o izmjeni Uredbe (EU, Euratom) 2020/2093 kojom se utvrđuje višegodišnji financijski okvir za razdoblje </w:t>
      </w:r>
      <w:r w:rsidRPr="00BC6BF1">
        <w:rPr>
          <w:sz w:val="24"/>
          <w:lang w:val="hr-HR"/>
        </w:rPr>
        <w:t xml:space="preserve">2021. – 2027. (SL L, 2024/765, 29.2.2024., ELI: </w:t>
      </w:r>
      <w:hyperlink r:id="rId3" w:history="1">
        <w:r w:rsidRPr="00182CAE">
          <w:rPr>
            <w:rStyle w:val="Hyperlink"/>
            <w:sz w:val="24"/>
            <w:lang w:val="hr-HR"/>
          </w:rPr>
          <w:t>http://data.europa.eu/eli/reg/2024/765/oj</w:t>
        </w:r>
      </w:hyperlink>
      <w:r w:rsidRPr="00BC6BF1">
        <w:rPr>
          <w:sz w:val="24"/>
          <w:lang w:val="hr-HR"/>
        </w:rPr>
        <w:t>).</w:t>
      </w:r>
    </w:p>
  </w:footnote>
  <w:footnote w:id="4">
    <w:p w14:paraId="0ECE8322" w14:textId="77777777" w:rsidR="000C2282" w:rsidRPr="00BC6BF1" w:rsidRDefault="000C2282" w:rsidP="00BC6BF1">
      <w:pPr>
        <w:pStyle w:val="FootnoteText"/>
        <w:ind w:left="567" w:hanging="567"/>
        <w:rPr>
          <w:sz w:val="24"/>
          <w:lang w:val="hr-HR"/>
        </w:rPr>
      </w:pPr>
      <w:r w:rsidRPr="00BC6BF1">
        <w:rPr>
          <w:rStyle w:val="FootnoteReference"/>
          <w:sz w:val="24"/>
          <w:lang w:val="hr-HR"/>
        </w:rPr>
        <w:footnoteRef/>
      </w:r>
      <w:r w:rsidR="00BC6BF1" w:rsidRPr="00BC6BF1">
        <w:rPr>
          <w:sz w:val="24"/>
          <w:lang w:val="hr-HR"/>
        </w:rPr>
        <w:t xml:space="preserve"> </w:t>
      </w:r>
      <w:r w:rsidR="00BC6BF1" w:rsidRPr="00BC6BF1">
        <w:rPr>
          <w:sz w:val="24"/>
          <w:lang w:val="hr-HR"/>
        </w:rPr>
        <w:tab/>
      </w:r>
      <w:r w:rsidRPr="00BC6BF1">
        <w:rPr>
          <w:sz w:val="24"/>
          <w:lang w:val="hr-HR"/>
        </w:rPr>
        <w:t xml:space="preserve">SL L 433 I, 22.12.2020., str. 28., ELI: </w:t>
      </w:r>
      <w:hyperlink r:id="rId4" w:history="1">
        <w:r w:rsidRPr="00182CAE">
          <w:rPr>
            <w:rStyle w:val="Hyperlink"/>
            <w:sz w:val="24"/>
            <w:lang w:val="hr-HR"/>
          </w:rPr>
          <w:t>http://data.europa.eu/eli/agree_interinstit/2020/1222/oj</w:t>
        </w:r>
      </w:hyperlink>
      <w:r w:rsidRPr="00BC6BF1">
        <w:rPr>
          <w:sz w:val="24"/>
          <w:lang w:val="hr-HR"/>
        </w:rPr>
        <w:t>.</w:t>
      </w:r>
    </w:p>
  </w:footnote>
  <w:footnote w:id="5">
    <w:p w14:paraId="238970C4" w14:textId="77777777" w:rsidR="000C2282" w:rsidRPr="00BC6BF1" w:rsidRDefault="000C2282" w:rsidP="00BC6BF1">
      <w:pPr>
        <w:pStyle w:val="FootnoteText"/>
        <w:ind w:left="567" w:hanging="567"/>
        <w:rPr>
          <w:sz w:val="24"/>
          <w:lang w:val="hr-HR"/>
        </w:rPr>
      </w:pPr>
      <w:r w:rsidRPr="00BC6BF1">
        <w:rPr>
          <w:rStyle w:val="FootnoteReference"/>
          <w:sz w:val="24"/>
          <w:lang w:val="hr-HR"/>
        </w:rPr>
        <w:footnoteRef/>
      </w:r>
      <w:r w:rsidR="00BC6BF1" w:rsidRPr="00BC6BF1">
        <w:rPr>
          <w:sz w:val="24"/>
          <w:lang w:val="hr-HR"/>
        </w:rPr>
        <w:t xml:space="preserve"> </w:t>
      </w:r>
      <w:r w:rsidR="00BC6BF1" w:rsidRPr="00BC6BF1">
        <w:rPr>
          <w:sz w:val="24"/>
          <w:lang w:val="hr-HR"/>
        </w:rPr>
        <w:tab/>
      </w:r>
      <w:r w:rsidRPr="00BC6BF1">
        <w:rPr>
          <w:sz w:val="24"/>
          <w:lang w:val="hr-HR"/>
        </w:rPr>
        <w:t>U smislu članka 3. Uredbe o EGF-u.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FE8B6" w14:textId="77777777" w:rsidR="000C2282" w:rsidRPr="00BC6BF1" w:rsidRDefault="000C22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1BBB2" w14:textId="77777777" w:rsidR="000C2282" w:rsidRPr="00BC6BF1" w:rsidRDefault="000C22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F360A" w14:textId="77777777" w:rsidR="000C2282" w:rsidRPr="00BC6BF1" w:rsidRDefault="000C228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9B659" w14:textId="77777777" w:rsidR="00064002" w:rsidRPr="00BC6BF1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D2348" w14:textId="77777777" w:rsidR="00064002" w:rsidRPr="00BC6BF1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C8641" w14:textId="77777777" w:rsidR="00064002" w:rsidRPr="00BC6BF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62689462">
    <w:abstractNumId w:val="9"/>
  </w:num>
  <w:num w:numId="2" w16cid:durableId="608200816">
    <w:abstractNumId w:val="9"/>
  </w:num>
  <w:num w:numId="3" w16cid:durableId="1507282475">
    <w:abstractNumId w:val="7"/>
  </w:num>
  <w:num w:numId="4" w16cid:durableId="503131631">
    <w:abstractNumId w:val="7"/>
  </w:num>
  <w:num w:numId="5" w16cid:durableId="178281869">
    <w:abstractNumId w:val="6"/>
  </w:num>
  <w:num w:numId="6" w16cid:durableId="2110929898">
    <w:abstractNumId w:val="6"/>
  </w:num>
  <w:num w:numId="7" w16cid:durableId="2075351580">
    <w:abstractNumId w:val="5"/>
  </w:num>
  <w:num w:numId="8" w16cid:durableId="548802438">
    <w:abstractNumId w:val="5"/>
  </w:num>
  <w:num w:numId="9" w16cid:durableId="1335760014">
    <w:abstractNumId w:val="4"/>
  </w:num>
  <w:num w:numId="10" w16cid:durableId="901209678">
    <w:abstractNumId w:val="4"/>
  </w:num>
  <w:num w:numId="11" w16cid:durableId="1489786415">
    <w:abstractNumId w:val="8"/>
  </w:num>
  <w:num w:numId="12" w16cid:durableId="1224561043">
    <w:abstractNumId w:val="8"/>
  </w:num>
  <w:num w:numId="13" w16cid:durableId="348676880">
    <w:abstractNumId w:val="3"/>
  </w:num>
  <w:num w:numId="14" w16cid:durableId="922182309">
    <w:abstractNumId w:val="3"/>
  </w:num>
  <w:num w:numId="15" w16cid:durableId="1684277726">
    <w:abstractNumId w:val="2"/>
  </w:num>
  <w:num w:numId="16" w16cid:durableId="142553146">
    <w:abstractNumId w:val="2"/>
  </w:num>
  <w:num w:numId="17" w16cid:durableId="106850334">
    <w:abstractNumId w:val="1"/>
  </w:num>
  <w:num w:numId="18" w16cid:durableId="414280335">
    <w:abstractNumId w:val="1"/>
  </w:num>
  <w:num w:numId="19" w16cid:durableId="1556308036">
    <w:abstractNumId w:val="0"/>
  </w:num>
  <w:num w:numId="20" w16cid:durableId="556166331">
    <w:abstractNumId w:val="0"/>
  </w:num>
  <w:num w:numId="21" w16cid:durableId="1064135846">
    <w:abstractNumId w:val="9"/>
  </w:num>
  <w:num w:numId="22" w16cid:durableId="1233589479">
    <w:abstractNumId w:val="7"/>
  </w:num>
  <w:num w:numId="23" w16cid:durableId="1743527931">
    <w:abstractNumId w:val="6"/>
  </w:num>
  <w:num w:numId="24" w16cid:durableId="832455099">
    <w:abstractNumId w:val="5"/>
  </w:num>
  <w:num w:numId="25" w16cid:durableId="457987662">
    <w:abstractNumId w:val="4"/>
  </w:num>
  <w:num w:numId="26" w16cid:durableId="238710546">
    <w:abstractNumId w:val="8"/>
  </w:num>
  <w:num w:numId="27" w16cid:durableId="2107724521">
    <w:abstractNumId w:val="3"/>
  </w:num>
  <w:num w:numId="28" w16cid:durableId="1145470830">
    <w:abstractNumId w:val="2"/>
  </w:num>
  <w:num w:numId="29" w16cid:durableId="1150713018">
    <w:abstractNumId w:val="1"/>
  </w:num>
  <w:num w:numId="30" w16cid:durableId="745612433">
    <w:abstractNumId w:val="0"/>
  </w:num>
  <w:num w:numId="31" w16cid:durableId="2079132405">
    <w:abstractNumId w:val="9"/>
  </w:num>
  <w:num w:numId="32" w16cid:durableId="1997147168">
    <w:abstractNumId w:val="7"/>
  </w:num>
  <w:num w:numId="33" w16cid:durableId="105318074">
    <w:abstractNumId w:val="6"/>
  </w:num>
  <w:num w:numId="34" w16cid:durableId="836307039">
    <w:abstractNumId w:val="5"/>
  </w:num>
  <w:num w:numId="35" w16cid:durableId="659772408">
    <w:abstractNumId w:val="4"/>
  </w:num>
  <w:num w:numId="36" w16cid:durableId="1028288911">
    <w:abstractNumId w:val="8"/>
  </w:num>
  <w:num w:numId="37" w16cid:durableId="149759457">
    <w:abstractNumId w:val="3"/>
  </w:num>
  <w:num w:numId="38" w16cid:durableId="594245909">
    <w:abstractNumId w:val="2"/>
  </w:num>
  <w:num w:numId="39" w16cid:durableId="717432066">
    <w:abstractNumId w:val="1"/>
  </w:num>
  <w:num w:numId="40" w16cid:durableId="1457721651">
    <w:abstractNumId w:val="0"/>
  </w:num>
  <w:num w:numId="41" w16cid:durableId="131139040">
    <w:abstractNumId w:val="10"/>
  </w:num>
  <w:num w:numId="42" w16cid:durableId="522865265">
    <w:abstractNumId w:val="10"/>
  </w:num>
  <w:num w:numId="43" w16cid:durableId="920720837">
    <w:abstractNumId w:val="10"/>
  </w:num>
  <w:num w:numId="44" w16cid:durableId="18394215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0/2025"/>
    <w:docVar w:name="dvlangue" w:val="HR"/>
    <w:docVar w:name="dvnumam" w:val="0"/>
    <w:docVar w:name="dvpe" w:val="771.884"/>
    <w:docVar w:name="dvrapporteur" w:val="Izvjestitelj: "/>
    <w:docVar w:name="dvtitre" w:val="Rezolucija Europskog parlamenta od .... 2025. o Prijedlogu odluke Europskog parlamenta i Vijeća o mobilizaciji Europskog fonda za prilagodbu globalizaciji za radnike koji su proglašeni viškom na temelju zahtjeva iz Belgije – EGF/2024/003 BE/Van Hool(COM(2025)0001 – C10-0056/2025 – 2025/0061(BUD))"/>
  </w:docVars>
  <w:rsids>
    <w:rsidRoot w:val="000A7CD8"/>
    <w:rsid w:val="00002272"/>
    <w:rsid w:val="00064002"/>
    <w:rsid w:val="000677B9"/>
    <w:rsid w:val="000831BA"/>
    <w:rsid w:val="0009242C"/>
    <w:rsid w:val="000A42CC"/>
    <w:rsid w:val="000A7CD8"/>
    <w:rsid w:val="000C2282"/>
    <w:rsid w:val="000E6524"/>
    <w:rsid w:val="000E7DD9"/>
    <w:rsid w:val="0010095E"/>
    <w:rsid w:val="00125B37"/>
    <w:rsid w:val="00182CAE"/>
    <w:rsid w:val="00187494"/>
    <w:rsid w:val="001F32AE"/>
    <w:rsid w:val="002767FF"/>
    <w:rsid w:val="002974F5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014C"/>
    <w:rsid w:val="0045086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35BB"/>
    <w:rsid w:val="006631B6"/>
    <w:rsid w:val="00680577"/>
    <w:rsid w:val="006F74FA"/>
    <w:rsid w:val="00731ADD"/>
    <w:rsid w:val="00734777"/>
    <w:rsid w:val="00737C72"/>
    <w:rsid w:val="00747932"/>
    <w:rsid w:val="00751A4A"/>
    <w:rsid w:val="00756632"/>
    <w:rsid w:val="00762C74"/>
    <w:rsid w:val="00786EC0"/>
    <w:rsid w:val="007D1690"/>
    <w:rsid w:val="007E22AD"/>
    <w:rsid w:val="007E7F1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451F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6BF1"/>
    <w:rsid w:val="00BD48FE"/>
    <w:rsid w:val="00BD7BD8"/>
    <w:rsid w:val="00BE6ADC"/>
    <w:rsid w:val="00C05BFE"/>
    <w:rsid w:val="00C23CD4"/>
    <w:rsid w:val="00C36959"/>
    <w:rsid w:val="00C61C0C"/>
    <w:rsid w:val="00C71540"/>
    <w:rsid w:val="00C941CB"/>
    <w:rsid w:val="00CC2357"/>
    <w:rsid w:val="00CF071A"/>
    <w:rsid w:val="00D058B8"/>
    <w:rsid w:val="00D1474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00F75"/>
  <w15:chartTrackingRefBased/>
  <w15:docId w15:val="{171AFDE7-6126-49B3-83E6-F6B77E34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C228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0C228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0C228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0C22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C2282"/>
    <w:rPr>
      <w:sz w:val="24"/>
      <w:lang w:val="hr-HR"/>
    </w:rPr>
  </w:style>
  <w:style w:type="paragraph" w:customStyle="1" w:styleId="NormalBold24a">
    <w:name w:val="NormalBold24a"/>
    <w:basedOn w:val="Normal"/>
    <w:rsid w:val="000C2282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0C228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C2282"/>
    <w:pPr>
      <w:spacing w:before="480" w:after="240"/>
    </w:pPr>
  </w:style>
  <w:style w:type="character" w:styleId="Hyperlink">
    <w:name w:val="Hyperlink"/>
    <w:basedOn w:val="DefaultParagraphFont"/>
    <w:uiPriority w:val="99"/>
    <w:rsid w:val="000C2282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0C2282"/>
    <w:rPr>
      <w:sz w:val="24"/>
      <w:lang w:val="hr-HR"/>
    </w:rPr>
  </w:style>
  <w:style w:type="paragraph" w:customStyle="1" w:styleId="Institutionquiagit">
    <w:name w:val="Institution qui agit"/>
    <w:basedOn w:val="Normal"/>
    <w:next w:val="Normal"/>
    <w:rsid w:val="000C2282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0C2282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0C2282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C2282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C2282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C2282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rsid w:val="000C2282"/>
    <w:rPr>
      <w:rFonts w:ascii="Arial" w:hAnsi="Arial" w:cs="Arial"/>
      <w:b/>
      <w:sz w:val="24"/>
      <w:lang w:val="hr-HR"/>
    </w:rPr>
  </w:style>
  <w:style w:type="paragraph" w:customStyle="1" w:styleId="Personnequisigne">
    <w:name w:val="Personne qui signe"/>
    <w:basedOn w:val="Normal"/>
    <w:next w:val="Institutionquisigne"/>
    <w:rsid w:val="000C2282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character" w:styleId="FollowedHyperlink">
    <w:name w:val="FollowedHyperlink"/>
    <w:basedOn w:val="DefaultParagraphFont"/>
    <w:rsid w:val="00182C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F8EE7-F17D-4493-8CB3-591B9B9F0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1348</Words>
  <Characters>8133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PESA Karina</cp:lastModifiedBy>
  <cp:revision>3</cp:revision>
  <cp:lastPrinted>2004-11-19T15:42:00Z</cp:lastPrinted>
  <dcterms:created xsi:type="dcterms:W3CDTF">2025-06-10T14:40:00Z</dcterms:created>
  <dcterms:modified xsi:type="dcterms:W3CDTF">2025-10-10T07:20:00Z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P10_TA(2025)0074_</vt:lpwstr>
  </property>
  <property fmtid="{D5CDD505-2E9C-101B-9397-08002B2CF9AE}" pid="4" name="&lt;Type&gt;">
    <vt:lpwstr>RR</vt:lpwstr>
  </property>
</Properties>
</file>