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B1283" w14:paraId="32AE138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FB5AEB9" w14:textId="77777777" w:rsidR="00751A4A" w:rsidRPr="006B1283" w:rsidRDefault="00E734F0" w:rsidP="0010095E">
            <w:pPr>
              <w:pStyle w:val="EPName"/>
            </w:pPr>
            <w:r w:rsidRPr="006B1283">
              <w:t>Európai Parlament</w:t>
            </w:r>
          </w:p>
          <w:p w14:paraId="27FCE033" w14:textId="77777777" w:rsidR="00751A4A" w:rsidRPr="006B128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B1283">
              <w:t>2024</w:t>
            </w:r>
            <w:r w:rsidR="00817416" w:rsidRPr="006B1283">
              <w:t>-202</w:t>
            </w:r>
            <w:r w:rsidRPr="006B1283">
              <w:t>9</w:t>
            </w:r>
          </w:p>
        </w:tc>
        <w:tc>
          <w:tcPr>
            <w:tcW w:w="2268" w:type="dxa"/>
            <w:shd w:val="clear" w:color="auto" w:fill="auto"/>
          </w:tcPr>
          <w:p w14:paraId="2B31DB12" w14:textId="77777777" w:rsidR="00751A4A" w:rsidRPr="006B1283" w:rsidRDefault="00187494" w:rsidP="0010095E">
            <w:pPr>
              <w:pStyle w:val="EPLogo"/>
            </w:pPr>
            <w:r w:rsidRPr="006B1283">
              <w:rPr>
                <w:noProof/>
                <w:lang w:val="en-GB"/>
              </w:rPr>
              <w:drawing>
                <wp:inline distT="0" distB="0" distL="0" distR="0" wp14:anchorId="7E2E1375" wp14:editId="48AD691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2F577D" w14:textId="77777777" w:rsidR="00D058B8" w:rsidRPr="006B1283" w:rsidRDefault="00D058B8" w:rsidP="004C5D52">
      <w:pPr>
        <w:pStyle w:val="LineTop"/>
      </w:pPr>
    </w:p>
    <w:p w14:paraId="423C3A84" w14:textId="77777777" w:rsidR="00680577" w:rsidRPr="006B1283" w:rsidRDefault="00E734F0" w:rsidP="00680577">
      <w:pPr>
        <w:pStyle w:val="EPBodyTA1"/>
      </w:pPr>
      <w:r w:rsidRPr="006B1283">
        <w:t>ELFOGADOTT SZÖVEGEK</w:t>
      </w:r>
    </w:p>
    <w:p w14:paraId="1B9DA735" w14:textId="77777777" w:rsidR="00D058B8" w:rsidRPr="006B1283" w:rsidRDefault="00D058B8" w:rsidP="00D058B8">
      <w:pPr>
        <w:pStyle w:val="LineBottom"/>
      </w:pPr>
    </w:p>
    <w:p w14:paraId="0A245A26" w14:textId="77777777" w:rsidR="00E734F0" w:rsidRPr="006B1283" w:rsidRDefault="00E734F0" w:rsidP="00E734F0">
      <w:pPr>
        <w:pStyle w:val="ATHeading1"/>
      </w:pPr>
      <w:bookmarkStart w:id="0" w:name="TANumber"/>
      <w:r w:rsidRPr="006B1283">
        <w:t>P10_TA(2025)00</w:t>
      </w:r>
      <w:r w:rsidR="006B1283" w:rsidRPr="006B1283">
        <w:t>74</w:t>
      </w:r>
      <w:bookmarkEnd w:id="0"/>
    </w:p>
    <w:p w14:paraId="2FA318A1" w14:textId="77777777" w:rsidR="00E734F0" w:rsidRPr="006B1283" w:rsidRDefault="00E734F0" w:rsidP="00E734F0">
      <w:pPr>
        <w:pStyle w:val="ATHeading2"/>
      </w:pPr>
      <w:bookmarkStart w:id="1" w:name="title"/>
      <w:r w:rsidRPr="006B1283">
        <w:t>Az elbocsátott munkavállalók támogatását szolgáló Európai Globalizációs Alkalmazkodási Alap igénybevétele – Belgium EGF/2024/003 BE/Van Hool referenciaszámú kérelme</w:t>
      </w:r>
      <w:bookmarkEnd w:id="1"/>
    </w:p>
    <w:p w14:paraId="1EF4B481" w14:textId="77777777" w:rsidR="00E734F0" w:rsidRPr="006B1283" w:rsidRDefault="00E734F0" w:rsidP="00E734F0">
      <w:pPr>
        <w:rPr>
          <w:i/>
          <w:vanish/>
        </w:rPr>
      </w:pPr>
      <w:r w:rsidRPr="006B1283">
        <w:rPr>
          <w:i/>
        </w:rPr>
        <w:fldChar w:fldCharType="begin"/>
      </w:r>
      <w:r w:rsidRPr="006B1283">
        <w:rPr>
          <w:i/>
        </w:rPr>
        <w:instrText xml:space="preserve"> TC"(</w:instrText>
      </w:r>
      <w:bookmarkStart w:id="2" w:name="DocNumber"/>
      <w:r w:rsidRPr="006B1283">
        <w:rPr>
          <w:i/>
        </w:rPr>
        <w:instrText>A10-0080/2025</w:instrText>
      </w:r>
      <w:bookmarkEnd w:id="2"/>
      <w:r w:rsidRPr="006B1283">
        <w:rPr>
          <w:i/>
        </w:rPr>
        <w:instrText xml:space="preserve"> - Előadó: Janusz Lewandowski)"\l3 \n&gt; \* MERGEFORMAT </w:instrText>
      </w:r>
      <w:r w:rsidRPr="006B1283">
        <w:rPr>
          <w:i/>
        </w:rPr>
        <w:fldChar w:fldCharType="end"/>
      </w:r>
    </w:p>
    <w:p w14:paraId="2CBD6E70" w14:textId="77777777" w:rsidR="00E734F0" w:rsidRPr="006B1283" w:rsidRDefault="00E734F0" w:rsidP="00E734F0">
      <w:pPr>
        <w:rPr>
          <w:vanish/>
        </w:rPr>
      </w:pPr>
      <w:bookmarkStart w:id="3" w:name="Commission"/>
      <w:r w:rsidRPr="006B1283">
        <w:rPr>
          <w:vanish/>
        </w:rPr>
        <w:t>Költségvetési Bizottság</w:t>
      </w:r>
      <w:bookmarkEnd w:id="3"/>
    </w:p>
    <w:p w14:paraId="7A4293A7" w14:textId="77777777" w:rsidR="00E734F0" w:rsidRPr="006B1283" w:rsidRDefault="00E734F0" w:rsidP="00E734F0">
      <w:pPr>
        <w:rPr>
          <w:vanish/>
        </w:rPr>
      </w:pPr>
      <w:bookmarkStart w:id="4" w:name="PE"/>
      <w:r w:rsidRPr="006B1283">
        <w:rPr>
          <w:vanish/>
        </w:rPr>
        <w:t>PE771.884</w:t>
      </w:r>
      <w:bookmarkEnd w:id="4"/>
    </w:p>
    <w:p w14:paraId="67276D1E" w14:textId="77777777" w:rsidR="00E734F0" w:rsidRPr="006B1283" w:rsidRDefault="00E734F0" w:rsidP="00E734F0">
      <w:pPr>
        <w:pStyle w:val="ATHeading3"/>
      </w:pPr>
      <w:bookmarkStart w:id="5" w:name="Sujet"/>
      <w:r w:rsidRPr="006B1283">
        <w:t xml:space="preserve">Az Európai Parlament 2025. </w:t>
      </w:r>
      <w:r w:rsidR="008C1D86" w:rsidRPr="006B1283">
        <w:t>május 6</w:t>
      </w:r>
      <w:r w:rsidRPr="006B1283">
        <w:t>-i állásfoglalása az elbocsátott munkavállalók támogatását szolgáló Európai Globalizációs Alkalmazkodási Alapnak Belgium EGF/2024/003 referenciaszámú kérelme nyomán történő igénybevételéről szóló európai parlamenti és tanácsi határozatra irányuló javaslatról</w:t>
      </w:r>
      <w:bookmarkEnd w:id="5"/>
      <w:r w:rsidRPr="006B1283">
        <w:t xml:space="preserve"> </w:t>
      </w:r>
      <w:bookmarkStart w:id="6" w:name="References"/>
      <w:r w:rsidRPr="006B1283">
        <w:t>(COM(2025)0001 – C10-0056/2025 – 2025/0061(BUD))</w:t>
      </w:r>
      <w:bookmarkEnd w:id="6"/>
    </w:p>
    <w:p w14:paraId="6E92170D" w14:textId="77777777" w:rsidR="00DB70E3" w:rsidRPr="006B1283" w:rsidRDefault="00DB70E3" w:rsidP="00DB70E3">
      <w:pPr>
        <w:pStyle w:val="EPComma"/>
        <w:rPr>
          <w:noProof/>
        </w:rPr>
      </w:pPr>
      <w:r w:rsidRPr="006B1283">
        <w:rPr>
          <w:i/>
        </w:rPr>
        <w:t>Az Európai Parlament,</w:t>
      </w:r>
    </w:p>
    <w:p w14:paraId="758B30ED" w14:textId="77777777" w:rsidR="00DB70E3" w:rsidRPr="006B1283" w:rsidRDefault="00DB70E3">
      <w:pPr>
        <w:pStyle w:val="NormalHanging12a"/>
        <w:rPr>
          <w:noProof/>
        </w:rPr>
      </w:pPr>
      <w:r w:rsidRPr="006B1283">
        <w:t>–</w:t>
      </w:r>
      <w:r w:rsidRPr="006B1283">
        <w:tab/>
        <w:t>tekintettel a Bizottságnak az Európai Parlamenthez és a Tanácshoz intézett javaslatára (COM(2025)0001 – C10-0056/2025),</w:t>
      </w:r>
    </w:p>
    <w:p w14:paraId="77E0E0D1" w14:textId="77777777" w:rsidR="00DB70E3" w:rsidRPr="006B1283" w:rsidRDefault="00DB70E3">
      <w:pPr>
        <w:pStyle w:val="NormalHanging12a"/>
        <w:rPr>
          <w:noProof/>
        </w:rPr>
      </w:pPr>
      <w:r w:rsidRPr="006B1283">
        <w:t>–</w:t>
      </w:r>
      <w:r w:rsidRPr="006B1283">
        <w:tab/>
        <w:t>tekintettel az elbocsátott munkavállalók támogatását szolgáló Európai Globalizációs Alkalmazkodási Alapról (EGAA) és az 1309/2013/EU rendelet hatályon kívül helyezéséről szóló, 2021. április 28-i (EU) 2021/691 európai parlamenti és tanácsi rendeletre</w:t>
      </w:r>
      <w:r w:rsidRPr="006B1283">
        <w:rPr>
          <w:rStyle w:val="FootnoteReference"/>
          <w:noProof/>
        </w:rPr>
        <w:footnoteReference w:id="1"/>
      </w:r>
      <w:r w:rsidRPr="006B1283">
        <w:t xml:space="preserve"> (a továbbiakban: EGAA-rendelet),</w:t>
      </w:r>
    </w:p>
    <w:p w14:paraId="091DA159" w14:textId="77777777" w:rsidR="00DB70E3" w:rsidRPr="006B1283" w:rsidRDefault="00DB70E3">
      <w:pPr>
        <w:pStyle w:val="NormalHanging12a"/>
        <w:rPr>
          <w:noProof/>
        </w:rPr>
      </w:pPr>
      <w:r w:rsidRPr="006B1283">
        <w:t>–</w:t>
      </w:r>
      <w:r w:rsidRPr="006B1283">
        <w:tab/>
        <w:t xml:space="preserve">tekintettel az </w:t>
      </w:r>
      <w:r w:rsidRPr="006B1283">
        <w:rPr>
          <w:rStyle w:val="FootnoteReference"/>
          <w:noProof/>
        </w:rPr>
        <w:footnoteReference w:id="2"/>
      </w:r>
      <w:r w:rsidRPr="006B1283">
        <w:t>(EU, Euratom) 2024/765</w:t>
      </w:r>
      <w:r w:rsidRPr="006B1283">
        <w:rPr>
          <w:rStyle w:val="FootnoteReference"/>
          <w:bdr w:val="none" w:sz="0" w:space="0" w:color="auto" w:frame="1"/>
        </w:rPr>
        <w:footnoteReference w:id="3"/>
      </w:r>
      <w:r w:rsidRPr="006B1283">
        <w:t xml:space="preserve"> rendelettel módosított, a 2021–2027-es időszakra vonatkozó többéves pénzügyi keretről szóló, 2020. december 17-i (EU, Euratom) 2020/2093 tanácsi rendeletre és különösen annak 8. cikkére,</w:t>
      </w:r>
    </w:p>
    <w:p w14:paraId="50C38AB4" w14:textId="77777777" w:rsidR="00DB70E3" w:rsidRPr="006B1283" w:rsidRDefault="00DB70E3">
      <w:pPr>
        <w:pStyle w:val="NormalHanging12a"/>
        <w:rPr>
          <w:noProof/>
        </w:rPr>
      </w:pPr>
      <w:r w:rsidRPr="006B1283">
        <w:t>–</w:t>
      </w:r>
      <w:r w:rsidRPr="006B1283">
        <w:tab/>
        <w:t xml:space="preserve">tekintettel az Európai Parlament, az Európai Unió Tanácsa és az Európai Bizottság közötti, a költségvetési fegyelemről, a költségvetési ügyekben való együttműködésről és a hatékony és eredményes pénzgazdálkodásról, valamint az új saját forrásokról és az új saját források bevezetésére irányuló ütemtervről szóló, 2020. december 16-i </w:t>
      </w:r>
      <w:r w:rsidRPr="006B1283">
        <w:lastRenderedPageBreak/>
        <w:t>intézményközi megállapodásra</w:t>
      </w:r>
      <w:r w:rsidRPr="006B1283">
        <w:rPr>
          <w:rStyle w:val="FootnoteReference"/>
          <w:noProof/>
        </w:rPr>
        <w:footnoteReference w:id="4"/>
      </w:r>
      <w:r w:rsidRPr="006B1283">
        <w:t xml:space="preserve"> és különösen annak 9. pontjára,</w:t>
      </w:r>
    </w:p>
    <w:p w14:paraId="78ACFE25" w14:textId="77777777" w:rsidR="00DB70E3" w:rsidRPr="006B1283" w:rsidRDefault="00DB70E3">
      <w:pPr>
        <w:pStyle w:val="NormalHanging12a"/>
        <w:rPr>
          <w:noProof/>
        </w:rPr>
      </w:pPr>
      <w:r w:rsidRPr="006B1283">
        <w:t>–</w:t>
      </w:r>
      <w:r w:rsidRPr="006B1283">
        <w:tab/>
        <w:t>tekintettel a Foglalkoztatási és Szociális Bizottság levelére,</w:t>
      </w:r>
    </w:p>
    <w:p w14:paraId="1F9EBAB8" w14:textId="77777777" w:rsidR="00DB70E3" w:rsidRPr="006B1283" w:rsidRDefault="00DB70E3">
      <w:pPr>
        <w:pStyle w:val="NormalHanging12a"/>
      </w:pPr>
      <w:r w:rsidRPr="006B1283">
        <w:t>–</w:t>
      </w:r>
      <w:r w:rsidRPr="006B1283">
        <w:tab/>
        <w:t xml:space="preserve">tekintettel a Költségvetési Bizottság jelentésére (A10-0080/2025), </w:t>
      </w:r>
    </w:p>
    <w:p w14:paraId="276DE044" w14:textId="77777777" w:rsidR="00DB70E3" w:rsidRPr="006B1283" w:rsidRDefault="00DB70E3">
      <w:pPr>
        <w:pStyle w:val="NormalHanging12a"/>
        <w:rPr>
          <w:noProof/>
        </w:rPr>
      </w:pPr>
      <w:r w:rsidRPr="006B1283">
        <w:t>A.</w:t>
      </w:r>
      <w:r w:rsidRPr="006B1283">
        <w:tab/>
        <w:t>mivel az Unió jogalkotási és költségvetési eszközöket hozott létre ahhoz, hogy további támogatást nyújtson a világkereskedelem fő strukturális változásainak következményei által sújtott vagy a globális pénzügyi és gazdasági válság következtében elbocsátott munkavállalóknak, és támogassa újbóli munkaerőpiaci beilleszkedésüket; mivel ez a támogatás a munkavállalóknak és azoknak a vállalatoknak nyújtott pénzügyi támogatáson keresztül valósul meg, amelyeknek dolgoztak;</w:t>
      </w:r>
    </w:p>
    <w:p w14:paraId="3D4145C1" w14:textId="77777777" w:rsidR="00DB70E3" w:rsidRPr="006B1283" w:rsidRDefault="00DB70E3">
      <w:pPr>
        <w:pStyle w:val="NormalHanging12a"/>
      </w:pPr>
      <w:r w:rsidRPr="006B1283">
        <w:t xml:space="preserve">B. </w:t>
      </w:r>
      <w:r w:rsidRPr="006B1283">
        <w:tab/>
        <w:t>mivel Belgium az Antwerpen tartomány (BE21) NUTS 2. szintű régióban a NACE Rev. 2. rendszer szerinti 29. gazdasági ágazatban (Közúti gépjármű, pótkocsi, félpótkocsi gyártása) 2</w:t>
      </w:r>
      <w:r w:rsidR="00F10866" w:rsidRPr="006B1283">
        <w:t> </w:t>
      </w:r>
      <w:r w:rsidRPr="006B1283">
        <w:t>411 munkavállaló elbocsátását</w:t>
      </w:r>
      <w:r w:rsidRPr="006B1283">
        <w:rPr>
          <w:rStyle w:val="FootnoteReference"/>
        </w:rPr>
        <w:footnoteReference w:id="5"/>
      </w:r>
      <w:r w:rsidRPr="006B1283">
        <w:t xml:space="preserve"> követően a 2024. április 8-tól 2024. augusztus 8-ig tartó négyhónapos referencia-időszakra vonatkozóan EGF/2024/003 BE/Van Hool referenciaszámmal kérelmet nyújtott be az Európai Globalizációs Alkalmazkodási Alapból (EGAA) nyújtandó pénzügyi hozzájárulás iránt; </w:t>
      </w:r>
    </w:p>
    <w:p w14:paraId="0C1DC7AC" w14:textId="77777777" w:rsidR="00DB70E3" w:rsidRPr="006B1283" w:rsidRDefault="00DB70E3">
      <w:pPr>
        <w:pStyle w:val="NormalHanging12a"/>
      </w:pPr>
      <w:r w:rsidRPr="006B1283">
        <w:t xml:space="preserve">C. </w:t>
      </w:r>
      <w:r w:rsidRPr="006B1283">
        <w:tab/>
        <w:t xml:space="preserve">mivel a kérelem a </w:t>
      </w:r>
      <w:r w:rsidRPr="006B1283">
        <w:rPr>
          <w:color w:val="000000"/>
        </w:rPr>
        <w:t>Van Hool</w:t>
      </w:r>
      <w:r w:rsidRPr="006B1283">
        <w:t xml:space="preserve"> vállalattól elbocsátott 2411 munkavállalóra vonatkozik;</w:t>
      </w:r>
    </w:p>
    <w:p w14:paraId="6D81BAB1" w14:textId="77777777" w:rsidR="00DB70E3" w:rsidRPr="006B1283" w:rsidRDefault="00DB70E3">
      <w:pPr>
        <w:pStyle w:val="NormalHanging12a"/>
      </w:pPr>
      <w:r w:rsidRPr="006B1283">
        <w:t xml:space="preserve">D. </w:t>
      </w:r>
      <w:r w:rsidRPr="006B1283">
        <w:tab/>
        <w:t>mivel a kérelem az EGAA-rendelet 4. cikke (2) bekezdésének a) pontjában meghatározott beavatkozási kritériumokon alapul, amelyek szerint a támogatás feltétele legalább 200 munkavállaló elbocsátása és/vagy önálló vállalkozó tevékenységének megszűnése egy négy hónapos referencia-időszak alatt egy vállalkozáson belül egy tagállamban, ideértve a vállalkozás beszállítóinál vagy a továbbfeldolgozó vállalatoknál történt elbocsátásokat is;</w:t>
      </w:r>
    </w:p>
    <w:p w14:paraId="24E414C2" w14:textId="77777777" w:rsidR="00DB70E3" w:rsidRPr="006B1283" w:rsidRDefault="00DB70E3">
      <w:pPr>
        <w:pStyle w:val="NormalHanging12a"/>
      </w:pPr>
      <w:r w:rsidRPr="006B1283">
        <w:t xml:space="preserve">E. </w:t>
      </w:r>
      <w:r w:rsidRPr="006B1283">
        <w:tab/>
        <w:t>mivel a Covid19-világjárvány hatással volt az autóbuszok iránti keresletre, és Oroszország Ukrajna elleni agresszív háborúja hatással volt a költségszerkezetre;</w:t>
      </w:r>
    </w:p>
    <w:p w14:paraId="5CFD2513" w14:textId="77777777" w:rsidR="00DB70E3" w:rsidRPr="006B1283" w:rsidRDefault="00DB70E3">
      <w:pPr>
        <w:pStyle w:val="NormalHanging12a"/>
      </w:pPr>
      <w:r w:rsidRPr="006B1283">
        <w:t xml:space="preserve">F. </w:t>
      </w:r>
      <w:r w:rsidRPr="006B1283">
        <w:tab/>
        <w:t>mivel az európai gépjárműipar és beszállító ipar példátlan nyomással néz szembe mind külső, mind belső kihívások miatt, például a verseny torzulása, nevezetesen az elektromos járművek ágazatának Kína általi tisztességtelen támogatása és a jelentős szerkezetátalakítások által előidézett magas energiaköltségek miatt;</w:t>
      </w:r>
    </w:p>
    <w:p w14:paraId="7684387E" w14:textId="77777777" w:rsidR="00DB70E3" w:rsidRPr="006B1283" w:rsidRDefault="00DB70E3" w:rsidP="006B1283">
      <w:pPr>
        <w:pStyle w:val="NormalHanging12a"/>
      </w:pPr>
      <w:r w:rsidRPr="006B1283">
        <w:t>G.</w:t>
      </w:r>
      <w:r w:rsidRPr="006B1283">
        <w:rPr>
          <w:color w:val="7030A0"/>
        </w:rPr>
        <w:tab/>
      </w:r>
      <w:r w:rsidRPr="006B1283">
        <w:t xml:space="preserve">mivel a Van Hool autóbuszok, távolsági buszok, trolibuszok és pótkocsik gyártására specializálódott; mivel a pandémia hatása miatt csökkent az autóbuszok iránti kereslet, ami a Van Hool átlagos európai értékesítéseinek csökkenéséhez és a jövedelmezőség erőteljes visszaeséséhez vezetett; mivel a növekvő infláció és az ellátási láncok zavarai tovább növelték a vállalkozás árrésére nehezedő nyomást; </w:t>
      </w:r>
    </w:p>
    <w:p w14:paraId="49783DDF" w14:textId="77777777" w:rsidR="00DB70E3" w:rsidRPr="006B1283" w:rsidRDefault="00DB70E3" w:rsidP="006B1283">
      <w:pPr>
        <w:pStyle w:val="NormalHanging12a"/>
      </w:pPr>
      <w:r w:rsidRPr="006B1283">
        <w:t>H.</w:t>
      </w:r>
      <w:r w:rsidRPr="006B1283">
        <w:tab/>
        <w:t xml:space="preserve">mivel a vállalat a belga joggal összhangban a munkavállalók képviselőinek tájékoztatására és a velük folytatott konzultációra vonatkozó kötelező eljárást követte;  mivel csőd esetén nem alkalmazandó az a követelmény, hogy olyan foglalkoztatási egységet kell létrehozni, amelynek célja a csoportos létszámcsökkentés keretében elbocsátott munkavállalók számára az újbóli elhelyezkedést elősegítő szolgáltatások </w:t>
      </w:r>
      <w:r w:rsidRPr="006B1283">
        <w:lastRenderedPageBreak/>
        <w:t xml:space="preserve">nyújtása; </w:t>
      </w:r>
    </w:p>
    <w:p w14:paraId="24EA76D8" w14:textId="77777777" w:rsidR="00DB70E3" w:rsidRPr="006B1283" w:rsidRDefault="00DB70E3" w:rsidP="006B1283">
      <w:pPr>
        <w:pStyle w:val="NormalHanging12a"/>
      </w:pPr>
      <w:r w:rsidRPr="006B1283">
        <w:t>I.</w:t>
      </w:r>
      <w:r w:rsidRPr="006B1283">
        <w:tab/>
        <w:t>mivel az EGAA-ból nyújtott pénzügyi hozzájárulásoknak elsősorban olyan aktív munkaerőpiaci szakpolitikai intézkedésekre és személyre szabott szolgáltatásokra kell irányulniuk, amelyek célja a kedvezményezettek tisztességes és fenntartható foglalkoztatásba való gyors visszailleszkedése az eredeti tevékenységi ágazatukon belül vagy azon kívül, miközben felkészítik őket a zöldebb és digitálisabb európai gazdaságra;</w:t>
      </w:r>
    </w:p>
    <w:p w14:paraId="51DE0659" w14:textId="77777777" w:rsidR="00DB70E3" w:rsidRPr="006B1283" w:rsidRDefault="00DB70E3" w:rsidP="006B1283">
      <w:pPr>
        <w:pStyle w:val="NormalHanging12a"/>
      </w:pPr>
      <w:r w:rsidRPr="006B1283">
        <w:t>J.</w:t>
      </w:r>
      <w:r w:rsidRPr="006B1283">
        <w:tab/>
        <w:t>mivel a flamand foglalkoztatási szolgálatok (VDAB) biztosítják az intézkedések nemzeti előfinanszírozását és társfinanszírozását;</w:t>
      </w:r>
    </w:p>
    <w:p w14:paraId="4DA661EB" w14:textId="77777777" w:rsidR="00DB70E3" w:rsidRPr="006B1283" w:rsidRDefault="00DB70E3" w:rsidP="00F10866">
      <w:pPr>
        <w:widowControl/>
        <w:spacing w:after="240"/>
        <w:ind w:left="567" w:hanging="567"/>
        <w:rPr>
          <w:szCs w:val="24"/>
        </w:rPr>
      </w:pPr>
      <w:r w:rsidRPr="006B1283">
        <w:t>K.</w:t>
      </w:r>
      <w:r w:rsidRPr="006B1283">
        <w:rPr>
          <w:color w:val="7030A0"/>
        </w:rPr>
        <w:tab/>
      </w:r>
      <w:r w:rsidRPr="006B1283">
        <w:t>mivel az EGAA éves maximális összege (2018-as árakon számítva) az (EU, Euratom) 2024/765 rendelettel módosított (EU, Euratom) 2020/2093 rendelet 8. cikkében meghatározottaknak megfelelően nem haladhatja meg a 30 millió EUR-t; mivel a hatékony és eredményes pénzgazdálkodás elvével összhangban az el nem költött hozzájárulásokat vissza kell fizetni a Bizottságnak;</w:t>
      </w:r>
    </w:p>
    <w:p w14:paraId="03074932" w14:textId="77777777" w:rsidR="00DB70E3" w:rsidRPr="006B1283" w:rsidRDefault="00DB70E3" w:rsidP="00F10866">
      <w:pPr>
        <w:pStyle w:val="NormalHanging12a"/>
        <w:widowControl/>
      </w:pPr>
      <w:r w:rsidRPr="006B1283">
        <w:t>1.</w:t>
      </w:r>
      <w:r w:rsidRPr="006B1283">
        <w:tab/>
        <w:t>egyetért a Bizottsággal abban, hogy az EGAA-rendelet 4. cikke (2) bekezdésének a) pontjában meghatározott feltételek teljesülnek, és hogy Belgium az említett rendelet értelmében 7 999 015 EUR összegű pénzügyi hozzájárulásra jogosult, amely 85%-a a 9 410 607 EUR-s összköltségnek, amely a személyre szabott szolgáltatásokra fordított 9 034 607 EUR, továbbá az előkészítő, irányítási, tájékoztatási és nyilvánossággal kapcsolatos, valamint az ellenőrzési és jelentéstételi tevékenységekre fordított 376 000 EUR összegű kiadásokat foglalja magában;</w:t>
      </w:r>
    </w:p>
    <w:p w14:paraId="498FA7F4" w14:textId="77777777" w:rsidR="00DB70E3" w:rsidRPr="006B1283" w:rsidRDefault="00DB70E3" w:rsidP="006B1283">
      <w:pPr>
        <w:pStyle w:val="NormalHanging12a"/>
      </w:pPr>
      <w:r w:rsidRPr="006B1283">
        <w:t xml:space="preserve">2. </w:t>
      </w:r>
      <w:r w:rsidRPr="006B1283">
        <w:tab/>
        <w:t xml:space="preserve">megállapítja, hogy a belga hatóságok 2024. október 29-én nyújtották be a kérelmet, és hogy annak értékelését a Bizottság – a kiegészítő információk Belgium általi benyújtását követően – 2025. március 26-án fejezte be, majd erről ugyanazon a napon értesítette a Parlamentet; </w:t>
      </w:r>
    </w:p>
    <w:p w14:paraId="272B1C9A" w14:textId="77777777" w:rsidR="00DB70E3" w:rsidRPr="006B1283" w:rsidRDefault="00DB70E3" w:rsidP="006B1283">
      <w:pPr>
        <w:pStyle w:val="NormalHanging12a"/>
      </w:pPr>
      <w:r w:rsidRPr="006B1283">
        <w:t>3.</w:t>
      </w:r>
      <w:r w:rsidRPr="006B1283">
        <w:tab/>
        <w:t>megállapítja, hogy a kérelem az Van Hool vállalattól elbocsátott 2</w:t>
      </w:r>
      <w:r w:rsidR="006B1283" w:rsidRPr="006B1283">
        <w:t> </w:t>
      </w:r>
      <w:r w:rsidRPr="006B1283">
        <w:t>411 munkavállalóra vonatkozik; megjegyzi továbbá, hogy összesen 2</w:t>
      </w:r>
      <w:r w:rsidR="00F10866" w:rsidRPr="006B1283">
        <w:t> </w:t>
      </w:r>
      <w:r w:rsidRPr="006B1283">
        <w:t>397 munkavállaló lesz megcélzott kedvezményezett;</w:t>
      </w:r>
    </w:p>
    <w:p w14:paraId="3BF50C13" w14:textId="77777777" w:rsidR="00DB70E3" w:rsidRPr="006B1283" w:rsidRDefault="00DB70E3" w:rsidP="006B1283">
      <w:pPr>
        <w:pStyle w:val="NormalHanging12a"/>
      </w:pPr>
      <w:r w:rsidRPr="006B1283">
        <w:t>4.</w:t>
      </w:r>
      <w:r w:rsidRPr="006B1283">
        <w:tab/>
        <w:t xml:space="preserve">hangsúlyozza, hogy a Belga Vállalkozók Szövetsége (VBO) szerint Belgiumban az ipari ágazatban jelenleg visszaesés tapasztalható; </w:t>
      </w:r>
      <w:r w:rsidR="008C1D86" w:rsidRPr="006B1283">
        <w:t xml:space="preserve">megjegyzi, hogy </w:t>
      </w:r>
      <w:r w:rsidRPr="006B1283">
        <w:t>Lierben hagyományosan fontos szerepet játszik az ipari ágazat, ezért az ipari hanyatlás jelentős hatást gyakorol Lier munkaerőpiacára; rámutat, hogy a Lierben rendelkezésre álló ipari munkahelyek száma 2023-ban 13%-kal csökkent;</w:t>
      </w:r>
    </w:p>
    <w:p w14:paraId="42DCFD5C" w14:textId="77777777" w:rsidR="00DB70E3" w:rsidRPr="006B1283" w:rsidRDefault="00DB70E3" w:rsidP="006B1283">
      <w:pPr>
        <w:pStyle w:val="NormalHanging12a"/>
      </w:pPr>
      <w:r w:rsidRPr="006B1283">
        <w:t>5.</w:t>
      </w:r>
      <w:r w:rsidRPr="006B1283">
        <w:tab/>
        <w:t>rámutat arra, hogy az elbocsátott munkavállalók egyharmada 50 éves vagy annál idősebb, 80%-uk pedig középfokú vagy annál alacsonyabb végzettséggel és elavult készségekkel rendelkezik; hangsúlyozza, hogy figyelembe véve a betöltetlen álláshelyek csökkenő tendenciáját és földrajzi eloszlását, a munkavállalóknak célzott segítségre lesz szükségük a továbbképzésre és átképzésre összpontosítva, hogy növeljék a munkába való visszatérés esélyeit; úgy véli, hogy az Unió és a tagállamok társadalmi felelőssége, hogy lehetőséget biztosítsanak az érintett munkavállalók számára a jövőbeli foglalkoztatáshoz szükséges képesítések megszerzésére;</w:t>
      </w:r>
    </w:p>
    <w:p w14:paraId="32F07EB3" w14:textId="77777777" w:rsidR="00DB70E3" w:rsidRPr="006B1283" w:rsidRDefault="00DB70E3" w:rsidP="006B1283">
      <w:pPr>
        <w:pStyle w:val="NormalHanging12a"/>
      </w:pPr>
      <w:r w:rsidRPr="006B1283">
        <w:t>6.</w:t>
      </w:r>
      <w:r w:rsidRPr="006B1283">
        <w:tab/>
        <w:t xml:space="preserve">üdvözli, hogy a munkavállalóknak nyújtandó személyre szabott szolgáltatások az alábbiakat foglalják magukban: szociális intervenciós tanácsadó és a munkavállalók </w:t>
      </w:r>
      <w:r w:rsidRPr="006B1283">
        <w:lastRenderedPageBreak/>
        <w:t>regisztrációja, újbóli elhelyezkedés, álláskeresési támogatás és munkaközvetítés, pályaorientáció, átképzés és szakképzés, valamint munkahelyi képzés; kiemeli különösen a célzott támogatással és a személyes értékeléssel, valamint az IKT-képzéssel kapcsolatos szolgáltatásokat, amelyek hozzájárulnak a digitális ipari korban szükséges továbbképzéshez;</w:t>
      </w:r>
    </w:p>
    <w:p w14:paraId="4F396F6B" w14:textId="77777777" w:rsidR="00DB70E3" w:rsidRPr="006B1283" w:rsidRDefault="00DB70E3" w:rsidP="006B1283">
      <w:pPr>
        <w:pStyle w:val="NormalHanging12a"/>
      </w:pPr>
      <w:r w:rsidRPr="006B1283">
        <w:t>7.</w:t>
      </w:r>
      <w:r w:rsidRPr="006B1283">
        <w:tab/>
        <w:t>megjegyzi, hogy Belgium 2024. április 22-én kezdte meg a személyre szabott szolgáltatások nyújtását a célzott kedvezményezetteknek, és hogy az EGAA-ból igénybe vehető pénzügyi hozzájárulásra való jogosultság időszaka ezért ettől az időponttól kezdődően a finanszírozási határozat hatálybalépésétől számított 24. hónap végéig fog tartani;</w:t>
      </w:r>
    </w:p>
    <w:p w14:paraId="69744644" w14:textId="77777777" w:rsidR="00DB70E3" w:rsidRPr="006B1283" w:rsidRDefault="00DB70E3" w:rsidP="006B1283">
      <w:pPr>
        <w:pStyle w:val="NormalHanging12a"/>
        <w:rPr>
          <w:sz w:val="23"/>
          <w:szCs w:val="23"/>
        </w:rPr>
      </w:pPr>
      <w:r w:rsidRPr="006B1283">
        <w:t>8.</w:t>
      </w:r>
      <w:r w:rsidRPr="006B1283">
        <w:tab/>
        <w:t>megjegyzi, hogy Belgium részéről az EGAA végrehajtásával összefüggésben 2024. március 14-től kezdődően merültek fel igazgatási kiadások, és hogy ezek a kiadások ezért ettől az időponttól kezdődően a finanszírozási határozat hatálybalépését követő 31 hónapon át lesznek támogathatók az EGAA-ból származó pénzügyi hozzájárulásból;</w:t>
      </w:r>
    </w:p>
    <w:p w14:paraId="2CB89C36" w14:textId="77777777" w:rsidR="00DB70E3" w:rsidRPr="006B1283" w:rsidRDefault="00DB70E3" w:rsidP="006B1283">
      <w:pPr>
        <w:pStyle w:val="NormalHanging12a"/>
      </w:pPr>
      <w:r w:rsidRPr="006B1283">
        <w:t>9.</w:t>
      </w:r>
      <w:r w:rsidRPr="006B1283">
        <w:tab/>
        <w:t>hangsúlyozza, hogy a belga hatóságok megerősítették, hogy a javasolt intézkedésekhez való hozzáférés és azok végrehajtása során tiszteletben fogják tartani az egyenlő bánásmód és a megkülönböztetésmentesség elvét, és hogy megakadályozzák a kettős finanszírozást;</w:t>
      </w:r>
    </w:p>
    <w:p w14:paraId="414D809C" w14:textId="77777777" w:rsidR="00DB70E3" w:rsidRPr="006B1283" w:rsidRDefault="00DB70E3" w:rsidP="006B1283">
      <w:pPr>
        <w:pStyle w:val="NormalHanging12a"/>
      </w:pPr>
      <w:r w:rsidRPr="006B1283">
        <w:t>10.</w:t>
      </w:r>
      <w:r w:rsidRPr="006B1283">
        <w:tab/>
        <w:t>emlékeztet arra, hogy a belga hatóságoknak biztosítaniuk kell, hogy a férfiak és nők közötti egyenlőség és a nemi dimenzió integrálása a végrehajtási szakaszban előmozdításra kerül és annak szerves részét képezi;</w:t>
      </w:r>
    </w:p>
    <w:p w14:paraId="554BB4F7" w14:textId="77777777" w:rsidR="00DB70E3" w:rsidRPr="006B1283" w:rsidRDefault="00DB70E3" w:rsidP="006B1283">
      <w:pPr>
        <w:pStyle w:val="NormalHanging12a"/>
      </w:pPr>
      <w:r w:rsidRPr="006B1283">
        <w:t>11.</w:t>
      </w:r>
      <w:r w:rsidRPr="006B1283">
        <w:tab/>
        <w:t>ismételten hangsúlyozza, hogy az EGAA-ból nyújtott támogatás nem léphet azon intézkedések helyébe, amelyek a nemzeti jog vagy a kollektív szerződések értelmében a vállalkozások felelősségi körébe tartoznak;</w:t>
      </w:r>
    </w:p>
    <w:p w14:paraId="546A4ED5" w14:textId="77777777" w:rsidR="00DB70E3" w:rsidRPr="006B1283" w:rsidRDefault="00DB70E3" w:rsidP="006B1283">
      <w:pPr>
        <w:pStyle w:val="NormalHanging12a"/>
      </w:pPr>
      <w:r w:rsidRPr="006B1283">
        <w:t>12.</w:t>
      </w:r>
      <w:r w:rsidRPr="006B1283">
        <w:tab/>
        <w:t>emlékeztet arra, hogy a belga hatóságoknak el kell ismerniük az uniós finanszírozás eredetét, biztosítaniuk kell annak láthatóságát, és ki kell emelniük a beavatkozás uniós hozzáadott értékét azáltal, hogy következetes, hatékony és célzott tájékoztatást nyújtanak többféle közönségnek, beleértve a kedvezményezetteknek, a helyi és regionális hatóságoknak, a szociális partnereknek, a médiának és a nyilvánosságnak nyújtott célzott információkat is;</w:t>
      </w:r>
    </w:p>
    <w:p w14:paraId="0D5F18D3" w14:textId="77777777" w:rsidR="00DB70E3" w:rsidRPr="006B1283" w:rsidRDefault="00DB70E3" w:rsidP="006B1283">
      <w:pPr>
        <w:pStyle w:val="NormalHanging12a"/>
      </w:pPr>
      <w:r w:rsidRPr="006B1283">
        <w:t>13.</w:t>
      </w:r>
      <w:r w:rsidRPr="006B1283">
        <w:tab/>
        <w:t>jóváhagyja a jelen állásfoglaláshoz mellékelt határozatot;</w:t>
      </w:r>
    </w:p>
    <w:p w14:paraId="14480928" w14:textId="77777777" w:rsidR="00DB70E3" w:rsidRPr="006B1283" w:rsidRDefault="00DB70E3" w:rsidP="006B1283">
      <w:pPr>
        <w:pStyle w:val="NormalHanging12a"/>
      </w:pPr>
      <w:r w:rsidRPr="006B1283">
        <w:t>14.</w:t>
      </w:r>
      <w:r w:rsidRPr="006B1283">
        <w:tab/>
        <w:t xml:space="preserve">utasítja elnökét, hogy a Tanács elnökével együtt írja alá ezt a határozatot, valamint gondoskodjon közzétételéről az </w:t>
      </w:r>
      <w:r w:rsidRPr="006B1283">
        <w:rPr>
          <w:i/>
        </w:rPr>
        <w:t>Európai Unió Hivatalos Lapjában</w:t>
      </w:r>
      <w:r w:rsidRPr="006B1283">
        <w:t>;</w:t>
      </w:r>
    </w:p>
    <w:p w14:paraId="2A940758" w14:textId="77777777" w:rsidR="00DB70E3" w:rsidRPr="006B1283" w:rsidRDefault="00DB70E3">
      <w:pPr>
        <w:pStyle w:val="NormalHanging12a"/>
      </w:pPr>
      <w:r w:rsidRPr="006B1283">
        <w:t>15.</w:t>
      </w:r>
      <w:r w:rsidRPr="006B1283">
        <w:tab/>
        <w:t>utasítja elnökét, hogy továbbítsa ezt az állásfoglalást és annak mellékletét a Tanácsnak és a Bizottságnak.</w:t>
      </w:r>
    </w:p>
    <w:p w14:paraId="0BEA7D35" w14:textId="77777777" w:rsidR="00F10866" w:rsidRPr="006B1283" w:rsidRDefault="00F10866">
      <w:pPr>
        <w:pStyle w:val="NormalHanging12a"/>
        <w:sectPr w:rsidR="00F10866" w:rsidRPr="006B1283" w:rsidSect="0029696A">
          <w:footerReference w:type="even" r:id="rId9"/>
          <w:footerReference w:type="defaul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887DAC2" w14:textId="77777777" w:rsidR="00171078" w:rsidRDefault="00DB70E3" w:rsidP="00DB70E3">
      <w:pPr>
        <w:pStyle w:val="PageHeading"/>
      </w:pPr>
      <w:bookmarkStart w:id="7" w:name="_Toc197096860"/>
      <w:r w:rsidRPr="006B1283">
        <w:lastRenderedPageBreak/>
        <w:t>MELLÉKLET</w:t>
      </w:r>
    </w:p>
    <w:p w14:paraId="3DD2239C" w14:textId="683A1D6D" w:rsidR="00DB70E3" w:rsidRPr="006B1283" w:rsidRDefault="00DB70E3" w:rsidP="00DB70E3">
      <w:pPr>
        <w:pStyle w:val="PageHeading"/>
        <w:rPr>
          <w:noProof/>
        </w:rPr>
      </w:pPr>
      <w:r w:rsidRPr="006B1283">
        <w:t>AZ EURÓPAI PARLAMENT ÉS A TANÁCS HATÁROZATA</w:t>
      </w:r>
      <w:bookmarkEnd w:id="7"/>
    </w:p>
    <w:p w14:paraId="41ACEAD8" w14:textId="77777777" w:rsidR="00DB70E3" w:rsidRDefault="00DB70E3" w:rsidP="00F10866">
      <w:pPr>
        <w:pStyle w:val="NormalBold24a"/>
        <w:jc w:val="center"/>
      </w:pPr>
      <w:r w:rsidRPr="006B1283">
        <w:t>az elbocsátott munkavállalók támogatását szolgáló Európai Globalizációs Alkalmazkodási Alapnak Belgium EGF/2024/003 BE/Van Hool referenciaszámú kérelme nyomán történő igénybevételéről</w:t>
      </w:r>
    </w:p>
    <w:p w14:paraId="21BA2BC6" w14:textId="77777777" w:rsidR="00176275" w:rsidRPr="00176275" w:rsidRDefault="00176275" w:rsidP="00176275">
      <w:pPr>
        <w:pStyle w:val="NormalBold24a"/>
        <w:rPr>
          <w:b w:val="0"/>
        </w:rPr>
      </w:pPr>
      <w:r w:rsidRPr="00176275">
        <w:rPr>
          <w:b w:val="0"/>
          <w:i/>
        </w:rPr>
        <w:t>(E melléklet szövege itt nincs feltüntetve, mert az megegyezik a végleges jogi aktussal, az (EU) 20</w:t>
      </w:r>
      <w:r>
        <w:rPr>
          <w:b w:val="0"/>
          <w:i/>
        </w:rPr>
        <w:t>25/1018</w:t>
      </w:r>
      <w:r w:rsidRPr="00176275">
        <w:rPr>
          <w:b w:val="0"/>
          <w:i/>
        </w:rPr>
        <w:t xml:space="preserve"> határozattal.)</w:t>
      </w:r>
    </w:p>
    <w:sectPr w:rsidR="00176275" w:rsidRPr="00176275" w:rsidSect="0029696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3363C" w14:textId="77777777" w:rsidR="00E734F0" w:rsidRPr="0029696A" w:rsidRDefault="00E734F0">
      <w:r w:rsidRPr="0029696A">
        <w:separator/>
      </w:r>
    </w:p>
  </w:endnote>
  <w:endnote w:type="continuationSeparator" w:id="0">
    <w:p w14:paraId="256C6C0C" w14:textId="77777777" w:rsidR="00E734F0" w:rsidRPr="0029696A" w:rsidRDefault="00E734F0">
      <w:r w:rsidRPr="0029696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288E7" w14:textId="77777777" w:rsidR="00DB70E3" w:rsidRPr="0029696A" w:rsidRDefault="00DB70E3" w:rsidP="00497186">
    <w:pPr>
      <w:pStyle w:val="EPFooter"/>
    </w:pPr>
    <w:r w:rsidRPr="0029696A">
      <w:t>PE</w:t>
    </w:r>
    <w:r w:rsidRPr="0029696A">
      <w:rPr>
        <w:rStyle w:val="HideTWBExt"/>
      </w:rPr>
      <w:t>&lt;NoPE&gt;</w:t>
    </w:r>
    <w:r w:rsidRPr="0029696A">
      <w:t>771.884</w:t>
    </w:r>
    <w:r w:rsidRPr="0029696A">
      <w:rPr>
        <w:rStyle w:val="HideTWBExt"/>
      </w:rPr>
      <w:t>&lt;/NoPE&gt;&lt;Version&gt;</w:t>
    </w:r>
    <w:r w:rsidRPr="0029696A">
      <w:t>v03-00</w:t>
    </w:r>
    <w:r w:rsidRPr="0029696A">
      <w:rPr>
        <w:rStyle w:val="HideTWBExt"/>
      </w:rPr>
      <w:t>&lt;/Version&gt;</w:t>
    </w:r>
    <w:r w:rsidRPr="0029696A">
      <w:tab/>
    </w:r>
    <w:r w:rsidRPr="0029696A">
      <w:fldChar w:fldCharType="begin"/>
    </w:r>
    <w:r w:rsidRPr="0029696A">
      <w:instrText xml:space="preserve"> PAGE  \* MERGEFORMAT </w:instrText>
    </w:r>
    <w:r w:rsidRPr="0029696A">
      <w:fldChar w:fldCharType="separate"/>
    </w:r>
    <w:r w:rsidR="0029696A" w:rsidRPr="0029696A">
      <w:rPr>
        <w:noProof/>
      </w:rPr>
      <w:t>2</w:t>
    </w:r>
    <w:r w:rsidRPr="0029696A">
      <w:fldChar w:fldCharType="end"/>
    </w:r>
    <w:r w:rsidRPr="0029696A">
      <w:t>/</w:t>
    </w:r>
    <w:r w:rsidR="00171078">
      <w:fldChar w:fldCharType="begin"/>
    </w:r>
    <w:r w:rsidR="00171078">
      <w:instrText xml:space="preserve"> NUMPAGES  \* MERGEFORMAT </w:instrText>
    </w:r>
    <w:r w:rsidR="00171078">
      <w:fldChar w:fldCharType="separate"/>
    </w:r>
    <w:r w:rsidR="0029696A" w:rsidRPr="0029696A">
      <w:rPr>
        <w:noProof/>
      </w:rPr>
      <w:t>8</w:t>
    </w:r>
    <w:r w:rsidR="00171078">
      <w:rPr>
        <w:noProof/>
      </w:rPr>
      <w:fldChar w:fldCharType="end"/>
    </w:r>
    <w:r w:rsidRPr="0029696A">
      <w:tab/>
    </w:r>
    <w:r w:rsidRPr="0029696A">
      <w:rPr>
        <w:rStyle w:val="HideTWBExt"/>
      </w:rPr>
      <w:t>&lt;PathFdR&gt;</w:t>
    </w:r>
    <w:r w:rsidRPr="0029696A">
      <w:t>RR\1320028HU.docx</w:t>
    </w:r>
    <w:r w:rsidRPr="0029696A">
      <w:rPr>
        <w:rStyle w:val="HideTWBExt"/>
      </w:rPr>
      <w:t>&lt;/PathFdR&gt;</w:t>
    </w:r>
  </w:p>
  <w:p w14:paraId="110ACCCE" w14:textId="77777777" w:rsidR="00DB70E3" w:rsidRPr="0029696A" w:rsidRDefault="00DB70E3" w:rsidP="00497186">
    <w:pPr>
      <w:pStyle w:val="EPFooter2"/>
    </w:pPr>
    <w:r w:rsidRPr="0029696A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7CFDA" w14:textId="77777777" w:rsidR="00DB70E3" w:rsidRPr="008C1D86" w:rsidRDefault="00DB70E3" w:rsidP="006B128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731CC" w14:textId="77777777" w:rsidR="00DB70E3" w:rsidRPr="0029696A" w:rsidRDefault="00DB70E3" w:rsidP="00497186">
    <w:pPr>
      <w:pStyle w:val="EPFooter"/>
    </w:pPr>
    <w:r w:rsidRPr="0029696A">
      <w:rPr>
        <w:rStyle w:val="HideTWBExt"/>
      </w:rPr>
      <w:t>&lt;PathFdR&gt;</w:t>
    </w:r>
    <w:r w:rsidRPr="0029696A">
      <w:t>RR\1320028HU.docx</w:t>
    </w:r>
    <w:r w:rsidRPr="0029696A">
      <w:rPr>
        <w:rStyle w:val="HideTWBExt"/>
      </w:rPr>
      <w:t>&lt;/PathFdR&gt;</w:t>
    </w:r>
    <w:r w:rsidRPr="0029696A">
      <w:tab/>
    </w:r>
    <w:r w:rsidRPr="0029696A">
      <w:tab/>
      <w:t>PE</w:t>
    </w:r>
    <w:r w:rsidRPr="0029696A">
      <w:rPr>
        <w:rStyle w:val="HideTWBExt"/>
      </w:rPr>
      <w:t>&lt;NoPE&gt;</w:t>
    </w:r>
    <w:r w:rsidRPr="0029696A">
      <w:t>771.884</w:t>
    </w:r>
    <w:r w:rsidRPr="0029696A">
      <w:rPr>
        <w:rStyle w:val="HideTWBExt"/>
      </w:rPr>
      <w:t>&lt;/NoPE&gt;&lt;Version&gt;</w:t>
    </w:r>
    <w:r w:rsidRPr="0029696A">
      <w:t>v03-00</w:t>
    </w:r>
    <w:r w:rsidRPr="0029696A">
      <w:rPr>
        <w:rStyle w:val="HideTWBExt"/>
      </w:rPr>
      <w:t>&lt;/Version&gt;</w:t>
    </w:r>
  </w:p>
  <w:p w14:paraId="6B8E5438" w14:textId="77777777" w:rsidR="00DB70E3" w:rsidRPr="0029696A" w:rsidRDefault="00DB70E3" w:rsidP="00497186">
    <w:pPr>
      <w:pStyle w:val="EPFooter2"/>
    </w:pPr>
    <w:r w:rsidRPr="0029696A">
      <w:t>HU</w:t>
    </w:r>
    <w:r w:rsidRPr="0029696A">
      <w:tab/>
    </w:r>
    <w:r w:rsidRPr="0029696A">
      <w:rPr>
        <w:b w:val="0"/>
        <w:i/>
        <w:color w:val="C0C0C0"/>
        <w:sz w:val="22"/>
      </w:rPr>
      <w:t>Egyesülve a sokféleségben</w:t>
    </w:r>
    <w:r w:rsidRPr="0029696A">
      <w:tab/>
      <w:t>HU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DEEF1" w14:textId="77777777" w:rsidR="00064002" w:rsidRPr="0029696A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4DBF7" w14:textId="77777777" w:rsidR="00064002" w:rsidRPr="0029696A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3D500" w14:textId="77777777" w:rsidR="00064002" w:rsidRPr="0029696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35C7A" w14:textId="77777777" w:rsidR="00E734F0" w:rsidRPr="0029696A" w:rsidRDefault="00E734F0">
      <w:r w:rsidRPr="0029696A">
        <w:separator/>
      </w:r>
    </w:p>
  </w:footnote>
  <w:footnote w:type="continuationSeparator" w:id="0">
    <w:p w14:paraId="43009C33" w14:textId="77777777" w:rsidR="00E734F0" w:rsidRPr="0029696A" w:rsidRDefault="00E734F0">
      <w:r w:rsidRPr="0029696A">
        <w:continuationSeparator/>
      </w:r>
    </w:p>
  </w:footnote>
  <w:footnote w:id="1">
    <w:p w14:paraId="5A6DC09A" w14:textId="21C7A690" w:rsidR="00DB70E3" w:rsidRPr="0029696A" w:rsidRDefault="00DB70E3" w:rsidP="0029696A">
      <w:pPr>
        <w:pStyle w:val="FootnoteText"/>
        <w:ind w:left="567" w:hanging="567"/>
        <w:rPr>
          <w:sz w:val="24"/>
          <w:lang w:val="hu-HU"/>
        </w:rPr>
      </w:pPr>
      <w:r w:rsidRPr="0029696A">
        <w:rPr>
          <w:rStyle w:val="FootnoteReference"/>
          <w:sz w:val="24"/>
          <w:lang w:val="hu-HU"/>
        </w:rPr>
        <w:footnoteRef/>
      </w:r>
      <w:r w:rsidR="0029696A" w:rsidRPr="0029696A">
        <w:rPr>
          <w:sz w:val="24"/>
          <w:lang w:val="hu-HU"/>
        </w:rPr>
        <w:t xml:space="preserve"> </w:t>
      </w:r>
      <w:r w:rsidR="0029696A" w:rsidRPr="0029696A">
        <w:rPr>
          <w:sz w:val="24"/>
          <w:lang w:val="hu-HU"/>
        </w:rPr>
        <w:tab/>
      </w:r>
      <w:r w:rsidRPr="0029696A">
        <w:rPr>
          <w:sz w:val="24"/>
          <w:lang w:val="hu-HU"/>
        </w:rPr>
        <w:t xml:space="preserve">HL L 153, 2021.5.3., 48. o., </w:t>
      </w:r>
      <w:hyperlink r:id="rId1" w:history="1">
        <w:r w:rsidRPr="00F10866">
          <w:rPr>
            <w:rStyle w:val="Hyperlink"/>
            <w:sz w:val="24"/>
            <w:lang w:val="hu-HU"/>
          </w:rPr>
          <w:t>ELI: http://data.europa.eu/eli/reg/2021/691/oj</w:t>
        </w:r>
      </w:hyperlink>
      <w:r w:rsidRPr="0029696A">
        <w:rPr>
          <w:sz w:val="24"/>
          <w:lang w:val="hu-HU"/>
        </w:rPr>
        <w:t>.</w:t>
      </w:r>
    </w:p>
  </w:footnote>
  <w:footnote w:id="2">
    <w:p w14:paraId="3F82C4A3" w14:textId="034DB87C" w:rsidR="00DB70E3" w:rsidRPr="0029696A" w:rsidRDefault="00DB70E3" w:rsidP="0029696A">
      <w:pPr>
        <w:pStyle w:val="FootnoteText"/>
        <w:ind w:left="567" w:hanging="567"/>
        <w:rPr>
          <w:sz w:val="24"/>
          <w:lang w:val="hu-HU"/>
        </w:rPr>
      </w:pPr>
      <w:r w:rsidRPr="0029696A">
        <w:rPr>
          <w:rStyle w:val="FootnoteReference"/>
          <w:sz w:val="24"/>
          <w:lang w:val="hu-HU"/>
        </w:rPr>
        <w:footnoteRef/>
      </w:r>
      <w:r w:rsidR="0029696A" w:rsidRPr="0029696A">
        <w:rPr>
          <w:sz w:val="24"/>
          <w:lang w:val="hu-HU"/>
        </w:rPr>
        <w:t xml:space="preserve"> </w:t>
      </w:r>
      <w:r w:rsidR="0029696A" w:rsidRPr="0029696A">
        <w:rPr>
          <w:sz w:val="24"/>
          <w:lang w:val="hu-HU"/>
        </w:rPr>
        <w:tab/>
      </w:r>
      <w:r w:rsidRPr="0029696A">
        <w:rPr>
          <w:sz w:val="24"/>
          <w:lang w:val="hu-HU"/>
        </w:rPr>
        <w:t>HL L 433</w:t>
      </w:r>
      <w:r w:rsidR="00171078">
        <w:rPr>
          <w:sz w:val="24"/>
          <w:lang w:val="hu-HU"/>
        </w:rPr>
        <w:t>,</w:t>
      </w:r>
      <w:r w:rsidRPr="0029696A">
        <w:rPr>
          <w:sz w:val="24"/>
          <w:lang w:val="hu-HU"/>
        </w:rPr>
        <w:t xml:space="preserve"> I, 2020.12.22., 11. o., ELI: </w:t>
      </w:r>
      <w:hyperlink r:id="rId2" w:history="1">
        <w:r w:rsidRPr="00F10866">
          <w:rPr>
            <w:rStyle w:val="Hyperlink"/>
            <w:sz w:val="24"/>
            <w:lang w:val="hu-HU"/>
          </w:rPr>
          <w:t>http://data.europa.eu/eli/reg/2020/2093/oj</w:t>
        </w:r>
      </w:hyperlink>
      <w:r w:rsidRPr="0029696A">
        <w:rPr>
          <w:sz w:val="24"/>
          <w:lang w:val="hu-HU"/>
        </w:rPr>
        <w:t>.</w:t>
      </w:r>
    </w:p>
  </w:footnote>
  <w:footnote w:id="3">
    <w:p w14:paraId="16BE8240" w14:textId="77777777" w:rsidR="00DB70E3" w:rsidRPr="0029696A" w:rsidRDefault="00DB70E3" w:rsidP="0029696A">
      <w:pPr>
        <w:pStyle w:val="FootnoteText"/>
        <w:ind w:left="567" w:hanging="567"/>
        <w:rPr>
          <w:sz w:val="24"/>
          <w:lang w:val="hu-HU"/>
        </w:rPr>
      </w:pPr>
      <w:r w:rsidRPr="0029696A">
        <w:rPr>
          <w:rStyle w:val="FootnoteReference"/>
          <w:sz w:val="24"/>
          <w:lang w:val="hu-HU"/>
        </w:rPr>
        <w:footnoteRef/>
      </w:r>
      <w:r w:rsidR="0029696A" w:rsidRPr="0029696A">
        <w:rPr>
          <w:color w:val="333333"/>
          <w:sz w:val="24"/>
          <w:shd w:val="clear" w:color="auto" w:fill="FFFFFF"/>
          <w:lang w:val="hu-HU"/>
        </w:rPr>
        <w:t xml:space="preserve"> </w:t>
      </w:r>
      <w:r w:rsidR="0029696A" w:rsidRPr="0029696A">
        <w:rPr>
          <w:color w:val="333333"/>
          <w:sz w:val="24"/>
          <w:shd w:val="clear" w:color="auto" w:fill="FFFFFF"/>
          <w:lang w:val="hu-HU"/>
        </w:rPr>
        <w:tab/>
      </w:r>
      <w:r w:rsidRPr="0029696A">
        <w:rPr>
          <w:color w:val="333333"/>
          <w:sz w:val="24"/>
          <w:shd w:val="clear" w:color="auto" w:fill="FFFFFF"/>
          <w:lang w:val="hu-HU"/>
        </w:rPr>
        <w:t>A Tanács (EU, Euratom) 2024/765 rendelete (2024. február 29.) a 2021–2027-es időszakra vonatkozó többéves pénzügyi keretről szóló (EU, Euratom) 2020/2093 rendelet módosításáról (</w:t>
      </w:r>
      <w:r w:rsidRPr="0029696A">
        <w:rPr>
          <w:sz w:val="24"/>
          <w:lang w:val="hu-HU"/>
        </w:rPr>
        <w:t xml:space="preserve">HL L 2024/765., 2024.2.29., </w:t>
      </w:r>
      <w:r w:rsidRPr="006B1283">
        <w:rPr>
          <w:rStyle w:val="Emphasis"/>
          <w:i w:val="0"/>
          <w:color w:val="333333"/>
          <w:sz w:val="24"/>
          <w:shd w:val="clear" w:color="auto" w:fill="FFFFFF"/>
          <w:lang w:val="hu-HU"/>
        </w:rPr>
        <w:t xml:space="preserve">ELI: </w:t>
      </w:r>
      <w:hyperlink r:id="rId3" w:history="1">
        <w:r w:rsidRPr="006B1283">
          <w:rPr>
            <w:rStyle w:val="Hyperlink"/>
            <w:lang w:val="hu-HU"/>
          </w:rPr>
          <w:t>http://data.europa.eu/eli/reg/2024/765/oj</w:t>
        </w:r>
      </w:hyperlink>
      <w:r w:rsidRPr="006B1283">
        <w:rPr>
          <w:rStyle w:val="Emphasis"/>
          <w:i w:val="0"/>
          <w:color w:val="333333"/>
          <w:sz w:val="24"/>
          <w:shd w:val="clear" w:color="auto" w:fill="FFFFFF"/>
          <w:lang w:val="hu-HU"/>
        </w:rPr>
        <w:t>)</w:t>
      </w:r>
      <w:r w:rsidRPr="0029696A">
        <w:rPr>
          <w:sz w:val="24"/>
          <w:lang w:val="hu-HU"/>
        </w:rPr>
        <w:t>.</w:t>
      </w:r>
    </w:p>
  </w:footnote>
  <w:footnote w:id="4">
    <w:p w14:paraId="25978D58" w14:textId="77777777" w:rsidR="00DB70E3" w:rsidRPr="0029696A" w:rsidRDefault="00DB70E3" w:rsidP="0029696A">
      <w:pPr>
        <w:pStyle w:val="FootnoteText"/>
        <w:ind w:left="567" w:hanging="567"/>
        <w:rPr>
          <w:sz w:val="24"/>
          <w:lang w:val="hu-HU"/>
        </w:rPr>
      </w:pPr>
      <w:r w:rsidRPr="0029696A">
        <w:rPr>
          <w:rStyle w:val="FootnoteReference"/>
          <w:sz w:val="24"/>
          <w:lang w:val="hu-HU"/>
        </w:rPr>
        <w:footnoteRef/>
      </w:r>
      <w:r w:rsidR="0029696A" w:rsidRPr="0029696A">
        <w:rPr>
          <w:sz w:val="24"/>
          <w:lang w:val="hu-HU"/>
        </w:rPr>
        <w:t xml:space="preserve"> </w:t>
      </w:r>
      <w:r w:rsidR="0029696A" w:rsidRPr="0029696A">
        <w:rPr>
          <w:sz w:val="24"/>
          <w:lang w:val="hu-HU"/>
        </w:rPr>
        <w:tab/>
      </w:r>
      <w:r w:rsidRPr="0029696A">
        <w:rPr>
          <w:sz w:val="24"/>
          <w:lang w:val="hu-HU"/>
        </w:rPr>
        <w:t xml:space="preserve">HL L 433. I, 2020.12.22., 28. o., ELI: </w:t>
      </w:r>
      <w:hyperlink r:id="rId4" w:history="1">
        <w:r w:rsidRPr="00F10866">
          <w:rPr>
            <w:rStyle w:val="Hyperlink"/>
            <w:sz w:val="24"/>
            <w:lang w:val="hu-HU"/>
          </w:rPr>
          <w:t>https://eur-lex.europa.eu/eli/agree_interinstit/2020/1222/oj?locale=hu</w:t>
        </w:r>
      </w:hyperlink>
      <w:r w:rsidRPr="0029696A">
        <w:rPr>
          <w:sz w:val="24"/>
          <w:lang w:val="hu-HU"/>
        </w:rPr>
        <w:t>.</w:t>
      </w:r>
    </w:p>
  </w:footnote>
  <w:footnote w:id="5">
    <w:p w14:paraId="4216365F" w14:textId="77777777" w:rsidR="00DB70E3" w:rsidRPr="0029696A" w:rsidRDefault="00DB70E3" w:rsidP="0029696A">
      <w:pPr>
        <w:pStyle w:val="FootnoteText"/>
        <w:ind w:left="567" w:hanging="567"/>
        <w:rPr>
          <w:sz w:val="24"/>
          <w:lang w:val="hu-HU"/>
        </w:rPr>
      </w:pPr>
      <w:r w:rsidRPr="0029696A">
        <w:rPr>
          <w:rStyle w:val="FootnoteReference"/>
          <w:sz w:val="24"/>
          <w:lang w:val="hu-HU"/>
        </w:rPr>
        <w:footnoteRef/>
      </w:r>
      <w:r w:rsidR="0029696A" w:rsidRPr="0029696A">
        <w:rPr>
          <w:sz w:val="24"/>
          <w:lang w:val="hu-HU"/>
        </w:rPr>
        <w:t xml:space="preserve"> </w:t>
      </w:r>
      <w:r w:rsidR="0029696A" w:rsidRPr="0029696A">
        <w:rPr>
          <w:sz w:val="24"/>
          <w:lang w:val="hu-HU"/>
        </w:rPr>
        <w:tab/>
      </w:r>
      <w:r w:rsidRPr="0029696A">
        <w:rPr>
          <w:sz w:val="24"/>
          <w:lang w:val="hu-HU"/>
        </w:rPr>
        <w:t>Az EGAA-rendelet 3. cikke értelmében.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63B04" w14:textId="77777777" w:rsidR="00064002" w:rsidRPr="0029696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9A02E" w14:textId="77777777" w:rsidR="00064002" w:rsidRPr="0029696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BA955" w14:textId="77777777" w:rsidR="00064002" w:rsidRPr="0029696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59495000">
    <w:abstractNumId w:val="9"/>
  </w:num>
  <w:num w:numId="2" w16cid:durableId="1447430899">
    <w:abstractNumId w:val="9"/>
  </w:num>
  <w:num w:numId="3" w16cid:durableId="1165053429">
    <w:abstractNumId w:val="7"/>
  </w:num>
  <w:num w:numId="4" w16cid:durableId="831524533">
    <w:abstractNumId w:val="7"/>
  </w:num>
  <w:num w:numId="5" w16cid:durableId="247933984">
    <w:abstractNumId w:val="6"/>
  </w:num>
  <w:num w:numId="6" w16cid:durableId="1816485013">
    <w:abstractNumId w:val="6"/>
  </w:num>
  <w:num w:numId="7" w16cid:durableId="1491948935">
    <w:abstractNumId w:val="5"/>
  </w:num>
  <w:num w:numId="8" w16cid:durableId="1813331749">
    <w:abstractNumId w:val="5"/>
  </w:num>
  <w:num w:numId="9" w16cid:durableId="658388313">
    <w:abstractNumId w:val="4"/>
  </w:num>
  <w:num w:numId="10" w16cid:durableId="727997537">
    <w:abstractNumId w:val="4"/>
  </w:num>
  <w:num w:numId="11" w16cid:durableId="1088699700">
    <w:abstractNumId w:val="8"/>
  </w:num>
  <w:num w:numId="12" w16cid:durableId="308632318">
    <w:abstractNumId w:val="8"/>
  </w:num>
  <w:num w:numId="13" w16cid:durableId="1935278609">
    <w:abstractNumId w:val="3"/>
  </w:num>
  <w:num w:numId="14" w16cid:durableId="784885052">
    <w:abstractNumId w:val="3"/>
  </w:num>
  <w:num w:numId="15" w16cid:durableId="447358800">
    <w:abstractNumId w:val="2"/>
  </w:num>
  <w:num w:numId="16" w16cid:durableId="879511593">
    <w:abstractNumId w:val="2"/>
  </w:num>
  <w:num w:numId="17" w16cid:durableId="387611811">
    <w:abstractNumId w:val="1"/>
  </w:num>
  <w:num w:numId="18" w16cid:durableId="986012993">
    <w:abstractNumId w:val="1"/>
  </w:num>
  <w:num w:numId="19" w16cid:durableId="1492065740">
    <w:abstractNumId w:val="0"/>
  </w:num>
  <w:num w:numId="20" w16cid:durableId="2015645010">
    <w:abstractNumId w:val="0"/>
  </w:num>
  <w:num w:numId="21" w16cid:durableId="758870829">
    <w:abstractNumId w:val="9"/>
  </w:num>
  <w:num w:numId="22" w16cid:durableId="1305967822">
    <w:abstractNumId w:val="7"/>
  </w:num>
  <w:num w:numId="23" w16cid:durableId="248656824">
    <w:abstractNumId w:val="6"/>
  </w:num>
  <w:num w:numId="24" w16cid:durableId="2107771574">
    <w:abstractNumId w:val="5"/>
  </w:num>
  <w:num w:numId="25" w16cid:durableId="1745764730">
    <w:abstractNumId w:val="4"/>
  </w:num>
  <w:num w:numId="26" w16cid:durableId="1070470144">
    <w:abstractNumId w:val="8"/>
  </w:num>
  <w:num w:numId="27" w16cid:durableId="1766415905">
    <w:abstractNumId w:val="3"/>
  </w:num>
  <w:num w:numId="28" w16cid:durableId="1154226018">
    <w:abstractNumId w:val="2"/>
  </w:num>
  <w:num w:numId="29" w16cid:durableId="1863474677">
    <w:abstractNumId w:val="1"/>
  </w:num>
  <w:num w:numId="30" w16cid:durableId="1932934790">
    <w:abstractNumId w:val="0"/>
  </w:num>
  <w:num w:numId="31" w16cid:durableId="853032548">
    <w:abstractNumId w:val="9"/>
  </w:num>
  <w:num w:numId="32" w16cid:durableId="1420174632">
    <w:abstractNumId w:val="7"/>
  </w:num>
  <w:num w:numId="33" w16cid:durableId="564462018">
    <w:abstractNumId w:val="6"/>
  </w:num>
  <w:num w:numId="34" w16cid:durableId="1683894495">
    <w:abstractNumId w:val="5"/>
  </w:num>
  <w:num w:numId="35" w16cid:durableId="1275483856">
    <w:abstractNumId w:val="4"/>
  </w:num>
  <w:num w:numId="36" w16cid:durableId="380059871">
    <w:abstractNumId w:val="8"/>
  </w:num>
  <w:num w:numId="37" w16cid:durableId="277882815">
    <w:abstractNumId w:val="3"/>
  </w:num>
  <w:num w:numId="38" w16cid:durableId="780951005">
    <w:abstractNumId w:val="2"/>
  </w:num>
  <w:num w:numId="39" w16cid:durableId="769476126">
    <w:abstractNumId w:val="1"/>
  </w:num>
  <w:num w:numId="40" w16cid:durableId="1871605368">
    <w:abstractNumId w:val="0"/>
  </w:num>
  <w:num w:numId="41" w16cid:durableId="1924217343">
    <w:abstractNumId w:val="10"/>
  </w:num>
  <w:num w:numId="42" w16cid:durableId="959842826">
    <w:abstractNumId w:val="10"/>
  </w:num>
  <w:num w:numId="43" w16cid:durableId="1907837391">
    <w:abstractNumId w:val="10"/>
  </w:num>
  <w:num w:numId="44" w16cid:durableId="10154951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80/2025"/>
    <w:docVar w:name="dvlangue" w:val="HU"/>
    <w:docVar w:name="dvnumam" w:val="0"/>
    <w:docVar w:name="dvpe" w:val="771.884"/>
    <w:docVar w:name="dvrapporteur" w:val="Előadó: "/>
    <w:docVar w:name="dvtitre" w:val="Az Európai Parlament 2025.  ...-i állásfoglalása az elbocsátott munkavállalók támogatását szolgáló Európai Globalizációs Alkalmazkodási Alapnak Belgium EGF/2024/003 referenciaszámú kérelme nyomán történő igénybevételéről szóló európai parlamenti és tanácsi határozatra irányuló javaslatról(COM(2025)0001 – C10-0056/2025 – 2025/0061(BUD))"/>
  </w:docVars>
  <w:rsids>
    <w:rsidRoot w:val="00E734F0"/>
    <w:rsid w:val="00002272"/>
    <w:rsid w:val="00064002"/>
    <w:rsid w:val="000677B9"/>
    <w:rsid w:val="000831BA"/>
    <w:rsid w:val="000A42CC"/>
    <w:rsid w:val="000E7DD9"/>
    <w:rsid w:val="0010095E"/>
    <w:rsid w:val="00125B37"/>
    <w:rsid w:val="00171078"/>
    <w:rsid w:val="00176275"/>
    <w:rsid w:val="00187494"/>
    <w:rsid w:val="001F32AE"/>
    <w:rsid w:val="002767FF"/>
    <w:rsid w:val="0029696A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086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128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1D86"/>
    <w:rsid w:val="008C2AC6"/>
    <w:rsid w:val="008F026D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70E3"/>
    <w:rsid w:val="00E365E1"/>
    <w:rsid w:val="00E734F0"/>
    <w:rsid w:val="00E820A4"/>
    <w:rsid w:val="00EB006A"/>
    <w:rsid w:val="00EB4772"/>
    <w:rsid w:val="00ED169E"/>
    <w:rsid w:val="00ED4235"/>
    <w:rsid w:val="00F04346"/>
    <w:rsid w:val="00F075DC"/>
    <w:rsid w:val="00F10866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EF3FFC"/>
  <w15:chartTrackingRefBased/>
  <w15:docId w15:val="{4C26B232-D057-4A4A-8E1B-153CC1093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B70E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DB70E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DB70E3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DB70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B70E3"/>
    <w:rPr>
      <w:sz w:val="24"/>
      <w:lang w:val="hu-HU"/>
    </w:rPr>
  </w:style>
  <w:style w:type="paragraph" w:customStyle="1" w:styleId="NormalBold24a">
    <w:name w:val="NormalBold24a"/>
    <w:basedOn w:val="Normal"/>
    <w:rsid w:val="00DB70E3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DB70E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B70E3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DB70E3"/>
    <w:rPr>
      <w:sz w:val="24"/>
      <w:lang w:val="hu-HU"/>
    </w:rPr>
  </w:style>
  <w:style w:type="character" w:styleId="Emphasis">
    <w:name w:val="Emphasis"/>
    <w:basedOn w:val="DefaultParagraphFont"/>
    <w:uiPriority w:val="20"/>
    <w:qFormat/>
    <w:rsid w:val="00DB70E3"/>
    <w:rPr>
      <w:i/>
      <w:iCs/>
    </w:rPr>
  </w:style>
  <w:style w:type="paragraph" w:customStyle="1" w:styleId="Institutionquiagit">
    <w:name w:val="Institution qui agit"/>
    <w:basedOn w:val="Normal"/>
    <w:next w:val="Normal"/>
    <w:rsid w:val="00DB70E3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DB70E3"/>
    <w:pPr>
      <w:widowControl/>
      <w:spacing w:before="120" w:after="120"/>
      <w:ind w:left="709" w:hanging="709"/>
      <w:jc w:val="both"/>
    </w:pPr>
    <w:rPr>
      <w:rFonts w:eastAsiaTheme="minorEastAsia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DB70E3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DB70E3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DB70E3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DB70E3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character" w:styleId="Hyperlink">
    <w:name w:val="Hyperlink"/>
    <w:basedOn w:val="DefaultParagraphFont"/>
    <w:uiPriority w:val="99"/>
    <w:rsid w:val="00DB70E3"/>
    <w:rPr>
      <w:color w:val="0563C1" w:themeColor="hyperlink"/>
      <w:u w:val="single"/>
    </w:rPr>
  </w:style>
  <w:style w:type="character" w:customStyle="1" w:styleId="PageHeadingChar">
    <w:name w:val="PageHeading Char"/>
    <w:basedOn w:val="DefaultParagraphFont"/>
    <w:link w:val="PageHeading"/>
    <w:rsid w:val="00DB70E3"/>
    <w:rPr>
      <w:rFonts w:ascii="Arial" w:hAnsi="Arial" w:cs="Arial"/>
      <w:b/>
      <w:sz w:val="24"/>
      <w:lang w:val="hu-HU"/>
    </w:rPr>
  </w:style>
  <w:style w:type="paragraph" w:customStyle="1" w:styleId="Personnequisigne">
    <w:name w:val="Personne qui signe"/>
    <w:basedOn w:val="Normal"/>
    <w:next w:val="Institutionquisigne"/>
    <w:rsid w:val="00DB70E3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styleId="Footer">
    <w:name w:val="footer"/>
    <w:basedOn w:val="Normal"/>
    <w:link w:val="FooterChar"/>
    <w:rsid w:val="008C1D8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C1D86"/>
    <w:rPr>
      <w:sz w:val="24"/>
      <w:lang w:val="hu-HU"/>
    </w:rPr>
  </w:style>
  <w:style w:type="paragraph" w:styleId="BalloonText">
    <w:name w:val="Balloon Text"/>
    <w:basedOn w:val="Normal"/>
    <w:link w:val="BalloonTextChar"/>
    <w:rsid w:val="00F108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10866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ELI:%20http://data.europa.eu/eli/reg/2021/691/oj" TargetMode="External"/><Relationship Id="rId4" Type="http://schemas.openxmlformats.org/officeDocument/2006/relationships/hyperlink" Target="https://eur-lex.europa.eu/eli/agree_interinstit/2020/1222/oj?locale=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B80E2-A1C3-479F-900C-837750553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1281</Words>
  <Characters>9360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PESA Karina</cp:lastModifiedBy>
  <cp:revision>3</cp:revision>
  <cp:lastPrinted>2004-11-19T15:42:00Z</cp:lastPrinted>
  <dcterms:created xsi:type="dcterms:W3CDTF">2025-06-10T14:27:00Z</dcterms:created>
  <dcterms:modified xsi:type="dcterms:W3CDTF">2025-10-10T07:13:00Z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P10_TA(2025)0074_</vt:lpwstr>
  </property>
  <property fmtid="{D5CDD505-2E9C-101B-9397-08002B2CF9AE}" pid="4" name="&lt;Type&gt;">
    <vt:lpwstr>RR</vt:lpwstr>
  </property>
</Properties>
</file>