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14AB" w:rsidTr="0010095E">
        <w:trPr>
          <w:trHeight w:hRule="exact" w:val="1418"/>
        </w:trPr>
        <w:tc>
          <w:tcPr>
            <w:tcW w:w="6804" w:type="dxa"/>
            <w:shd w:val="clear" w:color="auto" w:fill="auto"/>
            <w:vAlign w:val="center"/>
          </w:tcPr>
          <w:p w:rsidR="00751A4A" w:rsidRPr="000314AB" w:rsidRDefault="008D73DF" w:rsidP="0010095E">
            <w:pPr>
              <w:pStyle w:val="EPName"/>
            </w:pPr>
            <w:r w:rsidRPr="000314AB">
              <w:t>Europos Parlamentas</w:t>
            </w:r>
          </w:p>
          <w:p w:rsidR="00751A4A" w:rsidRPr="000314AB" w:rsidRDefault="005F1B17" w:rsidP="005F1B17">
            <w:pPr>
              <w:pStyle w:val="EPTerm"/>
              <w:rPr>
                <w:rStyle w:val="HideTWBExt"/>
                <w:noProof w:val="0"/>
                <w:vanish w:val="0"/>
                <w:color w:val="auto"/>
              </w:rPr>
            </w:pPr>
            <w:r w:rsidRPr="000314AB">
              <w:t>2024</w:t>
            </w:r>
            <w:r w:rsidR="00817416" w:rsidRPr="000314AB">
              <w:t>-202</w:t>
            </w:r>
            <w:r w:rsidRPr="000314AB">
              <w:t>9</w:t>
            </w:r>
          </w:p>
        </w:tc>
        <w:tc>
          <w:tcPr>
            <w:tcW w:w="2268" w:type="dxa"/>
            <w:shd w:val="clear" w:color="auto" w:fill="auto"/>
          </w:tcPr>
          <w:p w:rsidR="00751A4A" w:rsidRPr="000314AB" w:rsidRDefault="00187494" w:rsidP="0010095E">
            <w:pPr>
              <w:pStyle w:val="EPLogo"/>
            </w:pPr>
            <w:r w:rsidRPr="000314A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14AB" w:rsidRDefault="00D058B8" w:rsidP="004C5D52">
      <w:pPr>
        <w:pStyle w:val="LineTop"/>
      </w:pPr>
    </w:p>
    <w:p w:rsidR="00680577" w:rsidRPr="000314AB" w:rsidRDefault="008D73DF" w:rsidP="00680577">
      <w:pPr>
        <w:pStyle w:val="EPBodyTA1"/>
      </w:pPr>
      <w:r w:rsidRPr="000314AB">
        <w:t>PRIIMTI TEKSTAI</w:t>
      </w:r>
    </w:p>
    <w:p w:rsidR="00D058B8" w:rsidRPr="000314AB" w:rsidRDefault="00D058B8" w:rsidP="00D058B8">
      <w:pPr>
        <w:pStyle w:val="LineBottom"/>
      </w:pPr>
    </w:p>
    <w:p w:rsidR="008D73DF" w:rsidRPr="000314AB" w:rsidRDefault="008D73DF" w:rsidP="008D73DF">
      <w:pPr>
        <w:pStyle w:val="ATHeading1"/>
      </w:pPr>
      <w:bookmarkStart w:id="0" w:name="TANumber"/>
      <w:r w:rsidRPr="000314AB">
        <w:t>P10_TA(2025)00</w:t>
      </w:r>
      <w:r w:rsidR="000D043A">
        <w:t>74</w:t>
      </w:r>
      <w:bookmarkEnd w:id="0"/>
    </w:p>
    <w:p w:rsidR="008D73DF" w:rsidRPr="000314AB" w:rsidRDefault="008D73DF" w:rsidP="008D73DF">
      <w:pPr>
        <w:pStyle w:val="ATHeading2"/>
      </w:pPr>
      <w:bookmarkStart w:id="1" w:name="title"/>
      <w:r w:rsidRPr="000314AB">
        <w:t>Europos prisitaikymo prie globalizacijos padarinių fondo atleistiems darbuotojams lėšų mobilizavimas pagal Belgijos paraišką „EGF/2024/003 BE/Van Hool“</w:t>
      </w:r>
      <w:bookmarkEnd w:id="1"/>
    </w:p>
    <w:p w:rsidR="008D73DF" w:rsidRPr="000314AB" w:rsidRDefault="008D73DF" w:rsidP="008D73DF">
      <w:pPr>
        <w:rPr>
          <w:i/>
          <w:vanish/>
        </w:rPr>
      </w:pPr>
      <w:r w:rsidRPr="000314AB">
        <w:rPr>
          <w:i/>
        </w:rPr>
        <w:fldChar w:fldCharType="begin"/>
      </w:r>
      <w:r w:rsidRPr="000314AB">
        <w:rPr>
          <w:i/>
        </w:rPr>
        <w:instrText xml:space="preserve"> TC"(</w:instrText>
      </w:r>
      <w:bookmarkStart w:id="2" w:name="DocNumber"/>
      <w:r w:rsidRPr="000314AB">
        <w:rPr>
          <w:i/>
        </w:rPr>
        <w:instrText>A10-0080/2025</w:instrText>
      </w:r>
      <w:bookmarkEnd w:id="2"/>
      <w:r w:rsidRPr="000314AB">
        <w:rPr>
          <w:i/>
        </w:rPr>
        <w:instrText xml:space="preserve"> - Pranešėjas: Janusz Lewandowski)"\l3 \n&gt; \* MERGEFORMAT </w:instrText>
      </w:r>
      <w:r w:rsidRPr="000314AB">
        <w:rPr>
          <w:i/>
        </w:rPr>
        <w:fldChar w:fldCharType="end"/>
      </w:r>
    </w:p>
    <w:p w:rsidR="008D73DF" w:rsidRPr="000314AB" w:rsidRDefault="008D73DF" w:rsidP="008D73DF">
      <w:pPr>
        <w:rPr>
          <w:vanish/>
        </w:rPr>
      </w:pPr>
      <w:bookmarkStart w:id="3" w:name="Commission"/>
      <w:r w:rsidRPr="000314AB">
        <w:rPr>
          <w:vanish/>
        </w:rPr>
        <w:t>Biudžeto komitetas</w:t>
      </w:r>
      <w:bookmarkEnd w:id="3"/>
    </w:p>
    <w:p w:rsidR="008D73DF" w:rsidRPr="000314AB" w:rsidRDefault="008D73DF" w:rsidP="008D73DF">
      <w:pPr>
        <w:rPr>
          <w:vanish/>
        </w:rPr>
      </w:pPr>
      <w:bookmarkStart w:id="4" w:name="PE"/>
      <w:r w:rsidRPr="000314AB">
        <w:rPr>
          <w:vanish/>
        </w:rPr>
        <w:t>PE771.884</w:t>
      </w:r>
      <w:bookmarkEnd w:id="4"/>
    </w:p>
    <w:p w:rsidR="008D73DF" w:rsidRPr="000314AB" w:rsidRDefault="008D73DF" w:rsidP="008D73DF">
      <w:pPr>
        <w:pStyle w:val="ATHeading3"/>
      </w:pPr>
      <w:bookmarkStart w:id="5" w:name="Sujet"/>
      <w:r w:rsidRPr="000314AB">
        <w:t xml:space="preserve">2025 m. </w:t>
      </w:r>
      <w:r w:rsidR="00B93FD0" w:rsidRPr="000314AB">
        <w:t>gegužės</w:t>
      </w:r>
      <w:r w:rsidRPr="000314AB">
        <w:t xml:space="preserve"> 6 d. Europos Parlamento rezoliucija dėl pasiūlymo dėl Europos Parlamento ir Tarybos sprendimo dėl Europos prisitaikymo prie globalizacijos padarinių fondo atleistiems darbuotojams lėšų mobilizavimo pagal Belgijos paraišką „EGF/2024/003 BE/Van Hool“</w:t>
      </w:r>
      <w:bookmarkEnd w:id="5"/>
      <w:r w:rsidRPr="000314AB">
        <w:t xml:space="preserve"> </w:t>
      </w:r>
      <w:bookmarkStart w:id="6" w:name="References"/>
      <w:r w:rsidRPr="000314AB">
        <w:t>(COM(2025)0001 – C10-0056/2025 – 2025/0061(BUD))</w:t>
      </w:r>
      <w:bookmarkEnd w:id="6"/>
    </w:p>
    <w:p w:rsidR="009C245B" w:rsidRPr="000314AB" w:rsidRDefault="009C245B" w:rsidP="00F42343">
      <w:pPr>
        <w:pStyle w:val="EPComma"/>
        <w:rPr>
          <w:noProof/>
        </w:rPr>
      </w:pPr>
      <w:r w:rsidRPr="000314AB">
        <w:rPr>
          <w:i/>
        </w:rPr>
        <w:t>Europos Parlamentas</w:t>
      </w:r>
      <w:r w:rsidRPr="000314AB">
        <w:t>,</w:t>
      </w:r>
    </w:p>
    <w:p w:rsidR="009C245B" w:rsidRPr="000314AB" w:rsidRDefault="009C245B" w:rsidP="00D73629">
      <w:pPr>
        <w:pStyle w:val="NormalHanging12a"/>
        <w:rPr>
          <w:noProof/>
        </w:rPr>
      </w:pPr>
      <w:r w:rsidRPr="000314AB">
        <w:t>–</w:t>
      </w:r>
      <w:r w:rsidRPr="000314AB">
        <w:tab/>
        <w:t>atsižvelgdamas į Komisijos pasiūlymą Europos Parlamentui ir Tarybai (COM(2025)0001 – C10</w:t>
      </w:r>
      <w:r w:rsidRPr="000314AB">
        <w:noBreakHyphen/>
        <w:t>0056/2025),</w:t>
      </w:r>
    </w:p>
    <w:p w:rsidR="009C245B" w:rsidRPr="000314AB" w:rsidRDefault="009C245B" w:rsidP="00D73629">
      <w:pPr>
        <w:pStyle w:val="NormalHanging12a"/>
        <w:rPr>
          <w:noProof/>
        </w:rPr>
      </w:pPr>
      <w:r w:rsidRPr="000314AB">
        <w:t>–</w:t>
      </w:r>
      <w:r w:rsidRPr="000314AB">
        <w:tab/>
        <w:t>atsižvelgdamas į 2021 m. balandžio 28 d. Europos Parlamento ir Tarybos reglamentą (ES) 2021/691 dėl Europos prisitaikymo prie globalizacijos padarinių fondo atleistiems darbuotojams (EGF), kuriuo panaikinamas Reglamentas (ES) Nr. 1309/2013</w:t>
      </w:r>
      <w:r w:rsidRPr="000314AB">
        <w:rPr>
          <w:rStyle w:val="FootnoteReference"/>
          <w:noProof/>
        </w:rPr>
        <w:footnoteReference w:id="1"/>
      </w:r>
      <w:r w:rsidRPr="000314AB">
        <w:t xml:space="preserve"> (toliau – EGF reglamentas),</w:t>
      </w:r>
    </w:p>
    <w:p w:rsidR="009C245B" w:rsidRPr="000314AB" w:rsidRDefault="009C245B">
      <w:pPr>
        <w:pStyle w:val="NormalHanging12a"/>
        <w:rPr>
          <w:noProof/>
        </w:rPr>
      </w:pPr>
      <w:r w:rsidRPr="000314AB">
        <w:t>–</w:t>
      </w:r>
      <w:r w:rsidRPr="000314AB">
        <w:tab/>
        <w:t>atsižvelgdamas į 2020 m. gruodžio 17 d. Tarybos reglamentą (ES, Euratomas) 2020/2093, kuriuo nustatoma 2021–2027 m. daugiametė finansinė programa</w:t>
      </w:r>
      <w:r w:rsidRPr="000314AB">
        <w:rPr>
          <w:rStyle w:val="FootnoteReference"/>
          <w:noProof/>
        </w:rPr>
        <w:footnoteReference w:id="2"/>
      </w:r>
      <w:r w:rsidRPr="000314AB">
        <w:t>, su pakeitimais, padarytais Reglamentu (ES, Euratomas) 2024/765</w:t>
      </w:r>
      <w:r w:rsidRPr="000314AB">
        <w:rPr>
          <w:rStyle w:val="FootnoteReference"/>
          <w:bdr w:val="none" w:sz="0" w:space="0" w:color="auto" w:frame="1"/>
        </w:rPr>
        <w:footnoteReference w:id="3"/>
      </w:r>
      <w:r w:rsidRPr="000314AB">
        <w:t>, ypač į jo 8 straipsnį</w:t>
      </w:r>
    </w:p>
    <w:p w:rsidR="009C245B" w:rsidRPr="000314AB" w:rsidRDefault="009C245B">
      <w:pPr>
        <w:pStyle w:val="NormalHanging12a"/>
        <w:rPr>
          <w:noProof/>
        </w:rPr>
      </w:pPr>
      <w:r w:rsidRPr="000314AB">
        <w:t>–</w:t>
      </w:r>
      <w:r w:rsidRPr="000314AB">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0314AB">
        <w:rPr>
          <w:rStyle w:val="FootnoteReference"/>
          <w:noProof/>
        </w:rPr>
        <w:footnoteReference w:id="4"/>
      </w:r>
      <w:r w:rsidRPr="000314AB">
        <w:t xml:space="preserve">, visų </w:t>
      </w:r>
      <w:r w:rsidRPr="000314AB">
        <w:lastRenderedPageBreak/>
        <w:t>pirma į jo 9 punktą,</w:t>
      </w:r>
    </w:p>
    <w:p w:rsidR="009C245B" w:rsidRPr="000314AB" w:rsidRDefault="009C245B">
      <w:pPr>
        <w:pStyle w:val="NormalHanging12a"/>
        <w:rPr>
          <w:noProof/>
        </w:rPr>
      </w:pPr>
      <w:r w:rsidRPr="000314AB">
        <w:t>–</w:t>
      </w:r>
      <w:r w:rsidRPr="000314AB">
        <w:tab/>
        <w:t>atsižvelgdamas į Užimtumo ir socialinių reikalų komiteto laišką,</w:t>
      </w:r>
    </w:p>
    <w:p w:rsidR="009C245B" w:rsidRPr="000314AB" w:rsidRDefault="009C245B">
      <w:pPr>
        <w:pStyle w:val="NormalHanging12a"/>
      </w:pPr>
      <w:r w:rsidRPr="000314AB">
        <w:t>–</w:t>
      </w:r>
      <w:r w:rsidRPr="000314AB">
        <w:tab/>
        <w:t xml:space="preserve">atsižvelgdamas į Biudžeto komiteto pranešimą (A10-0080/2025), </w:t>
      </w:r>
    </w:p>
    <w:p w:rsidR="009C245B" w:rsidRPr="000314AB" w:rsidRDefault="009C245B">
      <w:pPr>
        <w:pStyle w:val="NormalHanging12a"/>
        <w:rPr>
          <w:noProof/>
        </w:rPr>
      </w:pPr>
      <w:r w:rsidRPr="000314AB">
        <w:t>A.</w:t>
      </w:r>
      <w:r w:rsidRPr="000314AB">
        <w:tab/>
        <w:t>kadangi Sąjunga, siekdama teikti papildomą paramą darbuotojams, patiriantiems žalą dėl esminių struktūrinių pasaulio prekybos sistemos pokyčių ar pasaulinės finansų ir ekonomikos krizės, ir padėti jiems vėl integruotis į darbo rinką, nustatė teisėkūros ir biudžeto priemones; kadangi šią pagalbą sudaro finansinė parama, teikiama darbuotojams ir įmonėms, kuriose jie dirbo;</w:t>
      </w:r>
    </w:p>
    <w:p w:rsidR="009C245B" w:rsidRPr="000314AB" w:rsidRDefault="009C245B">
      <w:pPr>
        <w:pStyle w:val="NormalHanging12a"/>
      </w:pPr>
      <w:r w:rsidRPr="000314AB">
        <w:t>B.</w:t>
      </w:r>
      <w:r w:rsidRPr="000314AB">
        <w:tab/>
        <w:t>kadangi Belgija pateikė paraišką „EGF/2024/003 BE/Van Hool“ dėl Europos prisitaikymo prie globalizacijos padarinių fondo (EGF) finansinės paramos atleidus 2 411 darbuotojų</w:t>
      </w:r>
      <w:r w:rsidRPr="000314AB">
        <w:rPr>
          <w:rStyle w:val="FootnoteReference"/>
        </w:rPr>
        <w:footnoteReference w:id="5"/>
      </w:r>
      <w:r w:rsidRPr="000314AB">
        <w:t xml:space="preserve"> ekonomikos sektoriuje, kuris priskiriamas NACE 2 red. 29 skyriui (Variklinių transporto priemonių, priekabų ir puspriekabių gamyba), NUTS 2 lygmens Antverpeno provincijos regione (BE21) (paraiškos ataskaitinis keturių mėnesių laikotarpis: 2024 m. balandžio 8 d. – 2024 m. rugpjūčio 8 d.); </w:t>
      </w:r>
    </w:p>
    <w:p w:rsidR="009C245B" w:rsidRPr="000314AB" w:rsidRDefault="009C245B">
      <w:pPr>
        <w:pStyle w:val="NormalHanging12a"/>
      </w:pPr>
      <w:r w:rsidRPr="000314AB">
        <w:t>C.</w:t>
      </w:r>
      <w:r w:rsidRPr="000314AB">
        <w:tab/>
        <w:t>kadangi paraiška teikiama dėl 2 411 darbuotojų, kurie buvo atleisti iš įmonės „Van Hool“;</w:t>
      </w:r>
    </w:p>
    <w:p w:rsidR="009C245B" w:rsidRPr="000314AB" w:rsidRDefault="009C245B">
      <w:pPr>
        <w:pStyle w:val="NormalHanging12a"/>
      </w:pPr>
      <w:r w:rsidRPr="000314AB">
        <w:t>D.</w:t>
      </w:r>
      <w:r w:rsidRPr="000314AB">
        <w:tab/>
        <w:t>kadangi paraiška yra paremta EGF reglamento 4 straipsnio 2 dalies a punkte nustatytais intervencijos kriterijais, pagal kuriuos per keturių mėnesių ataskaitinį laikotarpį turi būti sustabdyta ne mažiau kaip 200 valstybės narės įmonės atleistų darbuotojų ar savarankiškai dirbančių asmenų veikla, įskaitant tiekėjų ir tolesnės gamybos grandies įmonių atleistus darbuotojus;</w:t>
      </w:r>
    </w:p>
    <w:p w:rsidR="009C245B" w:rsidRPr="000314AB" w:rsidRDefault="009C245B">
      <w:pPr>
        <w:pStyle w:val="NormalHanging12a"/>
      </w:pPr>
      <w:r w:rsidRPr="000314AB">
        <w:t>E.</w:t>
      </w:r>
      <w:r w:rsidRPr="000314AB">
        <w:tab/>
        <w:t>kadangi COVID-19 pandemija turėjo įtakos tolimojo susisiekimo autobusų paklausai, o Rusijos agresijos karas prieš Ukrainą turėjo įtakos sąnaudų struktūrai;</w:t>
      </w:r>
    </w:p>
    <w:p w:rsidR="009C245B" w:rsidRPr="000314AB" w:rsidRDefault="009C245B">
      <w:pPr>
        <w:pStyle w:val="NormalHanging12a"/>
      </w:pPr>
      <w:r w:rsidRPr="000314AB">
        <w:t>F.</w:t>
      </w:r>
      <w:r w:rsidRPr="000314AB">
        <w:tab/>
        <w:t>kadangi Europos automobilių ir tiekėjų pramonė dėl išorės ir vidaus veiksnių, pvz., konkurencijos iškraipymo, visų pirma elektrinių transporto priemonių sektoriuje dėl nesąžiningų Kinijos subsidijų, ir didelių energijos kainų, kurias lėmė didelio masto restruktūrizavimas, patiria precedento neturintį spaudimą;</w:t>
      </w:r>
    </w:p>
    <w:p w:rsidR="009C245B" w:rsidRPr="000314AB" w:rsidRDefault="009C245B" w:rsidP="00A67395">
      <w:pPr>
        <w:pStyle w:val="NormalHanging12a"/>
      </w:pPr>
      <w:r w:rsidRPr="000314AB">
        <w:t>G.</w:t>
      </w:r>
      <w:r w:rsidRPr="000314AB">
        <w:rPr>
          <w:color w:val="7030A0"/>
        </w:rPr>
        <w:tab/>
      </w:r>
      <w:r w:rsidRPr="000314AB">
        <w:t xml:space="preserve">kadangi įmonė „Van Hool“ specializavosi miesto, tolimojo susisiekimo autobusų, troleibusų ir priekabų gamybos srityje; kadangi dėl pandemijos poveikio mažėjanti tolimojo susisiekimo autobusų paklausa lėmė mažėjantį vidutinį „Van Hool“ pardavimą Europoje ir staigų pelningumo sumažėjimą; kadangi didėjanti infliacija ir sutrikdytos tiekimo grandinės dar labiau padidino spaudimą įmonės maržoms; </w:t>
      </w:r>
    </w:p>
    <w:p w:rsidR="009C245B" w:rsidRPr="000314AB" w:rsidRDefault="009C245B" w:rsidP="00A67395">
      <w:pPr>
        <w:pStyle w:val="NormalHanging12a"/>
      </w:pPr>
      <w:r w:rsidRPr="000314AB">
        <w:t>H.</w:t>
      </w:r>
      <w:r w:rsidRPr="000314AB">
        <w:tab/>
        <w:t xml:space="preserve">kadangi bendrovė, vadovaudamasi Belgijos teise, laikėsi privalomos darbuotojų atstovų informavimo ir konsultavimosi su jais tvarkos; kadangi reikalavimas įsteigti užimtumo padalinį, kurio tikslas – dėl kolektyvinio atleidimo atleistiems darbuotojams teikti pagalbą perdarbinimo klausimais, netaikomas bankroto atveju; </w:t>
      </w:r>
    </w:p>
    <w:p w:rsidR="009C245B" w:rsidRPr="000314AB" w:rsidRDefault="009C245B" w:rsidP="00A67395">
      <w:pPr>
        <w:pStyle w:val="NormalHanging12a"/>
      </w:pPr>
      <w:r w:rsidRPr="000314AB">
        <w:t>I.</w:t>
      </w:r>
      <w:r w:rsidRPr="000314AB">
        <w:tab/>
        <w:t xml:space="preserve">kadangi EGF finansinė parama pirmiausia turėtų būti skiriama aktyvios darbo rinkos politikos priemonėms ir prie individualių poreikių pritaikytoms paslaugoms, kuriomis siekiama greitai reintegruoti paramos gavėjus į darbo rinką padedant jiems gauti deramas ir tvarias darbo vietas pradiniame jų veiklos ar kitame sektoriuje, kartu rengiant </w:t>
      </w:r>
      <w:r w:rsidRPr="000314AB">
        <w:lastRenderedPageBreak/>
        <w:t>juos žalesnei ir labiau skaitmeninei Europos ekonomikai;</w:t>
      </w:r>
    </w:p>
    <w:p w:rsidR="009C245B" w:rsidRPr="000314AB" w:rsidRDefault="009C245B" w:rsidP="00A67395">
      <w:pPr>
        <w:pStyle w:val="NormalHanging12a"/>
      </w:pPr>
      <w:r w:rsidRPr="000314AB">
        <w:t>J.</w:t>
      </w:r>
      <w:r w:rsidRPr="000314AB">
        <w:tab/>
        <w:t>kadangi Flandrijos užimtumo tarnybos (VDAB) teikia nacionalinį išankstinį ir bendrą priemonių finansavimą;</w:t>
      </w:r>
    </w:p>
    <w:p w:rsidR="009C245B" w:rsidRPr="000314AB" w:rsidRDefault="009C245B" w:rsidP="00A67395">
      <w:pPr>
        <w:pStyle w:val="NormalHanging12a"/>
        <w:rPr>
          <w:szCs w:val="24"/>
        </w:rPr>
      </w:pPr>
      <w:r w:rsidRPr="000314AB">
        <w:t>K.</w:t>
      </w:r>
      <w:r w:rsidRPr="000314AB">
        <w:rPr>
          <w:color w:val="7030A0"/>
        </w:rPr>
        <w:tab/>
      </w:r>
      <w:r w:rsidRPr="000314AB">
        <w:t xml:space="preserve">kadangi EGF didžiausia metinė suma </w:t>
      </w:r>
      <w:r w:rsidR="00303ED7">
        <w:t>netur</w:t>
      </w:r>
      <w:r w:rsidR="003707BE">
        <w:t>i</w:t>
      </w:r>
      <w:r w:rsidR="00303ED7">
        <w:t xml:space="preserve"> viršyti</w:t>
      </w:r>
      <w:r w:rsidR="00303ED7" w:rsidRPr="000314AB">
        <w:t xml:space="preserve"> </w:t>
      </w:r>
      <w:r w:rsidRPr="000314AB">
        <w:t>30 mln. EUR (2018 m. kainomis), kaip nustatyta Reglamento (ES, Euratomas) 2020/2093 su pakeitimais, padarytais Reglamentu (ES, Euratomas) 2024/765</w:t>
      </w:r>
      <w:r w:rsidR="003707BE">
        <w:t>,</w:t>
      </w:r>
      <w:r w:rsidRPr="000314AB">
        <w:t xml:space="preserve"> 8 straipsnyje; kadangi, laikantis patikimo finansų valdymo principo, nepanaudota parama turėtų būti grąžinta Komisijai;</w:t>
      </w:r>
    </w:p>
    <w:p w:rsidR="009C245B" w:rsidRPr="000314AB" w:rsidRDefault="009C245B" w:rsidP="00A67395">
      <w:pPr>
        <w:pStyle w:val="NormalHanging12a"/>
      </w:pPr>
      <w:r w:rsidRPr="000314AB">
        <w:t>1.</w:t>
      </w:r>
      <w:r w:rsidRPr="000314AB">
        <w:tab/>
        <w:t>pritaria Komisijai, kad tenkinamos EGF reglamento 4 straipsnio 2 dalies a punkte nustatytos sąlygos ir kad Belgija turi teisę pagal šį reglamentą gauti 7 999 015 EUR finansinę paramą, kuri sudaro 85 proc. visų išlaidų, siekiančių 9 410 607 EUR ir apimančių prie individualių poreikių pritaikytų paslaugų išlaidas (9 034 607 EUR) ir parengiamosios, valdymo, informavimo ir viešinimo, kontrolės ir ataskaitų teikimo veiklos išlaidas (376 000 EUR);</w:t>
      </w:r>
    </w:p>
    <w:p w:rsidR="009C245B" w:rsidRPr="000314AB" w:rsidRDefault="009C245B" w:rsidP="00A67395">
      <w:pPr>
        <w:pStyle w:val="NormalHanging12a"/>
      </w:pPr>
      <w:r w:rsidRPr="000314AB">
        <w:t>2.</w:t>
      </w:r>
      <w:r w:rsidRPr="000314AB">
        <w:tab/>
        <w:t xml:space="preserve">pažymi, kad Belgijos valdžios institucijos paraišką pateikė 2024 m. spalio 29 d. ir kad, Belgijai pateikus papildomą informaciją, Komisija 2025 m. kovo 26 d. baigė savo vertinimą ir tą pačią dieną informavo Parlamentą; </w:t>
      </w:r>
    </w:p>
    <w:p w:rsidR="009C245B" w:rsidRPr="000314AB" w:rsidRDefault="009C245B" w:rsidP="00A67395">
      <w:pPr>
        <w:pStyle w:val="NormalHanging12a"/>
      </w:pPr>
      <w:r w:rsidRPr="000314AB">
        <w:t>3.</w:t>
      </w:r>
      <w:r w:rsidRPr="000314AB">
        <w:tab/>
        <w:t>pažymi, kad paraiška teikiama dėl 2 411 darbuotojų, kurie buvo atleisti iš įmonės „Van Hool“; taip pat pažymi, kad tiksliniai paramos gavėjai iš viso bus 2 397 darbuotojai;</w:t>
      </w:r>
    </w:p>
    <w:p w:rsidR="009C245B" w:rsidRPr="000314AB" w:rsidRDefault="009C245B" w:rsidP="00A67395">
      <w:pPr>
        <w:pStyle w:val="NormalHanging12a"/>
      </w:pPr>
      <w:r w:rsidRPr="000314AB">
        <w:t>4.</w:t>
      </w:r>
      <w:r w:rsidRPr="000314AB">
        <w:tab/>
        <w:t xml:space="preserve">pabrėžia, kad, pasak Belgijos įmonių federacijos (VBO), Belgijos pramonės sektorius šiuo metu patiria nuosmukį; </w:t>
      </w:r>
      <w:r w:rsidR="003B4ECA" w:rsidRPr="000314AB">
        <w:t xml:space="preserve">pažymi, kad </w:t>
      </w:r>
      <w:r w:rsidRPr="000314AB">
        <w:t>pramonės sektorius tradiciškai atlik</w:t>
      </w:r>
      <w:r w:rsidR="00303ED7">
        <w:t>o</w:t>
      </w:r>
      <w:r w:rsidRPr="000314AB">
        <w:t xml:space="preserve"> svarbų vaidmenį Lyre, todėl pramonės nuosmukis daro reikšmingą poveikį Lyro darbo rinkai; atkreipia dėmesį į tai, kad Lyre laisvų darbo vietų pramonės sektoriuje skaičius 2023 m. sumažėjo 13 proc.;</w:t>
      </w:r>
    </w:p>
    <w:p w:rsidR="009C245B" w:rsidRPr="000314AB" w:rsidRDefault="009C245B" w:rsidP="00A67395">
      <w:pPr>
        <w:pStyle w:val="NormalHanging12a"/>
      </w:pPr>
      <w:r w:rsidRPr="000314AB">
        <w:t>5.</w:t>
      </w:r>
      <w:r w:rsidRPr="000314AB">
        <w:tab/>
        <w:t>atkreipia dėmesį į atleistų darbuotojų profilį – trečdalis jų yra 50 metų ar vyresni, o 80 proc. turi vidurinį ar žemesnį išsilavinimą ir pasenusius įgūdžius; pabrėžia, kad, atsižvelgiant į laisvų darbo vietų skaičiaus mažėjimo tendenciją ir geografinį pasiskirstymą ir siekiant padidinti darbuotojų galimybes grįžti į darbą, darbuotojams reikės tikslinės pagalbos, daugiausia dėmesio skiriant kvalifikacijos kėlimui ir perkvalifikavimui; mano, kad Sąjungos ir valstybių narių socialinė atsakomybė – suteikti nukentėjusiems darbuotojams galimybę įgyti būsimam užimtumui reikalingą kvalifikaciją;</w:t>
      </w:r>
    </w:p>
    <w:p w:rsidR="009C245B" w:rsidRPr="000314AB" w:rsidRDefault="009C245B" w:rsidP="00A67395">
      <w:pPr>
        <w:pStyle w:val="NormalHanging12a"/>
      </w:pPr>
      <w:r w:rsidRPr="000314AB">
        <w:t>6.</w:t>
      </w:r>
      <w:r w:rsidRPr="000314AB">
        <w:tab/>
        <w:t>palankiai vertina tai, kad prie individualių poreikių pritaikytas paslaugas, kurios bus teikiamos darbuotojams, sudaro šios priemonės: socialinės intervencijos patarėjas ir darbuotojų registracija, perdarbinimas, pagalba ieškant darbo ir įdarbinimas, profesinis orientavimas, perkvalifikavimas ir profesinis mokymas, taip pat mokymas darbo vietoje; ypač atkreipia dėmesį į paslaugas, susijusias su tiksline parama ir asmeniniu vertinimu, taip pat IRT mokymus, kuriais prisidedama prie įgūdžių tobulinimo, kurio reikia skaitmeninės pramonės amžiuje;</w:t>
      </w:r>
    </w:p>
    <w:p w:rsidR="009C245B" w:rsidRPr="000314AB" w:rsidRDefault="009C245B" w:rsidP="00A67395">
      <w:pPr>
        <w:pStyle w:val="NormalHanging12a"/>
      </w:pPr>
      <w:r w:rsidRPr="000314AB">
        <w:t>7.</w:t>
      </w:r>
      <w:r w:rsidRPr="000314AB">
        <w:tab/>
        <w:t>pažymi, kad Belgija tiksliniams paramos gavėjams prie individualių poreikių pritaikytas paslaugas pradėjo teikti 2024 m. balandžio 22 d. ir todėl joms skirtos išlaidos bus laikomos tinkamomis finansuoti iš EGF finansinės paramos nuo tos dienos iki tada, kai sueis 24 mėnesiai nuo finansavimo sprendimo įsigaliojimo dienos;</w:t>
      </w:r>
    </w:p>
    <w:p w:rsidR="009C245B" w:rsidRPr="000314AB" w:rsidRDefault="009C245B" w:rsidP="00A67395">
      <w:pPr>
        <w:pStyle w:val="NormalHanging12a"/>
        <w:rPr>
          <w:sz w:val="23"/>
          <w:szCs w:val="23"/>
        </w:rPr>
      </w:pPr>
      <w:r w:rsidRPr="000314AB">
        <w:t>8.</w:t>
      </w:r>
      <w:r w:rsidRPr="000314AB">
        <w:tab/>
        <w:t xml:space="preserve">pažymi, kad pirmąsias administracines išlaidas, susijusias su EGF paramos </w:t>
      </w:r>
      <w:r w:rsidRPr="000314AB">
        <w:lastRenderedPageBreak/>
        <w:t>įgyvendinimu, Belgija patyrė 2024 m. kovo 14 d. ir todėl šios išlaidos bus laikomos tinkamomis finansuoti iš EGF finansinės paramos nuo tos dienos iki tada, kai sueis 31 mėnuo nuo finansavimo sprendimo įsigaliojimo dienos;</w:t>
      </w:r>
    </w:p>
    <w:p w:rsidR="009C245B" w:rsidRPr="000314AB" w:rsidRDefault="009C245B" w:rsidP="00A67395">
      <w:pPr>
        <w:pStyle w:val="NormalHanging12a"/>
      </w:pPr>
      <w:r w:rsidRPr="000314AB">
        <w:t>9.</w:t>
      </w:r>
      <w:r w:rsidRPr="000314AB">
        <w:tab/>
        <w:t>pabrėžia, kad Belgijos valdžios institucijos patvirtino, jog suteikiant galimybę naudotis siūlomais veiksmais ir juos įgyvendinant bus laikomasi vienodo požiūrio ir nediskriminavimo principų ir kad bus išvengta bet kokio dvigubo finansavimo;</w:t>
      </w:r>
    </w:p>
    <w:p w:rsidR="009C245B" w:rsidRPr="000314AB" w:rsidRDefault="009C245B" w:rsidP="00A67395">
      <w:pPr>
        <w:pStyle w:val="NormalHanging12a"/>
      </w:pPr>
      <w:r w:rsidRPr="000314AB">
        <w:t>10.</w:t>
      </w:r>
      <w:r w:rsidRPr="000314AB">
        <w:tab/>
        <w:t>primena, jog Belgijos valdžios institucijos turi užtikrinti, kad vyrų ir moterų lygybė ir lyčių perspektyvos integravimas būtų neatsiejama įgyvendinimo laikotarpio dalis ir būtų skatinami per visą įgyvendinimo laikotarpį;</w:t>
      </w:r>
    </w:p>
    <w:p w:rsidR="009C245B" w:rsidRPr="000314AB" w:rsidRDefault="009C245B" w:rsidP="00A67395">
      <w:pPr>
        <w:pStyle w:val="NormalHanging12a"/>
      </w:pPr>
      <w:r w:rsidRPr="000314AB">
        <w:t>11.</w:t>
      </w:r>
      <w:r w:rsidRPr="000314AB">
        <w:tab/>
        <w:t>pakartoja, kad EGF pagalba neturi pakeisti veiksmų, už kuriuos bendrovės atsakingos pagal nacionalinę teisę ar kolektyvines sutartis;</w:t>
      </w:r>
    </w:p>
    <w:p w:rsidR="009C245B" w:rsidRPr="000314AB" w:rsidRDefault="009C245B" w:rsidP="00A67395">
      <w:pPr>
        <w:pStyle w:val="NormalHanging12a"/>
      </w:pPr>
      <w:r w:rsidRPr="000314AB">
        <w:t>12.</w:t>
      </w:r>
      <w:r w:rsidRPr="000314AB">
        <w:tab/>
        <w:t>primena, kad Belgijos valdžios institucijos nurodo Sąjungos lėšų kilmę ir užtikrina jų matomumą, taip pat pabrėžia Sąjungos intervencijos pridėtinę vertę, teikdamos nuoseklią, veiksmingą ir tikslinę informaciją įvairiai auditorijai, įskaitant tikslinę informaciją paramos gavėjams, vietos ir regioninėms valdžios institucijoms, socialiniams partneriams, žiniasklaidai ir visuomenei;</w:t>
      </w:r>
    </w:p>
    <w:p w:rsidR="009C245B" w:rsidRPr="000314AB" w:rsidRDefault="009C245B" w:rsidP="00A67395">
      <w:pPr>
        <w:pStyle w:val="NormalHanging12a"/>
      </w:pPr>
      <w:r w:rsidRPr="000314AB">
        <w:t>13.</w:t>
      </w:r>
      <w:r w:rsidRPr="000314AB">
        <w:tab/>
        <w:t>pritaria prie šios rezoliucijos pridedamam sprendimui;</w:t>
      </w:r>
    </w:p>
    <w:p w:rsidR="009C245B" w:rsidRPr="000314AB" w:rsidRDefault="009C245B" w:rsidP="00A67395">
      <w:pPr>
        <w:pStyle w:val="NormalHanging12a"/>
      </w:pPr>
      <w:r w:rsidRPr="000314AB">
        <w:t>14.</w:t>
      </w:r>
      <w:r w:rsidRPr="000314AB">
        <w:tab/>
        <w:t xml:space="preserve">paveda Pirmininkei pasirašyti šį sprendimą su Tarybos pirmininku ir užtikrinti, kad jis būtų paskelbtas </w:t>
      </w:r>
      <w:r w:rsidRPr="000314AB">
        <w:rPr>
          <w:i/>
        </w:rPr>
        <w:t>Europos Sąjungos oficialiajame leidinyje</w:t>
      </w:r>
      <w:r w:rsidRPr="000314AB">
        <w:t>;</w:t>
      </w:r>
    </w:p>
    <w:p w:rsidR="009C245B" w:rsidRPr="000314AB" w:rsidRDefault="009C245B" w:rsidP="00F42343">
      <w:pPr>
        <w:pStyle w:val="NormalHanging12a"/>
        <w:sectPr w:rsidR="009C245B" w:rsidRPr="000314AB" w:rsidSect="000314A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0314AB">
        <w:t>15.</w:t>
      </w:r>
      <w:r w:rsidRPr="000314AB">
        <w:tab/>
        <w:t>paveda Pirmininkei perduoti šią rezoliuciją ir jos priedą Tarybai ir Komisijai.</w:t>
      </w:r>
    </w:p>
    <w:p w:rsidR="00770B4F" w:rsidRPr="00770B4F" w:rsidRDefault="009C245B" w:rsidP="009C245B">
      <w:pPr>
        <w:pStyle w:val="PageHeading"/>
        <w:rPr>
          <w:rFonts w:ascii="Times New Roman" w:hAnsi="Times New Roman" w:cs="Times New Roman"/>
        </w:rPr>
      </w:pPr>
      <w:bookmarkStart w:id="7" w:name="_Toc196480260"/>
      <w:bookmarkStart w:id="8" w:name="_Toc197351296"/>
      <w:r w:rsidRPr="00770B4F">
        <w:rPr>
          <w:rFonts w:ascii="Times New Roman" w:hAnsi="Times New Roman" w:cs="Times New Roman"/>
        </w:rPr>
        <w:lastRenderedPageBreak/>
        <w:t>PRIEDAS</w:t>
      </w:r>
    </w:p>
    <w:p w:rsidR="009C245B" w:rsidRPr="00770B4F" w:rsidRDefault="009C245B" w:rsidP="009C245B">
      <w:pPr>
        <w:pStyle w:val="PageHeading"/>
        <w:rPr>
          <w:rFonts w:ascii="Times New Roman" w:hAnsi="Times New Roman" w:cs="Times New Roman"/>
          <w:noProof/>
        </w:rPr>
      </w:pPr>
      <w:r w:rsidRPr="00770B4F">
        <w:rPr>
          <w:rFonts w:ascii="Times New Roman" w:hAnsi="Times New Roman" w:cs="Times New Roman"/>
        </w:rPr>
        <w:t>EUROPOS PARLAMENTO IR TARYBOS SPRENDIMAS</w:t>
      </w:r>
      <w:bookmarkEnd w:id="7"/>
      <w:bookmarkEnd w:id="8"/>
    </w:p>
    <w:p w:rsidR="009C245B" w:rsidRPr="000314AB" w:rsidRDefault="009C245B" w:rsidP="00770B4F">
      <w:pPr>
        <w:pStyle w:val="NormalBold24a"/>
        <w:jc w:val="center"/>
      </w:pPr>
      <w:r w:rsidRPr="000314AB">
        <w:t>dėl Europos prisitaikymo prie globalizacijos padarinių fondo atleistiems darbuotojams lėšų mobilizavimo pagal Belgijos paraišką „EGF/2024/003 BE/Van Hool“</w:t>
      </w:r>
    </w:p>
    <w:p w:rsidR="00E365E1" w:rsidRPr="000314AB" w:rsidRDefault="00770B4F" w:rsidP="00770B4F">
      <w:pPr>
        <w:spacing w:after="240"/>
      </w:pPr>
      <w:r w:rsidRPr="002E2EB9">
        <w:rPr>
          <w:i/>
          <w:lang w:val="en-GB" w:eastAsia="de-DE"/>
        </w:rPr>
        <w:t>(</w:t>
      </w:r>
      <w:proofErr w:type="spellStart"/>
      <w:r w:rsidRPr="002E2EB9">
        <w:rPr>
          <w:i/>
          <w:lang w:val="en-GB" w:eastAsia="de-DE"/>
        </w:rPr>
        <w:t>Šio</w:t>
      </w:r>
      <w:proofErr w:type="spellEnd"/>
      <w:r w:rsidRPr="002E2EB9">
        <w:rPr>
          <w:i/>
          <w:lang w:val="en-GB" w:eastAsia="de-DE"/>
        </w:rPr>
        <w:t xml:space="preserve"> </w:t>
      </w:r>
      <w:proofErr w:type="spellStart"/>
      <w:r w:rsidRPr="002E2EB9">
        <w:rPr>
          <w:i/>
          <w:lang w:val="en-GB" w:eastAsia="de-DE"/>
        </w:rPr>
        <w:t>priedo</w:t>
      </w:r>
      <w:proofErr w:type="spellEnd"/>
      <w:r w:rsidRPr="002E2EB9">
        <w:rPr>
          <w:i/>
          <w:lang w:val="en-GB" w:eastAsia="de-DE"/>
        </w:rPr>
        <w:t xml:space="preserve"> </w:t>
      </w:r>
      <w:proofErr w:type="spellStart"/>
      <w:r w:rsidRPr="002E2EB9">
        <w:rPr>
          <w:i/>
          <w:lang w:val="en-GB" w:eastAsia="de-DE"/>
        </w:rPr>
        <w:t>tekstas</w:t>
      </w:r>
      <w:proofErr w:type="spellEnd"/>
      <w:r w:rsidRPr="002E2EB9">
        <w:rPr>
          <w:i/>
          <w:lang w:val="en-GB" w:eastAsia="de-DE"/>
        </w:rPr>
        <w:t xml:space="preserve"> </w:t>
      </w:r>
      <w:proofErr w:type="spellStart"/>
      <w:proofErr w:type="gramStart"/>
      <w:r w:rsidRPr="002E2EB9">
        <w:rPr>
          <w:i/>
          <w:lang w:val="en-GB" w:eastAsia="de-DE"/>
        </w:rPr>
        <w:t>čia</w:t>
      </w:r>
      <w:proofErr w:type="spellEnd"/>
      <w:proofErr w:type="gramEnd"/>
      <w:r w:rsidRPr="002E2EB9">
        <w:rPr>
          <w:i/>
          <w:lang w:val="en-GB" w:eastAsia="de-DE"/>
        </w:rPr>
        <w:t xml:space="preserve"> </w:t>
      </w:r>
      <w:proofErr w:type="spellStart"/>
      <w:r w:rsidRPr="002E2EB9">
        <w:rPr>
          <w:i/>
          <w:lang w:val="en-GB" w:eastAsia="de-DE"/>
        </w:rPr>
        <w:t>nepateikiamas</w:t>
      </w:r>
      <w:proofErr w:type="spellEnd"/>
      <w:r w:rsidRPr="002E2EB9">
        <w:rPr>
          <w:i/>
          <w:lang w:val="en-GB" w:eastAsia="de-DE"/>
        </w:rPr>
        <w:t xml:space="preserve">, </w:t>
      </w:r>
      <w:proofErr w:type="spellStart"/>
      <w:r w:rsidRPr="002E2EB9">
        <w:rPr>
          <w:i/>
          <w:lang w:val="en-GB" w:eastAsia="de-DE"/>
        </w:rPr>
        <w:t>nes</w:t>
      </w:r>
      <w:proofErr w:type="spellEnd"/>
      <w:r w:rsidRPr="002E2EB9">
        <w:rPr>
          <w:i/>
          <w:lang w:val="en-GB" w:eastAsia="de-DE"/>
        </w:rPr>
        <w:t xml:space="preserve"> </w:t>
      </w:r>
      <w:proofErr w:type="spellStart"/>
      <w:r w:rsidRPr="002E2EB9">
        <w:rPr>
          <w:i/>
          <w:lang w:val="en-GB" w:eastAsia="de-DE"/>
        </w:rPr>
        <w:t>jis</w:t>
      </w:r>
      <w:proofErr w:type="spellEnd"/>
      <w:r w:rsidRPr="002E2EB9">
        <w:rPr>
          <w:i/>
          <w:lang w:val="en-GB" w:eastAsia="de-DE"/>
        </w:rPr>
        <w:t xml:space="preserve"> </w:t>
      </w:r>
      <w:proofErr w:type="spellStart"/>
      <w:r w:rsidRPr="002E2EB9">
        <w:rPr>
          <w:i/>
          <w:lang w:val="en-GB" w:eastAsia="de-DE"/>
        </w:rPr>
        <w:t>atitinka</w:t>
      </w:r>
      <w:proofErr w:type="spellEnd"/>
      <w:r w:rsidRPr="002E2EB9">
        <w:rPr>
          <w:i/>
          <w:lang w:val="en-GB" w:eastAsia="de-DE"/>
        </w:rPr>
        <w:t xml:space="preserve"> </w:t>
      </w:r>
      <w:proofErr w:type="spellStart"/>
      <w:r w:rsidRPr="002E2EB9">
        <w:rPr>
          <w:i/>
          <w:lang w:val="en-GB" w:eastAsia="de-DE"/>
        </w:rPr>
        <w:t>galutinį</w:t>
      </w:r>
      <w:proofErr w:type="spellEnd"/>
      <w:r w:rsidRPr="002E2EB9">
        <w:rPr>
          <w:i/>
          <w:lang w:val="en-GB" w:eastAsia="de-DE"/>
        </w:rPr>
        <w:t xml:space="preserve"> </w:t>
      </w:r>
      <w:proofErr w:type="spellStart"/>
      <w:r w:rsidRPr="002E2EB9">
        <w:rPr>
          <w:i/>
          <w:lang w:val="en-GB" w:eastAsia="de-DE"/>
        </w:rPr>
        <w:t>aktą</w:t>
      </w:r>
      <w:proofErr w:type="spellEnd"/>
      <w:r w:rsidRPr="002E2EB9">
        <w:rPr>
          <w:i/>
          <w:lang w:val="en-GB" w:eastAsia="de-DE"/>
        </w:rPr>
        <w:t xml:space="preserve"> – </w:t>
      </w:r>
      <w:proofErr w:type="spellStart"/>
      <w:r w:rsidRPr="00770B4F">
        <w:rPr>
          <w:i/>
          <w:lang w:val="en-GB" w:eastAsia="de-DE"/>
        </w:rPr>
        <w:t>Sprendimą</w:t>
      </w:r>
      <w:proofErr w:type="spellEnd"/>
      <w:r w:rsidRPr="00770B4F">
        <w:rPr>
          <w:i/>
          <w:lang w:val="en-GB" w:eastAsia="de-DE"/>
        </w:rPr>
        <w:t xml:space="preserve"> (ES) 2025/1</w:t>
      </w:r>
      <w:r>
        <w:rPr>
          <w:i/>
          <w:lang w:val="en-GB" w:eastAsia="de-DE"/>
        </w:rPr>
        <w:t>018</w:t>
      </w:r>
      <w:r w:rsidRPr="002E2EB9">
        <w:rPr>
          <w:i/>
          <w:lang w:val="en-GB" w:eastAsia="de-DE"/>
        </w:rPr>
        <w:t>.)</w:t>
      </w:r>
      <w:bookmarkStart w:id="9" w:name="_GoBack"/>
      <w:bookmarkEnd w:id="9"/>
    </w:p>
    <w:sectPr w:rsidR="00E365E1" w:rsidRPr="000314AB" w:rsidSect="000314A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3DF" w:rsidRPr="000314AB" w:rsidRDefault="008D73DF">
      <w:r w:rsidRPr="000314AB">
        <w:separator/>
      </w:r>
    </w:p>
  </w:endnote>
  <w:endnote w:type="continuationSeparator" w:id="0">
    <w:p w:rsidR="008D73DF" w:rsidRPr="000314AB" w:rsidRDefault="008D73DF">
      <w:r w:rsidRPr="000314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45B" w:rsidRPr="000314AB" w:rsidRDefault="009C245B" w:rsidP="00702BF3">
    <w:pPr>
      <w:pStyle w:val="EPFooter"/>
    </w:pPr>
    <w:r w:rsidRPr="000314AB">
      <w:t>PE</w:t>
    </w:r>
    <w:r w:rsidRPr="000314AB">
      <w:rPr>
        <w:rStyle w:val="HideTWBExt"/>
      </w:rPr>
      <w:t>&lt;NoPE&gt;</w:t>
    </w:r>
    <w:r w:rsidRPr="000314AB">
      <w:t>771.884</w:t>
    </w:r>
    <w:r w:rsidRPr="000314AB">
      <w:rPr>
        <w:rStyle w:val="HideTWBExt"/>
      </w:rPr>
      <w:t>&lt;/NoPE&gt;&lt;Version&gt;</w:t>
    </w:r>
    <w:r w:rsidRPr="000314AB">
      <w:t>v03-00</w:t>
    </w:r>
    <w:r w:rsidRPr="000314AB">
      <w:rPr>
        <w:rStyle w:val="HideTWBExt"/>
      </w:rPr>
      <w:t>&lt;/Version&gt;</w:t>
    </w:r>
    <w:r w:rsidRPr="000314AB">
      <w:tab/>
    </w:r>
    <w:r w:rsidRPr="000314AB">
      <w:fldChar w:fldCharType="begin"/>
    </w:r>
    <w:r w:rsidRPr="000314AB">
      <w:instrText xml:space="preserve"> PAGE  \* MERGEFORMAT </w:instrText>
    </w:r>
    <w:r w:rsidRPr="000314AB">
      <w:fldChar w:fldCharType="separate"/>
    </w:r>
    <w:r w:rsidRPr="000314AB">
      <w:rPr>
        <w:noProof/>
      </w:rPr>
      <w:t>4</w:t>
    </w:r>
    <w:r w:rsidRPr="000314AB">
      <w:fldChar w:fldCharType="end"/>
    </w:r>
    <w:r w:rsidRPr="000314AB">
      <w:t>/</w:t>
    </w:r>
    <w:fldSimple w:instr=" NUMPAGES  \* MERGEFORMAT ">
      <w:r w:rsidRPr="000314AB">
        <w:rPr>
          <w:noProof/>
        </w:rPr>
        <w:t>4</w:t>
      </w:r>
    </w:fldSimple>
    <w:r w:rsidRPr="000314AB">
      <w:tab/>
    </w:r>
    <w:r w:rsidRPr="000314AB">
      <w:rPr>
        <w:rStyle w:val="HideTWBExt"/>
      </w:rPr>
      <w:t>&lt;PathFdR&gt;</w:t>
    </w:r>
    <w:r w:rsidRPr="000314AB">
      <w:t>RR\1320028LT.docx</w:t>
    </w:r>
    <w:r w:rsidRPr="000314AB">
      <w:rPr>
        <w:rStyle w:val="HideTWBExt"/>
      </w:rPr>
      <w:t>&lt;/PathFdR&gt;</w:t>
    </w:r>
  </w:p>
  <w:p w:rsidR="009C245B" w:rsidRPr="000314AB" w:rsidRDefault="009C245B" w:rsidP="00702BF3">
    <w:pPr>
      <w:pStyle w:val="EPFooter2"/>
    </w:pPr>
    <w:r w:rsidRPr="000314A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45B" w:rsidRPr="000314AB" w:rsidRDefault="009C245B" w:rsidP="00702BF3">
    <w:pPr>
      <w:pStyle w:val="EPFooter"/>
    </w:pPr>
    <w:r w:rsidRPr="000314AB">
      <w:rPr>
        <w:rStyle w:val="HideTWBExt"/>
      </w:rPr>
      <w:t>&lt;PathFdR&gt;</w:t>
    </w:r>
    <w:r w:rsidRPr="000314AB">
      <w:t>RR\1320028LT.docx</w:t>
    </w:r>
    <w:r w:rsidRPr="000314AB">
      <w:rPr>
        <w:rStyle w:val="HideTWBExt"/>
      </w:rPr>
      <w:t>&lt;/PathFdR&gt;</w:t>
    </w:r>
    <w:r w:rsidRPr="000314AB">
      <w:tab/>
    </w:r>
    <w:r w:rsidRPr="000314AB">
      <w:tab/>
      <w:t>PE</w:t>
    </w:r>
    <w:r w:rsidRPr="000314AB">
      <w:rPr>
        <w:rStyle w:val="HideTWBExt"/>
      </w:rPr>
      <w:t>&lt;NoPE&gt;</w:t>
    </w:r>
    <w:r w:rsidRPr="000314AB">
      <w:t>771.884</w:t>
    </w:r>
    <w:r w:rsidRPr="000314AB">
      <w:rPr>
        <w:rStyle w:val="HideTWBExt"/>
      </w:rPr>
      <w:t>&lt;/NoPE&gt;&lt;Version&gt;</w:t>
    </w:r>
    <w:r w:rsidRPr="000314AB">
      <w:t>v03-00</w:t>
    </w:r>
    <w:r w:rsidRPr="000314AB">
      <w:rPr>
        <w:rStyle w:val="HideTWBExt"/>
      </w:rPr>
      <w:t>&lt;/Version&gt;</w:t>
    </w:r>
  </w:p>
  <w:p w:rsidR="009C245B" w:rsidRPr="000314AB" w:rsidRDefault="009C245B" w:rsidP="00702BF3">
    <w:pPr>
      <w:pStyle w:val="EPFooter2"/>
    </w:pPr>
    <w:r w:rsidRPr="000314AB">
      <w:t>LT</w:t>
    </w:r>
    <w:r w:rsidRPr="000314AB">
      <w:tab/>
    </w:r>
    <w:r w:rsidRPr="000314AB">
      <w:rPr>
        <w:b w:val="0"/>
        <w:i/>
        <w:color w:val="C0C0C0"/>
        <w:sz w:val="22"/>
      </w:rPr>
      <w:t>Suvienijusi įvairovę</w:t>
    </w:r>
    <w:r w:rsidRPr="000314A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4A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4A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4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3DF" w:rsidRPr="000314AB" w:rsidRDefault="008D73DF">
      <w:r w:rsidRPr="000314AB">
        <w:separator/>
      </w:r>
    </w:p>
  </w:footnote>
  <w:footnote w:type="continuationSeparator" w:id="0">
    <w:p w:rsidR="008D73DF" w:rsidRPr="000314AB" w:rsidRDefault="008D73DF">
      <w:r w:rsidRPr="000314AB">
        <w:continuationSeparator/>
      </w:r>
    </w:p>
  </w:footnote>
  <w:footnote w:id="1">
    <w:p w:rsidR="009C245B" w:rsidRPr="000314AB" w:rsidRDefault="009C245B" w:rsidP="000314AB">
      <w:pPr>
        <w:pStyle w:val="FootnoteText"/>
        <w:ind w:left="567" w:hanging="567"/>
        <w:rPr>
          <w:sz w:val="24"/>
          <w:lang w:val="lt-LT"/>
        </w:rPr>
      </w:pPr>
      <w:r w:rsidRPr="000314AB">
        <w:rPr>
          <w:rStyle w:val="FootnoteReference"/>
          <w:sz w:val="24"/>
          <w:lang w:val="lt-LT"/>
        </w:rPr>
        <w:footnoteRef/>
      </w:r>
      <w:r w:rsidR="000314AB" w:rsidRPr="000314AB">
        <w:rPr>
          <w:sz w:val="24"/>
          <w:lang w:val="lt-LT"/>
        </w:rPr>
        <w:t xml:space="preserve"> </w:t>
      </w:r>
      <w:r w:rsidR="000314AB" w:rsidRPr="000314AB">
        <w:rPr>
          <w:sz w:val="24"/>
          <w:lang w:val="lt-LT"/>
        </w:rPr>
        <w:tab/>
      </w:r>
      <w:r w:rsidRPr="000314AB">
        <w:rPr>
          <w:sz w:val="24"/>
          <w:lang w:val="lt-LT"/>
        </w:rPr>
        <w:t xml:space="preserve">OL L 153, 2021 5 3, p. 48, ELI: </w:t>
      </w:r>
      <w:hyperlink r:id="rId1" w:history="1">
        <w:r w:rsidRPr="003B4ECA">
          <w:rPr>
            <w:rStyle w:val="Hyperlink"/>
            <w:sz w:val="24"/>
            <w:lang w:val="lt-LT"/>
          </w:rPr>
          <w:t>http://data.europa.eu/eli/reg/2021/691/oj</w:t>
        </w:r>
      </w:hyperlink>
      <w:r w:rsidRPr="000314AB">
        <w:rPr>
          <w:sz w:val="24"/>
          <w:lang w:val="lt-LT"/>
        </w:rPr>
        <w:t>.</w:t>
      </w:r>
    </w:p>
  </w:footnote>
  <w:footnote w:id="2">
    <w:p w:rsidR="009C245B" w:rsidRPr="000314AB" w:rsidRDefault="009C245B" w:rsidP="000314AB">
      <w:pPr>
        <w:pStyle w:val="FootnoteText"/>
        <w:ind w:left="567" w:hanging="567"/>
        <w:rPr>
          <w:sz w:val="24"/>
          <w:lang w:val="lt-LT"/>
        </w:rPr>
      </w:pPr>
      <w:r w:rsidRPr="000314AB">
        <w:rPr>
          <w:rStyle w:val="FootnoteReference"/>
          <w:sz w:val="24"/>
          <w:lang w:val="lt-LT"/>
        </w:rPr>
        <w:footnoteRef/>
      </w:r>
      <w:r w:rsidR="000314AB" w:rsidRPr="000314AB">
        <w:rPr>
          <w:sz w:val="24"/>
          <w:lang w:val="lt-LT"/>
        </w:rPr>
        <w:t xml:space="preserve"> </w:t>
      </w:r>
      <w:r w:rsidR="000314AB" w:rsidRPr="000314AB">
        <w:rPr>
          <w:sz w:val="24"/>
          <w:lang w:val="lt-LT"/>
        </w:rPr>
        <w:tab/>
      </w:r>
      <w:r w:rsidRPr="000314AB">
        <w:rPr>
          <w:sz w:val="24"/>
          <w:lang w:val="lt-LT"/>
        </w:rPr>
        <w:t xml:space="preserve">OL L 433 I, 2020 12 22, p. 11., ELI: </w:t>
      </w:r>
      <w:hyperlink r:id="rId2" w:history="1">
        <w:r w:rsidRPr="003B4ECA">
          <w:rPr>
            <w:rStyle w:val="Hyperlink"/>
            <w:sz w:val="24"/>
            <w:lang w:val="lt-LT"/>
          </w:rPr>
          <w:t>http://data.europa.eu/eli/reg/2020/2093/oj</w:t>
        </w:r>
      </w:hyperlink>
      <w:r w:rsidRPr="000314AB">
        <w:rPr>
          <w:sz w:val="24"/>
          <w:lang w:val="lt-LT"/>
        </w:rPr>
        <w:t>.</w:t>
      </w:r>
    </w:p>
  </w:footnote>
  <w:footnote w:id="3">
    <w:p w:rsidR="009C245B" w:rsidRPr="000314AB" w:rsidRDefault="009C245B" w:rsidP="000314AB">
      <w:pPr>
        <w:pStyle w:val="FootnoteText"/>
        <w:ind w:left="567" w:hanging="567"/>
        <w:rPr>
          <w:sz w:val="24"/>
          <w:lang w:val="lt-LT"/>
        </w:rPr>
      </w:pPr>
      <w:r w:rsidRPr="000314AB">
        <w:rPr>
          <w:rStyle w:val="FootnoteReference"/>
          <w:sz w:val="24"/>
          <w:lang w:val="lt-LT"/>
        </w:rPr>
        <w:footnoteRef/>
      </w:r>
      <w:r w:rsidR="000314AB" w:rsidRPr="000314AB">
        <w:rPr>
          <w:sz w:val="24"/>
          <w:lang w:val="lt-LT"/>
        </w:rPr>
        <w:t xml:space="preserve"> </w:t>
      </w:r>
      <w:r w:rsidR="000314AB" w:rsidRPr="000314AB">
        <w:rPr>
          <w:sz w:val="24"/>
          <w:lang w:val="lt-LT"/>
        </w:rPr>
        <w:tab/>
      </w:r>
      <w:r w:rsidRPr="000314AB">
        <w:rPr>
          <w:sz w:val="24"/>
          <w:lang w:val="lt-LT"/>
        </w:rPr>
        <w:t>2024 m. vasario 29 d. Tarybos reglamentas (ES, Euratomas) 2024/765, kuriuo iš dalies keičiamas Reglamentas (ES, Euratomas) 2020/2093, kuriuo nustatoma 2021–2027 m. daugiametė finansinė programa (OL L, 2024/765, 2024 2 29, ELI:</w:t>
      </w:r>
      <w:r w:rsidRPr="000314AB">
        <w:rPr>
          <w:rStyle w:val="Emphasis"/>
          <w:color w:val="333333"/>
          <w:sz w:val="24"/>
          <w:shd w:val="clear" w:color="auto" w:fill="FFFFFF"/>
          <w:lang w:val="lt-LT"/>
        </w:rPr>
        <w:t xml:space="preserve"> </w:t>
      </w:r>
      <w:hyperlink r:id="rId3" w:history="1">
        <w:r w:rsidRPr="00A67395">
          <w:rPr>
            <w:rStyle w:val="Hyperlink"/>
            <w:lang w:val="lt-LT"/>
          </w:rPr>
          <w:t>http://data.europa.eu/eli/reg/2024/765/oj</w:t>
        </w:r>
      </w:hyperlink>
      <w:r w:rsidRPr="000314AB">
        <w:rPr>
          <w:rStyle w:val="Emphasis"/>
          <w:color w:val="333333"/>
          <w:sz w:val="24"/>
          <w:shd w:val="clear" w:color="auto" w:fill="FFFFFF"/>
          <w:lang w:val="lt-LT"/>
        </w:rPr>
        <w:t>).</w:t>
      </w:r>
    </w:p>
  </w:footnote>
  <w:footnote w:id="4">
    <w:p w:rsidR="009C245B" w:rsidRPr="000314AB" w:rsidRDefault="009C245B" w:rsidP="000314AB">
      <w:pPr>
        <w:pStyle w:val="FootnoteText"/>
        <w:ind w:left="567" w:hanging="567"/>
        <w:rPr>
          <w:sz w:val="24"/>
          <w:lang w:val="lt-LT"/>
        </w:rPr>
      </w:pPr>
      <w:r w:rsidRPr="000314AB">
        <w:rPr>
          <w:rStyle w:val="FootnoteReference"/>
          <w:sz w:val="24"/>
          <w:lang w:val="lt-LT"/>
        </w:rPr>
        <w:footnoteRef/>
      </w:r>
      <w:r w:rsidR="000314AB" w:rsidRPr="000314AB">
        <w:rPr>
          <w:sz w:val="24"/>
          <w:lang w:val="lt-LT"/>
        </w:rPr>
        <w:t xml:space="preserve"> </w:t>
      </w:r>
      <w:r w:rsidR="000314AB" w:rsidRPr="000314AB">
        <w:rPr>
          <w:sz w:val="24"/>
          <w:lang w:val="lt-LT"/>
        </w:rPr>
        <w:tab/>
      </w:r>
      <w:r w:rsidRPr="000314AB">
        <w:rPr>
          <w:sz w:val="24"/>
          <w:lang w:val="lt-LT"/>
        </w:rPr>
        <w:t xml:space="preserve">OL L 433 I, 2020 12 22, p. 28, ELI: </w:t>
      </w:r>
      <w:hyperlink r:id="rId4" w:history="1">
        <w:r w:rsidRPr="003B4ECA">
          <w:rPr>
            <w:rStyle w:val="Hyperlink"/>
            <w:sz w:val="24"/>
            <w:lang w:val="lt-LT"/>
          </w:rPr>
          <w:t>http://data.europa.eu/eli/agree_interinstit/2020/1222/oj</w:t>
        </w:r>
      </w:hyperlink>
      <w:r w:rsidRPr="000314AB">
        <w:rPr>
          <w:sz w:val="24"/>
          <w:lang w:val="lt-LT"/>
        </w:rPr>
        <w:t>.</w:t>
      </w:r>
    </w:p>
  </w:footnote>
  <w:footnote w:id="5">
    <w:p w:rsidR="009C245B" w:rsidRPr="000314AB" w:rsidRDefault="009C245B" w:rsidP="000314AB">
      <w:pPr>
        <w:pStyle w:val="FootnoteText"/>
        <w:ind w:left="567" w:hanging="567"/>
        <w:rPr>
          <w:sz w:val="24"/>
          <w:lang w:val="lt-LT"/>
        </w:rPr>
      </w:pPr>
      <w:r w:rsidRPr="000314AB">
        <w:rPr>
          <w:rStyle w:val="FootnoteReference"/>
          <w:sz w:val="24"/>
          <w:lang w:val="lt-LT"/>
        </w:rPr>
        <w:footnoteRef/>
      </w:r>
      <w:r w:rsidR="000314AB" w:rsidRPr="000314AB">
        <w:rPr>
          <w:sz w:val="24"/>
          <w:lang w:val="lt-LT"/>
        </w:rPr>
        <w:t xml:space="preserve"> </w:t>
      </w:r>
      <w:r w:rsidR="000314AB" w:rsidRPr="000314AB">
        <w:rPr>
          <w:sz w:val="24"/>
          <w:lang w:val="lt-LT"/>
        </w:rPr>
        <w:tab/>
      </w:r>
      <w:r w:rsidRPr="000314AB">
        <w:rPr>
          <w:sz w:val="24"/>
          <w:lang w:val="lt-LT"/>
        </w:rPr>
        <w:t>Pagal EGF reglamento 3 straipsnį.</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4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4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4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LT"/>
    <w:docVar w:name="dvnumam" w:val="0"/>
    <w:docVar w:name="dvpe" w:val="771.884"/>
    <w:docVar w:name="dvrapporteur" w:val="Pranešėjas: "/>
    <w:docVar w:name="dvtitre" w:val="2025 m. geguzes 6 d. Europos Parlamento rezoliucija dėl pasiūlymo dėl Europos Parlamento ir Tarybos sprendimo dėl Europos prisitaikymo prie globalizacijos padarinių fondo atleistiems darbuotojams lėšų mobilizavimo pagal Belgijos paraišką „EGF/2024/003 BE/Van Hool“(COM(2025)0001 – C10-0056/2025 – 2025/0061(BUD))"/>
  </w:docVars>
  <w:rsids>
    <w:rsidRoot w:val="008D73DF"/>
    <w:rsid w:val="00002272"/>
    <w:rsid w:val="000314AB"/>
    <w:rsid w:val="00064002"/>
    <w:rsid w:val="000677B9"/>
    <w:rsid w:val="000831BA"/>
    <w:rsid w:val="000A42CC"/>
    <w:rsid w:val="000D043A"/>
    <w:rsid w:val="000E7DD9"/>
    <w:rsid w:val="0010095E"/>
    <w:rsid w:val="00125B37"/>
    <w:rsid w:val="00187494"/>
    <w:rsid w:val="001933C1"/>
    <w:rsid w:val="001F32AE"/>
    <w:rsid w:val="002767FF"/>
    <w:rsid w:val="002B18FE"/>
    <w:rsid w:val="002B5493"/>
    <w:rsid w:val="00303ED7"/>
    <w:rsid w:val="00343214"/>
    <w:rsid w:val="00361C00"/>
    <w:rsid w:val="003707BE"/>
    <w:rsid w:val="00395FA1"/>
    <w:rsid w:val="003B4EC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663"/>
    <w:rsid w:val="005C2568"/>
    <w:rsid w:val="005F1B17"/>
    <w:rsid w:val="006037C0"/>
    <w:rsid w:val="006631B6"/>
    <w:rsid w:val="00680577"/>
    <w:rsid w:val="006F66DC"/>
    <w:rsid w:val="006F74FA"/>
    <w:rsid w:val="00731ADD"/>
    <w:rsid w:val="00734777"/>
    <w:rsid w:val="00747932"/>
    <w:rsid w:val="00751A4A"/>
    <w:rsid w:val="00756632"/>
    <w:rsid w:val="00762C74"/>
    <w:rsid w:val="00770B4F"/>
    <w:rsid w:val="00786EC0"/>
    <w:rsid w:val="007A542A"/>
    <w:rsid w:val="007D1690"/>
    <w:rsid w:val="007E22AD"/>
    <w:rsid w:val="007F690F"/>
    <w:rsid w:val="00817416"/>
    <w:rsid w:val="00842779"/>
    <w:rsid w:val="008433F5"/>
    <w:rsid w:val="00865F67"/>
    <w:rsid w:val="00881A7B"/>
    <w:rsid w:val="008840E5"/>
    <w:rsid w:val="00887B3E"/>
    <w:rsid w:val="008C2AC6"/>
    <w:rsid w:val="008D73DF"/>
    <w:rsid w:val="00930C23"/>
    <w:rsid w:val="0093193B"/>
    <w:rsid w:val="009509D8"/>
    <w:rsid w:val="00950B64"/>
    <w:rsid w:val="00981893"/>
    <w:rsid w:val="009C245B"/>
    <w:rsid w:val="00A13220"/>
    <w:rsid w:val="00A1687D"/>
    <w:rsid w:val="00A43E52"/>
    <w:rsid w:val="00A4678D"/>
    <w:rsid w:val="00A67395"/>
    <w:rsid w:val="00A778C7"/>
    <w:rsid w:val="00AB441E"/>
    <w:rsid w:val="00AB6293"/>
    <w:rsid w:val="00AE0928"/>
    <w:rsid w:val="00AF3B82"/>
    <w:rsid w:val="00B12E95"/>
    <w:rsid w:val="00B22876"/>
    <w:rsid w:val="00B558F0"/>
    <w:rsid w:val="00B93FD0"/>
    <w:rsid w:val="00BD48FE"/>
    <w:rsid w:val="00BD7BD8"/>
    <w:rsid w:val="00BE6ADC"/>
    <w:rsid w:val="00C05BFE"/>
    <w:rsid w:val="00C23CD4"/>
    <w:rsid w:val="00C61C0C"/>
    <w:rsid w:val="00C941CB"/>
    <w:rsid w:val="00CC2357"/>
    <w:rsid w:val="00CF071A"/>
    <w:rsid w:val="00D02002"/>
    <w:rsid w:val="00D058B8"/>
    <w:rsid w:val="00D56C11"/>
    <w:rsid w:val="00D73629"/>
    <w:rsid w:val="00D834A0"/>
    <w:rsid w:val="00D872DF"/>
    <w:rsid w:val="00D91E21"/>
    <w:rsid w:val="00DA7FCD"/>
    <w:rsid w:val="00E365E1"/>
    <w:rsid w:val="00E56909"/>
    <w:rsid w:val="00E820A4"/>
    <w:rsid w:val="00EB006A"/>
    <w:rsid w:val="00EB4772"/>
    <w:rsid w:val="00ED169E"/>
    <w:rsid w:val="00ED4235"/>
    <w:rsid w:val="00F04346"/>
    <w:rsid w:val="00F075DC"/>
    <w:rsid w:val="00F149E9"/>
    <w:rsid w:val="00F4234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C8F22"/>
  <w15:chartTrackingRefBased/>
  <w15:docId w15:val="{2B1DB7A7-6F98-4DFF-A4A9-0B15F374E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C245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C245B"/>
    <w:pPr>
      <w:keepNext/>
      <w:spacing w:after="480"/>
      <w:jc w:val="center"/>
    </w:pPr>
    <w:rPr>
      <w:rFonts w:ascii="Arial" w:hAnsi="Arial" w:cs="Arial"/>
      <w:b/>
    </w:rPr>
  </w:style>
  <w:style w:type="paragraph" w:customStyle="1" w:styleId="NormalHanging12a">
    <w:name w:val="NormalHanging12a"/>
    <w:basedOn w:val="Normal"/>
    <w:link w:val="NormalHanging12aChar"/>
    <w:rsid w:val="009C245B"/>
    <w:pPr>
      <w:spacing w:after="240"/>
      <w:ind w:left="567" w:hanging="567"/>
    </w:pPr>
  </w:style>
  <w:style w:type="paragraph" w:styleId="Header">
    <w:name w:val="header"/>
    <w:basedOn w:val="Normal"/>
    <w:link w:val="HeaderChar"/>
    <w:rsid w:val="009C245B"/>
    <w:pPr>
      <w:tabs>
        <w:tab w:val="center" w:pos="4513"/>
        <w:tab w:val="right" w:pos="9026"/>
      </w:tabs>
    </w:pPr>
  </w:style>
  <w:style w:type="character" w:customStyle="1" w:styleId="HeaderChar">
    <w:name w:val="Header Char"/>
    <w:basedOn w:val="DefaultParagraphFont"/>
    <w:link w:val="Header"/>
    <w:rsid w:val="009C245B"/>
    <w:rPr>
      <w:sz w:val="24"/>
      <w:lang w:val="lt-LT"/>
    </w:rPr>
  </w:style>
  <w:style w:type="paragraph" w:customStyle="1" w:styleId="NormalBold24a">
    <w:name w:val="NormalBold24a"/>
    <w:basedOn w:val="Normal"/>
    <w:rsid w:val="009C245B"/>
    <w:pPr>
      <w:spacing w:after="480"/>
    </w:pPr>
    <w:rPr>
      <w:b/>
      <w:bCs/>
    </w:rPr>
  </w:style>
  <w:style w:type="paragraph" w:customStyle="1" w:styleId="EPFooter">
    <w:name w:val="EPFooter"/>
    <w:basedOn w:val="Normal"/>
    <w:rsid w:val="009C245B"/>
    <w:pPr>
      <w:tabs>
        <w:tab w:val="center" w:pos="4535"/>
        <w:tab w:val="right" w:pos="9071"/>
      </w:tabs>
      <w:spacing w:before="240" w:after="240"/>
    </w:pPr>
    <w:rPr>
      <w:color w:val="010000"/>
      <w:sz w:val="22"/>
    </w:rPr>
  </w:style>
  <w:style w:type="paragraph" w:customStyle="1" w:styleId="EPComma">
    <w:name w:val="EPComma"/>
    <w:basedOn w:val="Normal"/>
    <w:rsid w:val="009C245B"/>
    <w:pPr>
      <w:spacing w:before="480" w:after="240"/>
    </w:pPr>
  </w:style>
  <w:style w:type="character" w:customStyle="1" w:styleId="NormalHanging12aChar">
    <w:name w:val="NormalHanging12a Char"/>
    <w:basedOn w:val="DefaultParagraphFont"/>
    <w:link w:val="NormalHanging12a"/>
    <w:locked/>
    <w:rsid w:val="009C245B"/>
    <w:rPr>
      <w:sz w:val="24"/>
      <w:lang w:val="lt-LT"/>
    </w:rPr>
  </w:style>
  <w:style w:type="character" w:styleId="Emphasis">
    <w:name w:val="Emphasis"/>
    <w:basedOn w:val="DefaultParagraphFont"/>
    <w:uiPriority w:val="20"/>
    <w:qFormat/>
    <w:rsid w:val="009C245B"/>
    <w:rPr>
      <w:i/>
      <w:iCs/>
    </w:rPr>
  </w:style>
  <w:style w:type="paragraph" w:customStyle="1" w:styleId="Institutionquiagit">
    <w:name w:val="Institution qui agit"/>
    <w:basedOn w:val="Normal"/>
    <w:next w:val="Normal"/>
    <w:rsid w:val="009C245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9C245B"/>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9C245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C245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C245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C245B"/>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9C245B"/>
    <w:rPr>
      <w:color w:val="0563C1" w:themeColor="hyperlink"/>
      <w:u w:val="single"/>
    </w:rPr>
  </w:style>
  <w:style w:type="character" w:customStyle="1" w:styleId="PageHeadingChar">
    <w:name w:val="PageHeading Char"/>
    <w:basedOn w:val="DefaultParagraphFont"/>
    <w:link w:val="PageHeading"/>
    <w:rsid w:val="009C245B"/>
    <w:rPr>
      <w:rFonts w:ascii="Arial" w:hAnsi="Arial" w:cs="Arial"/>
      <w:b/>
      <w:sz w:val="24"/>
      <w:lang w:val="lt-LT"/>
    </w:rPr>
  </w:style>
  <w:style w:type="paragraph" w:styleId="BalloonText">
    <w:name w:val="Balloon Text"/>
    <w:basedOn w:val="Normal"/>
    <w:link w:val="BalloonTextChar"/>
    <w:rsid w:val="00B93FD0"/>
    <w:rPr>
      <w:rFonts w:ascii="Segoe UI" w:hAnsi="Segoe UI" w:cs="Segoe UI"/>
      <w:sz w:val="18"/>
      <w:szCs w:val="18"/>
    </w:rPr>
  </w:style>
  <w:style w:type="character" w:customStyle="1" w:styleId="BalloonTextChar">
    <w:name w:val="Balloon Text Char"/>
    <w:basedOn w:val="DefaultParagraphFont"/>
    <w:link w:val="BalloonText"/>
    <w:rsid w:val="00B93FD0"/>
    <w:rPr>
      <w:rFonts w:ascii="Segoe UI" w:hAnsi="Segoe UI" w:cs="Segoe UI"/>
      <w:sz w:val="18"/>
      <w:szCs w:val="18"/>
      <w:lang w:val="lt-LT"/>
    </w:rPr>
  </w:style>
  <w:style w:type="paragraph" w:styleId="Footer">
    <w:name w:val="footer"/>
    <w:basedOn w:val="Normal"/>
    <w:link w:val="FooterChar"/>
    <w:rsid w:val="00770B4F"/>
    <w:pPr>
      <w:tabs>
        <w:tab w:val="center" w:pos="4513"/>
        <w:tab w:val="right" w:pos="9026"/>
      </w:tabs>
    </w:pPr>
  </w:style>
  <w:style w:type="character" w:customStyle="1" w:styleId="FooterChar">
    <w:name w:val="Footer Char"/>
    <w:basedOn w:val="DefaultParagraphFont"/>
    <w:link w:val="Footer"/>
    <w:rsid w:val="00770B4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1D948-B876-41DD-8B6E-4FC500431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1226</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2025-06-10T14:15:00Z</dcterms:created>
  <dcterms:modified xsi:type="dcterms:W3CDTF">2025-06-10T14:15:00Z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P10_TA(2025)0074_</vt:lpwstr>
  </property>
  <property fmtid="{D5CDD505-2E9C-101B-9397-08002B2CF9AE}" pid="4" name="&lt;Type&gt;">
    <vt:lpwstr>RR</vt:lpwstr>
  </property>
</Properties>
</file>