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4D69" w:rsidTr="0010095E">
        <w:trPr>
          <w:trHeight w:hRule="exact" w:val="1418"/>
        </w:trPr>
        <w:tc>
          <w:tcPr>
            <w:tcW w:w="6804" w:type="dxa"/>
            <w:shd w:val="clear" w:color="auto" w:fill="auto"/>
            <w:vAlign w:val="center"/>
          </w:tcPr>
          <w:p w:rsidR="00751A4A" w:rsidRPr="00514D69" w:rsidRDefault="003E10D5" w:rsidP="0010095E">
            <w:pPr>
              <w:pStyle w:val="EPName"/>
            </w:pPr>
            <w:r w:rsidRPr="00514D69">
              <w:t>Eiropas Parlaments</w:t>
            </w:r>
          </w:p>
          <w:p w:rsidR="00751A4A" w:rsidRPr="00514D69" w:rsidRDefault="005F1B17" w:rsidP="005F1B17">
            <w:pPr>
              <w:pStyle w:val="EPTerm"/>
              <w:rPr>
                <w:rStyle w:val="HideTWBExt"/>
                <w:noProof w:val="0"/>
                <w:vanish w:val="0"/>
                <w:color w:val="auto"/>
              </w:rPr>
            </w:pPr>
            <w:r w:rsidRPr="00514D69">
              <w:t>2024</w:t>
            </w:r>
            <w:r w:rsidR="00817416" w:rsidRPr="00514D69">
              <w:t>-202</w:t>
            </w:r>
            <w:r w:rsidRPr="00514D69">
              <w:t>9</w:t>
            </w:r>
          </w:p>
        </w:tc>
        <w:tc>
          <w:tcPr>
            <w:tcW w:w="2268" w:type="dxa"/>
            <w:shd w:val="clear" w:color="auto" w:fill="auto"/>
          </w:tcPr>
          <w:p w:rsidR="00751A4A" w:rsidRPr="00514D69" w:rsidRDefault="00187494" w:rsidP="0010095E">
            <w:pPr>
              <w:pStyle w:val="EPLogo"/>
            </w:pPr>
            <w:r w:rsidRPr="00514D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4D69" w:rsidRDefault="00D058B8" w:rsidP="004C5D52">
      <w:pPr>
        <w:pStyle w:val="LineTop"/>
      </w:pPr>
    </w:p>
    <w:p w:rsidR="00680577" w:rsidRPr="00514D69" w:rsidRDefault="003E10D5" w:rsidP="00680577">
      <w:pPr>
        <w:pStyle w:val="EPBodyTA1"/>
      </w:pPr>
      <w:r w:rsidRPr="00514D69">
        <w:t>PIEŅEMTIE TEKSTI</w:t>
      </w:r>
    </w:p>
    <w:p w:rsidR="00D058B8" w:rsidRPr="00514D69" w:rsidRDefault="00D058B8" w:rsidP="00D058B8">
      <w:pPr>
        <w:pStyle w:val="LineBottom"/>
      </w:pPr>
    </w:p>
    <w:p w:rsidR="003E10D5" w:rsidRPr="00514D69" w:rsidRDefault="003E10D5" w:rsidP="003E10D5">
      <w:pPr>
        <w:pStyle w:val="ATHeading1"/>
      </w:pPr>
      <w:bookmarkStart w:id="0" w:name="TANumber"/>
      <w:r w:rsidRPr="00514D69">
        <w:t>P10_TA(2025)00</w:t>
      </w:r>
      <w:r w:rsidR="00514D69" w:rsidRPr="00514D69">
        <w:t>74</w:t>
      </w:r>
      <w:bookmarkEnd w:id="0"/>
    </w:p>
    <w:p w:rsidR="003E10D5" w:rsidRPr="00514D69" w:rsidRDefault="00E757C6" w:rsidP="00E757C6">
      <w:pPr>
        <w:pStyle w:val="ATHeading2"/>
      </w:pPr>
      <w:bookmarkStart w:id="1" w:name="title"/>
      <w:r w:rsidRPr="00514D69">
        <w:t>Eiropas Globalizācijas pielāgošanās fonda darbu zaudējušiem darba ņēmējiem izmantošana — Beļģijas pieteikums EGF/2024/003 BE/</w:t>
      </w:r>
      <w:proofErr w:type="spellStart"/>
      <w:r w:rsidRPr="00514D69">
        <w:rPr>
          <w:i/>
        </w:rPr>
        <w:t>Van</w:t>
      </w:r>
      <w:proofErr w:type="spellEnd"/>
      <w:r w:rsidRPr="00514D69">
        <w:rPr>
          <w:i/>
        </w:rPr>
        <w:t xml:space="preserve"> </w:t>
      </w:r>
      <w:proofErr w:type="spellStart"/>
      <w:r w:rsidRPr="00514D69">
        <w:rPr>
          <w:i/>
        </w:rPr>
        <w:t>Hool</w:t>
      </w:r>
      <w:bookmarkEnd w:id="1"/>
      <w:proofErr w:type="spellEnd"/>
    </w:p>
    <w:p w:rsidR="003E10D5" w:rsidRPr="00514D69" w:rsidRDefault="003E10D5" w:rsidP="003E10D5">
      <w:pPr>
        <w:rPr>
          <w:i/>
          <w:vanish/>
        </w:rPr>
      </w:pPr>
      <w:r w:rsidRPr="00514D69">
        <w:rPr>
          <w:i/>
        </w:rPr>
        <w:fldChar w:fldCharType="begin"/>
      </w:r>
      <w:r w:rsidRPr="00514D69">
        <w:rPr>
          <w:i/>
        </w:rPr>
        <w:instrText xml:space="preserve"> TC"(</w:instrText>
      </w:r>
      <w:bookmarkStart w:id="2" w:name="DocNumber"/>
      <w:r w:rsidRPr="00514D69">
        <w:rPr>
          <w:i/>
        </w:rPr>
        <w:instrText>A10-0080/2025</w:instrText>
      </w:r>
      <w:bookmarkEnd w:id="2"/>
      <w:r w:rsidRPr="00514D69">
        <w:rPr>
          <w:i/>
        </w:rPr>
        <w:instrText xml:space="preserve"> - Referents: Janusz Lewandowski)"\l3 \n&gt; \* MERGEFORMAT </w:instrText>
      </w:r>
      <w:r w:rsidRPr="00514D69">
        <w:rPr>
          <w:i/>
        </w:rPr>
        <w:fldChar w:fldCharType="end"/>
      </w:r>
    </w:p>
    <w:p w:rsidR="003E10D5" w:rsidRPr="00514D69" w:rsidRDefault="003E10D5" w:rsidP="003E10D5">
      <w:pPr>
        <w:rPr>
          <w:vanish/>
        </w:rPr>
      </w:pPr>
      <w:bookmarkStart w:id="3" w:name="Commission"/>
      <w:r w:rsidRPr="00514D69">
        <w:rPr>
          <w:vanish/>
        </w:rPr>
        <w:t>Budžeta komiteja</w:t>
      </w:r>
      <w:bookmarkEnd w:id="3"/>
    </w:p>
    <w:p w:rsidR="003E10D5" w:rsidRPr="00514D69" w:rsidRDefault="003E10D5" w:rsidP="003E10D5">
      <w:pPr>
        <w:rPr>
          <w:vanish/>
        </w:rPr>
      </w:pPr>
      <w:bookmarkStart w:id="4" w:name="PE"/>
      <w:r w:rsidRPr="00514D69">
        <w:rPr>
          <w:vanish/>
        </w:rPr>
        <w:t>PE771.884</w:t>
      </w:r>
      <w:bookmarkEnd w:id="4"/>
    </w:p>
    <w:p w:rsidR="003E10D5" w:rsidRPr="00514D69" w:rsidRDefault="003E10D5" w:rsidP="003E10D5">
      <w:pPr>
        <w:pStyle w:val="ATHeading3"/>
      </w:pPr>
      <w:bookmarkStart w:id="5" w:name="Sujet"/>
      <w:r w:rsidRPr="00514D69">
        <w:t xml:space="preserve">Eiropas Parlamenta 2025. gada </w:t>
      </w:r>
      <w:r w:rsidR="00E757C6" w:rsidRPr="00514D69">
        <w:t>6. maija</w:t>
      </w:r>
      <w:r w:rsidRPr="00514D69">
        <w:t xml:space="preserve"> rezolūcija par priekšlikumu Eiropas Parlamenta un Padomes lēmumam par Eiropas Globalizācijas pielāgošanās fonda darbu zaudējušiem darba ņēmējiem izmantošanu saistībā ar Beļģijas iesniegto pieteikumu (EGF/2024/003 BE/</w:t>
      </w:r>
      <w:proofErr w:type="spellStart"/>
      <w:r w:rsidRPr="00514D69">
        <w:rPr>
          <w:i/>
        </w:rPr>
        <w:t>Van</w:t>
      </w:r>
      <w:proofErr w:type="spellEnd"/>
      <w:r w:rsidRPr="00514D69">
        <w:rPr>
          <w:i/>
        </w:rPr>
        <w:t xml:space="preserve"> </w:t>
      </w:r>
      <w:proofErr w:type="spellStart"/>
      <w:r w:rsidRPr="00514D69">
        <w:rPr>
          <w:i/>
        </w:rPr>
        <w:t>Hool</w:t>
      </w:r>
      <w:proofErr w:type="spellEnd"/>
      <w:r w:rsidRPr="00514D69">
        <w:t>)</w:t>
      </w:r>
      <w:bookmarkEnd w:id="5"/>
      <w:r w:rsidRPr="00514D69">
        <w:t xml:space="preserve"> </w:t>
      </w:r>
      <w:bookmarkStart w:id="6" w:name="References"/>
      <w:r w:rsidRPr="00514D69">
        <w:t>(COM(2025)0001 – C10-0056/2025 – 2025/0061(BUD))</w:t>
      </w:r>
      <w:bookmarkEnd w:id="6"/>
    </w:p>
    <w:p w:rsidR="00795D8B" w:rsidRPr="00514D69" w:rsidRDefault="00795D8B" w:rsidP="00795D8B">
      <w:pPr>
        <w:pStyle w:val="EPComma"/>
        <w:rPr>
          <w:noProof/>
        </w:rPr>
      </w:pPr>
      <w:r w:rsidRPr="00514D69">
        <w:rPr>
          <w:i/>
        </w:rPr>
        <w:t>Eiropas Parlaments</w:t>
      </w:r>
      <w:r w:rsidRPr="00514D69">
        <w:t>,</w:t>
      </w:r>
    </w:p>
    <w:p w:rsidR="00795D8B" w:rsidRPr="00514D69" w:rsidRDefault="00795D8B" w:rsidP="00514D69">
      <w:pPr>
        <w:pStyle w:val="NormalHanging12a"/>
        <w:spacing w:before="120" w:after="120"/>
        <w:rPr>
          <w:noProof/>
        </w:rPr>
      </w:pPr>
      <w:r w:rsidRPr="00514D69">
        <w:t>–</w:t>
      </w:r>
      <w:r w:rsidRPr="00514D69">
        <w:tab/>
        <w:t>ņemot vērā Komisijas priekšlikumu Eiropas Parlamentam un Padomei (COM(2025)0001 – C10</w:t>
      </w:r>
      <w:r w:rsidRPr="00514D69">
        <w:noBreakHyphen/>
        <w:t>0056/2025),</w:t>
      </w:r>
    </w:p>
    <w:p w:rsidR="00795D8B" w:rsidRPr="00514D69" w:rsidRDefault="00795D8B" w:rsidP="00514D69">
      <w:pPr>
        <w:pStyle w:val="NormalHanging12a"/>
        <w:spacing w:before="120" w:after="120"/>
        <w:rPr>
          <w:noProof/>
        </w:rPr>
      </w:pPr>
      <w:r w:rsidRPr="00514D69">
        <w:t>–</w:t>
      </w:r>
      <w:r w:rsidRPr="00514D69">
        <w:tab/>
        <w:t>ņemot vērā Eiropas Parlamenta un Padomes 2021. gada 28. aprīļa Regulu (ES) 2021/691 par Eiropas Globalizācijas pielāgošanās fondu darbu zaudējušiem darba ņēmējiem (EGF) un ar ko atceļ Regulu (ES) Nr. 1309/2013</w:t>
      </w:r>
      <w:r w:rsidRPr="00514D69">
        <w:rPr>
          <w:rStyle w:val="FootnoteReference"/>
          <w:noProof/>
        </w:rPr>
        <w:footnoteReference w:id="1"/>
      </w:r>
      <w:r w:rsidRPr="00514D69">
        <w:t xml:space="preserve"> (“EGF regula”),</w:t>
      </w:r>
    </w:p>
    <w:p w:rsidR="00795D8B" w:rsidRPr="00514D69" w:rsidRDefault="00795D8B" w:rsidP="00514D69">
      <w:pPr>
        <w:pStyle w:val="NormalHanging12a"/>
        <w:spacing w:before="120" w:after="120"/>
        <w:rPr>
          <w:noProof/>
        </w:rPr>
      </w:pPr>
      <w:r w:rsidRPr="00514D69">
        <w:t>–</w:t>
      </w:r>
      <w:r w:rsidRPr="00514D69">
        <w:tab/>
        <w:t xml:space="preserve">ņemot vērā Padomes 2020. gada 17. decembra Regulu (ES, </w:t>
      </w:r>
      <w:r w:rsidRPr="00514D69">
        <w:rPr>
          <w:i/>
          <w:iCs/>
        </w:rPr>
        <w:t>Euratom</w:t>
      </w:r>
      <w:r w:rsidRPr="00514D69">
        <w:t>) 2020/2093, ar ko nosaka daudzgadu finanšu shēmu 2021.–2027. gadam</w:t>
      </w:r>
      <w:r w:rsidRPr="00514D69">
        <w:rPr>
          <w:rStyle w:val="FootnoteReference"/>
          <w:noProof/>
        </w:rPr>
        <w:footnoteReference w:id="2"/>
      </w:r>
      <w:r w:rsidRPr="00514D69">
        <w:t xml:space="preserve">, kurā izdarīti grozījumi ar Regulu (ES, </w:t>
      </w:r>
      <w:r w:rsidRPr="00514D69">
        <w:rPr>
          <w:i/>
          <w:iCs/>
        </w:rPr>
        <w:t>Euratom</w:t>
      </w:r>
      <w:r w:rsidRPr="00514D69">
        <w:t>) 2024/765</w:t>
      </w:r>
      <w:r w:rsidRPr="00514D69">
        <w:rPr>
          <w:rStyle w:val="FootnoteReference"/>
          <w:bdr w:val="none" w:sz="0" w:space="0" w:color="auto" w:frame="1"/>
        </w:rPr>
        <w:footnoteReference w:id="3"/>
      </w:r>
      <w:r w:rsidRPr="00514D69">
        <w:t>, un jo īpaši tās 8. pantu,</w:t>
      </w:r>
    </w:p>
    <w:p w:rsidR="00795D8B" w:rsidRPr="00514D69" w:rsidRDefault="00795D8B" w:rsidP="00514D69">
      <w:pPr>
        <w:pStyle w:val="NormalHanging12a"/>
        <w:spacing w:before="120" w:after="120"/>
        <w:rPr>
          <w:noProof/>
        </w:rPr>
      </w:pPr>
      <w:r w:rsidRPr="00514D69">
        <w:t>–</w:t>
      </w:r>
      <w:r w:rsidRPr="00514D69">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514D69">
        <w:rPr>
          <w:rStyle w:val="FootnoteReference"/>
          <w:noProof/>
        </w:rPr>
        <w:footnoteReference w:id="4"/>
      </w:r>
      <w:r w:rsidRPr="00514D69">
        <w:t>, un jo īpaši tā 9. punktu,</w:t>
      </w:r>
    </w:p>
    <w:p w:rsidR="00795D8B" w:rsidRPr="00514D69" w:rsidRDefault="00795D8B" w:rsidP="00514D69">
      <w:pPr>
        <w:pStyle w:val="NormalHanging12a"/>
        <w:spacing w:before="120" w:after="120"/>
        <w:rPr>
          <w:noProof/>
        </w:rPr>
      </w:pPr>
      <w:r w:rsidRPr="00514D69">
        <w:t>–</w:t>
      </w:r>
      <w:r w:rsidRPr="00514D69">
        <w:tab/>
        <w:t>ņemot vērā Nodarbinātības un sociālo lietu komitejas vēstuli,</w:t>
      </w:r>
    </w:p>
    <w:p w:rsidR="00795D8B" w:rsidRPr="00514D69" w:rsidRDefault="00795D8B" w:rsidP="00514D69">
      <w:pPr>
        <w:pStyle w:val="NormalHanging12a"/>
        <w:spacing w:before="120" w:after="120"/>
      </w:pPr>
      <w:r w:rsidRPr="00514D69">
        <w:lastRenderedPageBreak/>
        <w:t>–</w:t>
      </w:r>
      <w:r w:rsidRPr="00514D69">
        <w:tab/>
        <w:t xml:space="preserve">ņemot vērā Budžeta komitejas ziņojumu (A10-0080/2025), </w:t>
      </w:r>
    </w:p>
    <w:p w:rsidR="00795D8B" w:rsidRPr="00514D69" w:rsidRDefault="00795D8B" w:rsidP="00514D69">
      <w:pPr>
        <w:pStyle w:val="NormalHanging12a"/>
        <w:spacing w:before="120" w:after="120"/>
        <w:rPr>
          <w:noProof/>
        </w:rPr>
      </w:pPr>
      <w:r w:rsidRPr="00514D69">
        <w:t>A.</w:t>
      </w:r>
      <w:r w:rsidRPr="00514D69">
        <w:tab/>
        <w:t>tā kā Savienība ir izveidojusi likumdošanas un budžeta instrumentus, lai sniegtu papildu atbalstu darba ņēmējiem, kurus nelabvēlīgi ietekmējušas lielas strukturālas pārmaiņas pasaules tirdzniecības modeļos vai globālā finanšu un ekonomikas krīze, un lai palīdzētu viņiem no jauna iekļauties darba tirgū; tā kā šī palīdzība izpaužas kā finansiāls atbalsts darba ņēmējiem un uzņēmumiem, kuros tie strādājuši;</w:t>
      </w:r>
    </w:p>
    <w:p w:rsidR="00795D8B" w:rsidRPr="00514D69" w:rsidRDefault="00795D8B" w:rsidP="00514D69">
      <w:pPr>
        <w:pStyle w:val="NormalHanging12a"/>
        <w:spacing w:before="120" w:after="120"/>
      </w:pPr>
      <w:r w:rsidRPr="00514D69">
        <w:t xml:space="preserve">B. </w:t>
      </w:r>
      <w:r w:rsidRPr="00514D69">
        <w:tab/>
        <w:t>tā kā Beļģija ir iesniegusi pieteikumu EGF/2024/003 BE/</w:t>
      </w:r>
      <w:proofErr w:type="spellStart"/>
      <w:r w:rsidRPr="00514D69">
        <w:rPr>
          <w:i/>
          <w:iCs/>
        </w:rPr>
        <w:t>Van</w:t>
      </w:r>
      <w:proofErr w:type="spellEnd"/>
      <w:r w:rsidRPr="00514D69">
        <w:rPr>
          <w:i/>
          <w:iCs/>
        </w:rPr>
        <w:t xml:space="preserve"> </w:t>
      </w:r>
      <w:proofErr w:type="spellStart"/>
      <w:r w:rsidRPr="00514D69">
        <w:rPr>
          <w:i/>
          <w:iCs/>
        </w:rPr>
        <w:t>Hool</w:t>
      </w:r>
      <w:proofErr w:type="spellEnd"/>
      <w:r w:rsidRPr="00514D69">
        <w:t xml:space="preserve">, lai saņemtu finansiālu ieguldījumu no Eiropas Globalizācijas pielāgošanās fonda (EGF) saistībā ar to, ka četru mēnešu atsauces periodā, kas attiecas uz pieteikumu, no 2024. gada 8. aprīļa līdz 2024. gada 8. augustam </w:t>
      </w:r>
      <w:r w:rsidRPr="00514D69">
        <w:rPr>
          <w:i/>
          <w:iCs/>
        </w:rPr>
        <w:t>NUTS</w:t>
      </w:r>
      <w:r w:rsidRPr="00514D69">
        <w:t> 2. līmeņa reģionā Antverpenes provincē (BE21) ir atlaisti 2411 darba ņēmēji</w:t>
      </w:r>
      <w:r w:rsidRPr="00514D69">
        <w:rPr>
          <w:rStyle w:val="FootnoteReference"/>
        </w:rPr>
        <w:footnoteReference w:id="5"/>
      </w:r>
      <w:r w:rsidRPr="00514D69">
        <w:t xml:space="preserve"> saimnieciskās darbības nozarē, kas klasificēta </w:t>
      </w:r>
      <w:r w:rsidRPr="00514D69">
        <w:rPr>
          <w:i/>
          <w:iCs/>
        </w:rPr>
        <w:t xml:space="preserve">NACE </w:t>
      </w:r>
      <w:r w:rsidRPr="00514D69">
        <w:t xml:space="preserve">2. redakcijas 29. nodaļā (Automobiļu, piekabju un puspiekabju ražošana); </w:t>
      </w:r>
    </w:p>
    <w:p w:rsidR="00795D8B" w:rsidRPr="00514D69" w:rsidRDefault="00795D8B" w:rsidP="00514D69">
      <w:pPr>
        <w:pStyle w:val="NormalHanging12a"/>
        <w:spacing w:before="120" w:after="120"/>
      </w:pPr>
      <w:r w:rsidRPr="00514D69">
        <w:t xml:space="preserve">C. </w:t>
      </w:r>
      <w:r w:rsidRPr="00514D69">
        <w:tab/>
        <w:t xml:space="preserve">tā kā pieteikums attiecas uz 2411 atlaistiem darba ņēmējiem uzņēmumā </w:t>
      </w:r>
      <w:proofErr w:type="spellStart"/>
      <w:r w:rsidRPr="00514D69">
        <w:rPr>
          <w:i/>
          <w:iCs/>
        </w:rPr>
        <w:t>Van</w:t>
      </w:r>
      <w:proofErr w:type="spellEnd"/>
      <w:r w:rsidRPr="00514D69">
        <w:rPr>
          <w:i/>
          <w:iCs/>
        </w:rPr>
        <w:t xml:space="preserve"> </w:t>
      </w:r>
      <w:proofErr w:type="spellStart"/>
      <w:r w:rsidRPr="00514D69">
        <w:rPr>
          <w:i/>
          <w:iCs/>
        </w:rPr>
        <w:t>Hool</w:t>
      </w:r>
      <w:proofErr w:type="spellEnd"/>
      <w:r w:rsidRPr="00514D69">
        <w:t>;</w:t>
      </w:r>
    </w:p>
    <w:p w:rsidR="00795D8B" w:rsidRPr="00514D69" w:rsidRDefault="00795D8B" w:rsidP="00514D69">
      <w:pPr>
        <w:pStyle w:val="NormalHanging12a"/>
        <w:spacing w:before="120" w:after="120"/>
      </w:pPr>
      <w:r w:rsidRPr="00514D69">
        <w:t xml:space="preserve">D. </w:t>
      </w:r>
      <w:r w:rsidRPr="00514D69">
        <w:tab/>
        <w:t xml:space="preserve">tā kā pieteikums pamatojas uz intervences kritērijiem EGF regulas 4. panta 2. punkta a) apakšpunktā, kurā paredzēts nosacījums, ka četru mēnešu atsauces periodā darbība beigusies vismaz 200 darbu zaudējušiem darba ņēmējiem kādā dalībvalsts uzņēmumā vai </w:t>
      </w:r>
      <w:proofErr w:type="spellStart"/>
      <w:r w:rsidRPr="00514D69">
        <w:t>pašnodarbinātām</w:t>
      </w:r>
      <w:proofErr w:type="spellEnd"/>
      <w:r w:rsidRPr="00514D69">
        <w:t xml:space="preserve"> personām, ieskaitot darbu zaudējušus darba ņēmējus attiecīgajos piegādes uzņēmumos un pakārtotās ražošanas uzņēmumos;</w:t>
      </w:r>
    </w:p>
    <w:p w:rsidR="00795D8B" w:rsidRPr="00514D69" w:rsidRDefault="00795D8B" w:rsidP="00514D69">
      <w:pPr>
        <w:pStyle w:val="NormalHanging12a"/>
        <w:spacing w:before="120" w:after="120"/>
      </w:pPr>
      <w:r w:rsidRPr="00514D69">
        <w:t xml:space="preserve">E. </w:t>
      </w:r>
      <w:r w:rsidRPr="00514D69">
        <w:tab/>
        <w:t>tā kā Covid-19 pandēmija ietekmēja pieprasījumu pēc tālsatiksmes autobusiem un Krievijas agresijas karš pret Ukrainu ir ietekmējis izmaksu struktūru;</w:t>
      </w:r>
    </w:p>
    <w:p w:rsidR="00795D8B" w:rsidRPr="00514D69" w:rsidRDefault="00795D8B" w:rsidP="00514D69">
      <w:pPr>
        <w:pStyle w:val="NormalHanging12a"/>
        <w:spacing w:before="120" w:after="120"/>
      </w:pPr>
      <w:r w:rsidRPr="00514D69">
        <w:t xml:space="preserve">F. </w:t>
      </w:r>
      <w:r w:rsidRPr="00514D69">
        <w:tab/>
        <w:t>tā kā Eiropas autobūves un piegādes nozare saskaras ar līdz šim nepieredzētu spiedienu, ko rada gan ārēji, gan iekšēji pārbaudījumi, piemēram, konkurences izkropļojumi, jo īpaši elektrisko transportlīdzekļu nozarē Ķīnas negodīgās subsidēšanas dēļ, un augsta enerģijas cena, ko izraisījusi nozīmīga pārstrukturizācija;</w:t>
      </w:r>
    </w:p>
    <w:p w:rsidR="00795D8B" w:rsidRPr="00514D69" w:rsidRDefault="00795D8B" w:rsidP="00514D69">
      <w:pPr>
        <w:pStyle w:val="NormalHanging12a"/>
        <w:spacing w:before="120" w:after="120"/>
        <w:jc w:val="both"/>
      </w:pPr>
      <w:r w:rsidRPr="00514D69">
        <w:t>G.</w:t>
      </w:r>
      <w:r w:rsidRPr="00514D69">
        <w:rPr>
          <w:color w:val="7030A0"/>
        </w:rPr>
        <w:tab/>
      </w:r>
      <w:r w:rsidRPr="00514D69">
        <w:t xml:space="preserve">tā kā uzņēmums </w:t>
      </w:r>
      <w:proofErr w:type="spellStart"/>
      <w:r w:rsidRPr="00514D69">
        <w:rPr>
          <w:i/>
          <w:iCs/>
        </w:rPr>
        <w:t>Van</w:t>
      </w:r>
      <w:proofErr w:type="spellEnd"/>
      <w:r w:rsidRPr="00514D69">
        <w:rPr>
          <w:i/>
          <w:iCs/>
        </w:rPr>
        <w:t xml:space="preserve"> </w:t>
      </w:r>
      <w:proofErr w:type="spellStart"/>
      <w:r w:rsidRPr="00514D69">
        <w:rPr>
          <w:i/>
          <w:iCs/>
        </w:rPr>
        <w:t>Hool</w:t>
      </w:r>
      <w:proofErr w:type="spellEnd"/>
      <w:r w:rsidRPr="00514D69">
        <w:t xml:space="preserve"> specializējās autobusu, tālsatiksmes autobusu, trolejbusu un piekabju ražošanā; tā kā pandēmijas ietekmes rezultātā pieprasījums pēc tālsatiksmes autobusiem samazinājās, tāpēc </w:t>
      </w:r>
      <w:proofErr w:type="spellStart"/>
      <w:r w:rsidRPr="00514D69">
        <w:rPr>
          <w:i/>
          <w:iCs/>
        </w:rPr>
        <w:t>Van</w:t>
      </w:r>
      <w:proofErr w:type="spellEnd"/>
      <w:r w:rsidRPr="00514D69">
        <w:rPr>
          <w:i/>
          <w:iCs/>
        </w:rPr>
        <w:t xml:space="preserve"> </w:t>
      </w:r>
      <w:proofErr w:type="spellStart"/>
      <w:r w:rsidRPr="00514D69">
        <w:rPr>
          <w:i/>
          <w:iCs/>
        </w:rPr>
        <w:t>Hool</w:t>
      </w:r>
      <w:proofErr w:type="spellEnd"/>
      <w:r w:rsidRPr="00514D69">
        <w:t xml:space="preserve"> vidējie pārdošanas apjomi Eiropā saruka, kā arī strauji samazinājās rentabilitāte; tā kā aizvien lielākā inflācija un piegādes ķēžu traucējumi vēl vairāk palielināja spiedienu uz uzņēmuma peļņu; </w:t>
      </w:r>
    </w:p>
    <w:p w:rsidR="00795D8B" w:rsidRPr="00514D69" w:rsidRDefault="00795D8B" w:rsidP="00514D69">
      <w:pPr>
        <w:pStyle w:val="NormalHanging12a"/>
        <w:spacing w:before="120" w:after="120"/>
        <w:jc w:val="both"/>
      </w:pPr>
      <w:r w:rsidRPr="00514D69">
        <w:t>H.</w:t>
      </w:r>
      <w:r w:rsidRPr="00514D69">
        <w:tab/>
        <w:t xml:space="preserve">tā kā uzņēmums saskaņā ar Beļģijas tiesību aktiem ievēroja obligāto procedūru, kas paredzēta darbinieku pārstāvju informēšanai un uzklausīšanai;  tā kā prasība izveidot nodarbinātības vienību, kuras mērķis ir nodrošināt profesionālās pārejas pakalpojumus kolektīvi atlaistiem darbiniekiem, bankrota gadījumā nav piemērojama; </w:t>
      </w:r>
    </w:p>
    <w:p w:rsidR="00795D8B" w:rsidRPr="00514D69" w:rsidRDefault="00795D8B" w:rsidP="00514D69">
      <w:pPr>
        <w:pStyle w:val="NormalHanging12a"/>
        <w:spacing w:before="120" w:after="120"/>
        <w:jc w:val="both"/>
      </w:pPr>
      <w:r w:rsidRPr="00514D69">
        <w:t>I.</w:t>
      </w:r>
      <w:r w:rsidRPr="00514D69">
        <w:tab/>
        <w:t>tā kā EGF finansiālais ieguldījums galvenokārt būtu jānovirza aktīviem darba tirgus politikas pasākumiem un individualizētiem pakalpojumiem, kuru mērķis ir ātri no jauna integrēt atbalsta saņēmējus pienācīgā un ilgtspējīgā nodarbinātībā viņu sākotnējā darbības nozarē vai ārpus tās, vienlaikus sagatavojot tos zaļākai un digitālākai Eiropas ekonomikai;</w:t>
      </w:r>
    </w:p>
    <w:p w:rsidR="00795D8B" w:rsidRPr="00514D69" w:rsidRDefault="00795D8B" w:rsidP="00514D69">
      <w:pPr>
        <w:pStyle w:val="NormalHanging12a"/>
        <w:spacing w:before="120" w:after="120"/>
        <w:jc w:val="both"/>
      </w:pPr>
      <w:r w:rsidRPr="00514D69">
        <w:t>J.</w:t>
      </w:r>
      <w:r w:rsidRPr="00514D69">
        <w:tab/>
        <w:t>tā kā Flandrijas nodarbinātības dienesti (</w:t>
      </w:r>
      <w:r w:rsidRPr="00514D69">
        <w:rPr>
          <w:i/>
          <w:iCs/>
        </w:rPr>
        <w:t>VDAB</w:t>
      </w:r>
      <w:r w:rsidRPr="00514D69">
        <w:t xml:space="preserve">) nodrošina valsts </w:t>
      </w:r>
      <w:proofErr w:type="spellStart"/>
      <w:r w:rsidRPr="00514D69">
        <w:t>priekšfinansējumu</w:t>
      </w:r>
      <w:proofErr w:type="spellEnd"/>
      <w:r w:rsidRPr="00514D69">
        <w:t xml:space="preserve"> un līdzfinansējumu pasākumiem;</w:t>
      </w:r>
    </w:p>
    <w:p w:rsidR="00795D8B" w:rsidRPr="00514D69" w:rsidRDefault="00795D8B" w:rsidP="00514D69">
      <w:pPr>
        <w:widowControl/>
        <w:spacing w:before="120" w:after="120"/>
        <w:ind w:left="567" w:hanging="567"/>
        <w:rPr>
          <w:szCs w:val="24"/>
        </w:rPr>
      </w:pPr>
      <w:r w:rsidRPr="00514D69">
        <w:t>K.</w:t>
      </w:r>
      <w:r w:rsidRPr="00514D69">
        <w:rPr>
          <w:color w:val="7030A0"/>
        </w:rPr>
        <w:tab/>
      </w:r>
      <w:r w:rsidRPr="00514D69">
        <w:t xml:space="preserve">tā kā EGF maksimālais gada apjoms nedrīkst pārsniegt 30 miljonus EUR (2018. gada cenās), kā noteikts 8. pantā Regulā (ES, </w:t>
      </w:r>
      <w:r w:rsidRPr="00514D69">
        <w:rPr>
          <w:i/>
          <w:iCs/>
        </w:rPr>
        <w:t>Euratom</w:t>
      </w:r>
      <w:r w:rsidRPr="00514D69">
        <w:t xml:space="preserve">) 2020/2093, kas grozīta ar Regulu (ES, </w:t>
      </w:r>
      <w:r w:rsidRPr="00514D69">
        <w:rPr>
          <w:i/>
          <w:iCs/>
        </w:rPr>
        <w:t>Euratom</w:t>
      </w:r>
      <w:r w:rsidRPr="00514D69">
        <w:t>) 2024/765; tā kā saskaņā ar pareizas finanšu pārvaldības principu neizlietotās summas būtu jāatmaksā atpakaļ Komisijai,</w:t>
      </w:r>
    </w:p>
    <w:p w:rsidR="00795D8B" w:rsidRPr="00514D69" w:rsidRDefault="00795D8B" w:rsidP="00514D69">
      <w:pPr>
        <w:pStyle w:val="NormalHanging12a"/>
        <w:spacing w:before="120" w:after="120"/>
        <w:jc w:val="both"/>
      </w:pPr>
      <w:r w:rsidRPr="00514D69">
        <w:lastRenderedPageBreak/>
        <w:t>1.</w:t>
      </w:r>
      <w:r w:rsidRPr="00514D69">
        <w:tab/>
        <w:t>piekrīt Komisijai, ka EGF regulas 4. panta 2. punkta a) apakšpunktā paredzētie nosacījumi ir ievēroti un ka Beļģija saskaņā ar minēto regulu ir tiesīga saņemt finansiālu ieguldījumu 7 999 015 EUR apmērā, kas ir 85 % no kopējām izmaksām, proti, 9 410 607 EUR, kuras aptver izdevumus par individualizētajiem pakalpojumiem 9 034 607 EUR apmērā un izdevumus par sagatavošanās, pārvaldības, informācijas un reklāmas, kontroles un ziņošanas darbībām 376 000 EUR apmērā;</w:t>
      </w:r>
    </w:p>
    <w:p w:rsidR="00795D8B" w:rsidRPr="00514D69" w:rsidRDefault="00795D8B" w:rsidP="00514D69">
      <w:pPr>
        <w:pStyle w:val="NormalHanging12a"/>
        <w:spacing w:before="120" w:after="120"/>
        <w:jc w:val="both"/>
      </w:pPr>
      <w:r w:rsidRPr="00514D69">
        <w:t xml:space="preserve">2. </w:t>
      </w:r>
      <w:r w:rsidRPr="00514D69">
        <w:tab/>
        <w:t xml:space="preserve">pieņem zināšanai, ka Beļģijas iestādes pieteikumu iesniedza 2024. gada 29. oktobrī un ka pēc tam, kad Beļģija bija sniegusi papildu informāciju, Komisija pieteikuma novērtēšanu pabeidza 2025. gada 26. martā, tajā pašā dienā to darot zināmu Parlamentam; </w:t>
      </w:r>
    </w:p>
    <w:p w:rsidR="00795D8B" w:rsidRPr="00514D69" w:rsidRDefault="00795D8B" w:rsidP="00514D69">
      <w:pPr>
        <w:pStyle w:val="NormalHanging12a"/>
        <w:spacing w:before="120" w:after="120"/>
        <w:jc w:val="both"/>
      </w:pPr>
      <w:r w:rsidRPr="00514D69">
        <w:t>3.</w:t>
      </w:r>
      <w:r w:rsidRPr="00514D69">
        <w:tab/>
        <w:t xml:space="preserve">norāda, ka pieteikums attiecas uz 2411 darba ņēmējiem, kas atlaisti uzņēmumā </w:t>
      </w:r>
      <w:proofErr w:type="spellStart"/>
      <w:r w:rsidRPr="00514D69">
        <w:rPr>
          <w:i/>
          <w:iCs/>
        </w:rPr>
        <w:t>Van</w:t>
      </w:r>
      <w:proofErr w:type="spellEnd"/>
      <w:r w:rsidRPr="00514D69">
        <w:rPr>
          <w:i/>
          <w:iCs/>
        </w:rPr>
        <w:t xml:space="preserve"> </w:t>
      </w:r>
      <w:proofErr w:type="spellStart"/>
      <w:r w:rsidRPr="00514D69">
        <w:rPr>
          <w:i/>
          <w:iCs/>
        </w:rPr>
        <w:t>Hool</w:t>
      </w:r>
      <w:proofErr w:type="spellEnd"/>
      <w:r w:rsidRPr="00514D69">
        <w:t>; turklāt norāda, ka kopumā paredzētie atbalsta saņēmēji būs 2397 darba ņēmēji;</w:t>
      </w:r>
    </w:p>
    <w:p w:rsidR="00795D8B" w:rsidRPr="00514D69" w:rsidRDefault="00795D8B" w:rsidP="00514D69">
      <w:pPr>
        <w:pStyle w:val="NormalHanging12a"/>
        <w:spacing w:before="120" w:after="120"/>
        <w:jc w:val="both"/>
      </w:pPr>
      <w:r w:rsidRPr="00514D69">
        <w:t>4.</w:t>
      </w:r>
      <w:r w:rsidRPr="00514D69">
        <w:tab/>
        <w:t>uzsver, ka saskaņā ar Beļģijas Uzņēmumu federācijas (</w:t>
      </w:r>
      <w:r w:rsidRPr="00514D69">
        <w:rPr>
          <w:i/>
          <w:iCs/>
        </w:rPr>
        <w:t>VBO</w:t>
      </w:r>
      <w:r w:rsidRPr="00514D69">
        <w:t xml:space="preserve">) sniegto informāciju Beļģijas rūpniecības nozare pašlaik pieredz panīkumu; </w:t>
      </w:r>
      <w:r w:rsidR="00914B64" w:rsidRPr="00514D69">
        <w:t xml:space="preserve">atzīmē, ka </w:t>
      </w:r>
      <w:r w:rsidRPr="00514D69">
        <w:t xml:space="preserve">rūpniecības nozarei tradicionāli ir bijusi liela nozīme </w:t>
      </w:r>
      <w:proofErr w:type="spellStart"/>
      <w:r w:rsidRPr="00514D69">
        <w:t>Līrā</w:t>
      </w:r>
      <w:proofErr w:type="spellEnd"/>
      <w:r w:rsidRPr="00514D69">
        <w:t xml:space="preserve">, tāpēc rūpniecības panīkums būtiski ietekmē </w:t>
      </w:r>
      <w:proofErr w:type="spellStart"/>
      <w:r w:rsidRPr="00514D69">
        <w:t>Līras</w:t>
      </w:r>
      <w:proofErr w:type="spellEnd"/>
      <w:r w:rsidRPr="00514D69">
        <w:t xml:space="preserve"> darba tirgu; uzsver, ka </w:t>
      </w:r>
      <w:proofErr w:type="spellStart"/>
      <w:r w:rsidRPr="00514D69">
        <w:t>Līrā</w:t>
      </w:r>
      <w:proofErr w:type="spellEnd"/>
      <w:r w:rsidRPr="00514D69">
        <w:t xml:space="preserve"> pieejamo darbvietu skaits rūpniecībā 2023. gadā samazinājās par 13 %;</w:t>
      </w:r>
    </w:p>
    <w:p w:rsidR="00795D8B" w:rsidRPr="00514D69" w:rsidRDefault="00795D8B" w:rsidP="00514D69">
      <w:pPr>
        <w:pStyle w:val="NormalHanging12a"/>
        <w:spacing w:before="120" w:after="120"/>
        <w:jc w:val="both"/>
      </w:pPr>
      <w:r w:rsidRPr="00514D69">
        <w:t>5.</w:t>
      </w:r>
      <w:r w:rsidRPr="00514D69">
        <w:tab/>
        <w:t xml:space="preserve">norāda uz darbu zaudējušo darba ņēmēju profilu, proti, viena trešdaļa no viņiem ir 50 gadus veci vai vecāki un 80 % ir ar vidējo izglītību vai zemāku izglītības līmeni un novecojušām prasmēm; uzsver, ka, ņemot vērā vakanču samazināšanās tendenci un to ģeogrāfisko sadalījumu, darba ņēmējiem būs vajadzīga mērķtiecīga palīdzība, kas vērsta uz prasmju pilnveidi un </w:t>
      </w:r>
      <w:proofErr w:type="spellStart"/>
      <w:r w:rsidRPr="00514D69">
        <w:t>pārkvalifikāciju</w:t>
      </w:r>
      <w:proofErr w:type="spellEnd"/>
      <w:r w:rsidRPr="00514D69">
        <w:t>, lai palielinātu viņu iespējas atsākt strādāt; uzskata, ka Savienība un dalībvalstis ir sociāli atbildīgas par to, lai skartajiem darba ņēmējiem nodrošinātu iespēju iegūt turpmākai nodarbinātībai vajadzīgo kvalifikāciju;</w:t>
      </w:r>
    </w:p>
    <w:p w:rsidR="00795D8B" w:rsidRPr="00514D69" w:rsidRDefault="00795D8B" w:rsidP="00514D69">
      <w:pPr>
        <w:pStyle w:val="NormalHanging12a"/>
        <w:spacing w:before="120" w:after="120"/>
        <w:jc w:val="both"/>
      </w:pPr>
      <w:r w:rsidRPr="00514D69">
        <w:t>6.</w:t>
      </w:r>
      <w:r w:rsidRPr="00514D69">
        <w:tab/>
        <w:t xml:space="preserve">atzinīgi vērtē to, ka atlaistajiem darba ņēmējiem sniedzamie individualizētie pakalpojumi ietver šādas darbības: sociālās intervences konsultants un darbinieku reģistrācija, profesionālās pārejas pasākumi, atbalsts darba meklēšanā un iekārtošana darbā, karjeras attīstības atbalsts, </w:t>
      </w:r>
      <w:proofErr w:type="spellStart"/>
      <w:r w:rsidRPr="00514D69">
        <w:t>pārkvalifikācija</w:t>
      </w:r>
      <w:proofErr w:type="spellEnd"/>
      <w:r w:rsidRPr="00514D69">
        <w:t xml:space="preserve"> un arodmācības, kā arī apmācība darbavietā; jo īpaši uzsver ar mērķtiecīgu atbalstu un individuālu novērtējumu saistītos pakalpojumus, kā arī apmācību IKT jomā, kas palīdz pilnveidot digitālajā rūpniecības laikmetā nepieciešamās prasmes;</w:t>
      </w:r>
    </w:p>
    <w:p w:rsidR="00795D8B" w:rsidRPr="00514D69" w:rsidRDefault="00795D8B" w:rsidP="00514D69">
      <w:pPr>
        <w:pStyle w:val="NormalHanging12a"/>
        <w:spacing w:before="120" w:after="120"/>
        <w:jc w:val="both"/>
      </w:pPr>
      <w:r w:rsidRPr="00514D69">
        <w:t>7.</w:t>
      </w:r>
      <w:r w:rsidRPr="00514D69">
        <w:tab/>
        <w:t>pieņem zināšanai to, ka Beļģija sāka sniegt individualizētus pakalpojumus paredzētajiem atbalsta saņēmējiem 2024. gada 22. aprīlī un ka tāpēc tiesības saņemt finansiālu ieguldījumu no EGF būs laikposmā, kas sākas šajā datumā un beidzas 24 mēnešus pēc finansēšanas lēmuma spēkā stāšanās dienas;</w:t>
      </w:r>
    </w:p>
    <w:p w:rsidR="00795D8B" w:rsidRPr="00514D69" w:rsidRDefault="00795D8B" w:rsidP="00514D69">
      <w:pPr>
        <w:pStyle w:val="NormalHanging12a"/>
        <w:spacing w:before="120" w:after="120"/>
        <w:jc w:val="both"/>
        <w:rPr>
          <w:sz w:val="23"/>
          <w:szCs w:val="23"/>
        </w:rPr>
      </w:pPr>
      <w:r w:rsidRPr="00514D69">
        <w:t>8.</w:t>
      </w:r>
      <w:r w:rsidRPr="00514D69">
        <w:tab/>
        <w:t>norāda, ka administratīvie izdevumi saistībā ar EGF īstenošanu Beļģijai sāka rasties 2024. gada 14. martā un tāpēc par šādiem izdevumiem ir tiesības saņemt finansiālu ieguldījumu no EGF par laikposmu, kas sākas minētajā datumā un beidzas 31 mēnesi pēc finansēšanas lēmuma spēkā stāšanās dienas;</w:t>
      </w:r>
    </w:p>
    <w:p w:rsidR="00795D8B" w:rsidRPr="00514D69" w:rsidRDefault="00795D8B" w:rsidP="00514D69">
      <w:pPr>
        <w:pStyle w:val="NormalHanging12a"/>
        <w:spacing w:before="120" w:after="120"/>
        <w:jc w:val="both"/>
      </w:pPr>
      <w:r w:rsidRPr="00514D69">
        <w:t>9.</w:t>
      </w:r>
      <w:r w:rsidRPr="00514D69">
        <w:tab/>
        <w:t xml:space="preserve">uzsver, ka Beļģijas iestādes ir apstiprinājušas, ka attiecībā uz piekļuvi ierosinātajām darbībām un to īstenošanu tiks ievēroti vienlīdzīgas attieksmes un </w:t>
      </w:r>
      <w:proofErr w:type="spellStart"/>
      <w:r w:rsidRPr="00514D69">
        <w:t>nediskriminācijas</w:t>
      </w:r>
      <w:proofErr w:type="spellEnd"/>
      <w:r w:rsidRPr="00514D69">
        <w:t xml:space="preserve"> principi un ka tiks novērsta jebkāda dubulta finansēšana;</w:t>
      </w:r>
    </w:p>
    <w:p w:rsidR="00795D8B" w:rsidRPr="00514D69" w:rsidRDefault="00795D8B" w:rsidP="00514D69">
      <w:pPr>
        <w:pStyle w:val="NormalHanging12a"/>
        <w:spacing w:before="120" w:after="120"/>
        <w:jc w:val="both"/>
      </w:pPr>
      <w:r w:rsidRPr="00514D69">
        <w:t>10.</w:t>
      </w:r>
      <w:r w:rsidRPr="00514D69">
        <w:tab/>
        <w:t xml:space="preserve">atgādina, ka Beļģijas iestādēm ir jānodrošina, ka dzimumu līdztiesība un </w:t>
      </w:r>
      <w:proofErr w:type="spellStart"/>
      <w:r w:rsidRPr="00514D69">
        <w:t>dzimumperspektīvas</w:t>
      </w:r>
      <w:proofErr w:type="spellEnd"/>
      <w:r w:rsidRPr="00514D69">
        <w:t xml:space="preserve"> integrācija ir neatņemama EGF īstenošanas daļa, kas jāveicina visā īstenošanas laikposmā;</w:t>
      </w:r>
    </w:p>
    <w:p w:rsidR="00795D8B" w:rsidRPr="00514D69" w:rsidRDefault="00795D8B" w:rsidP="00514D69">
      <w:pPr>
        <w:pStyle w:val="NormalHanging12a"/>
        <w:spacing w:before="120" w:after="120"/>
        <w:jc w:val="both"/>
      </w:pPr>
      <w:r w:rsidRPr="00514D69">
        <w:t>11.</w:t>
      </w:r>
      <w:r w:rsidRPr="00514D69">
        <w:tab/>
        <w:t>atkārtoti norāda, ka palīdzība no EGF nedrīkst aizstāt darbības, par kurām saskaņā ar attiecīgās valsts tiesību aktiem vai koplīgumiem ir atbildīgi uzņēmumi;</w:t>
      </w:r>
    </w:p>
    <w:p w:rsidR="00795D8B" w:rsidRPr="00514D69" w:rsidRDefault="00795D8B" w:rsidP="00514D69">
      <w:pPr>
        <w:pStyle w:val="NormalHanging12a"/>
        <w:spacing w:before="120" w:after="120"/>
        <w:jc w:val="both"/>
      </w:pPr>
      <w:r w:rsidRPr="00514D69">
        <w:lastRenderedPageBreak/>
        <w:t>12.</w:t>
      </w:r>
      <w:r w:rsidRPr="00514D69">
        <w:tab/>
        <w:t xml:space="preserve">atgādina, ka Beļģijas iestādēm ir jānorāda uz Savienības finansējuma izcelsmi, jānodrošina tā </w:t>
      </w:r>
      <w:proofErr w:type="spellStart"/>
      <w:r w:rsidRPr="00514D69">
        <w:t>pamanāmība</w:t>
      </w:r>
      <w:proofErr w:type="spellEnd"/>
      <w:r w:rsidRPr="00514D69">
        <w:t xml:space="preserve"> un jāuzsver intervences pasākuma pievienotā vērtība, ko nodrošina Savienība, un tas jādara, sniedzot konsekventu, lietderīgu un mērķtiecīgu informāciju dažādām auditorijām, cita starpā mērķtiecīgu informāciju atbalsta saņēmējiem, vietējām un reģionālajām pašvaldībām, sociālajiem partneriem, medijiem un sabiedrībai;</w:t>
      </w:r>
    </w:p>
    <w:p w:rsidR="00795D8B" w:rsidRPr="00514D69" w:rsidRDefault="00795D8B" w:rsidP="00514D69">
      <w:pPr>
        <w:pStyle w:val="NormalHanging12a"/>
        <w:spacing w:before="120" w:after="120"/>
        <w:jc w:val="both"/>
      </w:pPr>
      <w:r w:rsidRPr="00514D69">
        <w:t>13.</w:t>
      </w:r>
      <w:r w:rsidRPr="00514D69">
        <w:tab/>
        <w:t>apstiprina šai rezolūcijai pievienoto lēmumu;</w:t>
      </w:r>
    </w:p>
    <w:p w:rsidR="00795D8B" w:rsidRPr="00514D69" w:rsidRDefault="00795D8B" w:rsidP="00514D69">
      <w:pPr>
        <w:pStyle w:val="NormalHanging12a"/>
        <w:spacing w:before="120" w:after="120"/>
        <w:jc w:val="both"/>
      </w:pPr>
      <w:r w:rsidRPr="00514D69">
        <w:t>14.</w:t>
      </w:r>
      <w:r w:rsidRPr="00514D69">
        <w:tab/>
        <w:t xml:space="preserve">uzdod priekšsēdētājai parakstīt šo lēmumu kopā ar Padomes priekšsēdētāju un nodrošināt tā publicēšanu </w:t>
      </w:r>
      <w:r w:rsidRPr="00514D69">
        <w:rPr>
          <w:i/>
          <w:iCs/>
        </w:rPr>
        <w:t>Eiropas Savienības Oficiālajā Vēstnesī</w:t>
      </w:r>
      <w:r w:rsidRPr="00514D69">
        <w:t>;</w:t>
      </w:r>
    </w:p>
    <w:p w:rsidR="00795D8B" w:rsidRPr="00514D69" w:rsidRDefault="00795D8B" w:rsidP="00514D69">
      <w:pPr>
        <w:pStyle w:val="NormalHanging12a"/>
        <w:spacing w:before="120" w:after="120"/>
        <w:sectPr w:rsidR="00795D8B" w:rsidRPr="00514D69" w:rsidSect="006652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514D69">
        <w:t>15.</w:t>
      </w:r>
      <w:r w:rsidRPr="00514D69">
        <w:tab/>
        <w:t>uzdod priekšsēdētājai šo rezolūciju, kā arī tās pielikumu nosūtīt Padomei un Komisijai.</w:t>
      </w:r>
    </w:p>
    <w:p w:rsidR="00AE5D2C" w:rsidRPr="00AE5D2C" w:rsidRDefault="00AE5D2C" w:rsidP="00795D8B">
      <w:pPr>
        <w:pStyle w:val="PageHeading"/>
        <w:rPr>
          <w:rFonts w:ascii="Times New Roman" w:hAnsi="Times New Roman" w:cs="Times New Roman"/>
        </w:rPr>
      </w:pPr>
      <w:bookmarkStart w:id="7" w:name="_Toc197334379"/>
      <w:r w:rsidRPr="00AE5D2C">
        <w:rPr>
          <w:rFonts w:ascii="Times New Roman" w:hAnsi="Times New Roman" w:cs="Times New Roman"/>
        </w:rPr>
        <w:lastRenderedPageBreak/>
        <w:t>PIELIKUMS</w:t>
      </w:r>
    </w:p>
    <w:p w:rsidR="00795D8B" w:rsidRPr="00AE5D2C" w:rsidRDefault="00795D8B" w:rsidP="00795D8B">
      <w:pPr>
        <w:pStyle w:val="PageHeading"/>
        <w:rPr>
          <w:rFonts w:ascii="Times New Roman" w:hAnsi="Times New Roman" w:cs="Times New Roman"/>
          <w:noProof/>
        </w:rPr>
      </w:pPr>
      <w:r w:rsidRPr="00AE5D2C">
        <w:rPr>
          <w:rFonts w:ascii="Times New Roman" w:hAnsi="Times New Roman" w:cs="Times New Roman"/>
        </w:rPr>
        <w:t>EIROPAS PARLAMENTA UN PADOMES LĒMUMS</w:t>
      </w:r>
      <w:bookmarkEnd w:id="7"/>
    </w:p>
    <w:p w:rsidR="00795D8B" w:rsidRPr="00514D69" w:rsidRDefault="00795D8B" w:rsidP="00AE5D2C">
      <w:pPr>
        <w:pStyle w:val="NormalBold24a"/>
        <w:jc w:val="center"/>
      </w:pPr>
      <w:r w:rsidRPr="00514D69">
        <w:t>par Eiropas Globalizācijas pielāgošanās fonda darbu zaudējušiem darba ņēmējiem izmantošanu saistībā ar Beļģijas iesniegto pieteikumu (EGF/2024/003 BE/</w:t>
      </w:r>
      <w:proofErr w:type="spellStart"/>
      <w:r w:rsidRPr="00514D69">
        <w:rPr>
          <w:i/>
          <w:iCs/>
        </w:rPr>
        <w:t>Van</w:t>
      </w:r>
      <w:proofErr w:type="spellEnd"/>
      <w:r w:rsidRPr="00514D69">
        <w:rPr>
          <w:i/>
          <w:iCs/>
        </w:rPr>
        <w:t xml:space="preserve"> </w:t>
      </w:r>
      <w:proofErr w:type="spellStart"/>
      <w:r w:rsidRPr="00514D69">
        <w:rPr>
          <w:i/>
          <w:iCs/>
        </w:rPr>
        <w:t>Hool</w:t>
      </w:r>
      <w:proofErr w:type="spellEnd"/>
      <w:r w:rsidRPr="00514D69">
        <w:t>)</w:t>
      </w:r>
    </w:p>
    <w:p w:rsidR="00AE5D2C" w:rsidRDefault="00AE5D2C" w:rsidP="00AE5D2C">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25</w:t>
      </w:r>
      <w:r w:rsidRPr="00611295">
        <w:rPr>
          <w:b w:val="0"/>
          <w:i/>
          <w:iCs/>
          <w:noProof/>
        </w:rPr>
        <w:t>/</w:t>
      </w:r>
      <w:r>
        <w:rPr>
          <w:b w:val="0"/>
          <w:i/>
          <w:iCs/>
          <w:noProof/>
        </w:rPr>
        <w:t>1018</w:t>
      </w:r>
      <w:bookmarkStart w:id="8" w:name="_GoBack"/>
      <w:bookmarkEnd w:id="8"/>
      <w:r w:rsidRPr="00981C8E">
        <w:rPr>
          <w:b w:val="0"/>
          <w:i/>
          <w:iCs/>
          <w:noProof/>
        </w:rPr>
        <w:t>.</w:t>
      </w:r>
      <w:r w:rsidRPr="00EB02AD">
        <w:rPr>
          <w:b w:val="0"/>
          <w:i/>
          <w:iCs/>
          <w:noProof/>
        </w:rPr>
        <w:t>)</w:t>
      </w:r>
    </w:p>
    <w:p w:rsidR="00E365E1" w:rsidRDefault="00E365E1" w:rsidP="003E10D5"/>
    <w:p w:rsidR="00AE5D2C" w:rsidRPr="00514D69" w:rsidRDefault="00AE5D2C" w:rsidP="003E10D5"/>
    <w:sectPr w:rsidR="00AE5D2C" w:rsidRPr="00514D69" w:rsidSect="0066526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0D5" w:rsidRPr="00665266" w:rsidRDefault="003E10D5">
      <w:r w:rsidRPr="00665266">
        <w:separator/>
      </w:r>
    </w:p>
  </w:endnote>
  <w:endnote w:type="continuationSeparator" w:id="0">
    <w:p w:rsidR="003E10D5" w:rsidRPr="00665266" w:rsidRDefault="003E10D5">
      <w:r w:rsidRPr="006652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D8B" w:rsidRPr="00665266" w:rsidRDefault="00795D8B" w:rsidP="00A465FF">
    <w:pPr>
      <w:pStyle w:val="EPFooter"/>
    </w:pPr>
    <w:r w:rsidRPr="00665266">
      <w:t>PE</w:t>
    </w:r>
    <w:r w:rsidRPr="00665266">
      <w:rPr>
        <w:rStyle w:val="HideTWBExt"/>
      </w:rPr>
      <w:t>&lt;NoPE&gt;</w:t>
    </w:r>
    <w:r w:rsidRPr="00665266">
      <w:t>771.884</w:t>
    </w:r>
    <w:r w:rsidRPr="00665266">
      <w:rPr>
        <w:rStyle w:val="HideTWBExt"/>
      </w:rPr>
      <w:t>&lt;/NoPE&gt;&lt;Version&gt;</w:t>
    </w:r>
    <w:r w:rsidRPr="00665266">
      <w:t>v03-00</w:t>
    </w:r>
    <w:r w:rsidRPr="00665266">
      <w:rPr>
        <w:rStyle w:val="HideTWBExt"/>
      </w:rPr>
      <w:t>&lt;/Version&gt;</w:t>
    </w:r>
    <w:r w:rsidRPr="00665266">
      <w:tab/>
    </w:r>
    <w:r w:rsidRPr="00665266">
      <w:fldChar w:fldCharType="begin"/>
    </w:r>
    <w:r w:rsidRPr="00665266">
      <w:instrText xml:space="preserve"> PAGE  \* MERGEFORMAT </w:instrText>
    </w:r>
    <w:r w:rsidRPr="00665266">
      <w:fldChar w:fldCharType="separate"/>
    </w:r>
    <w:r w:rsidRPr="00665266">
      <w:rPr>
        <w:noProof/>
      </w:rPr>
      <w:t>4</w:t>
    </w:r>
    <w:r w:rsidRPr="00665266">
      <w:fldChar w:fldCharType="end"/>
    </w:r>
    <w:r w:rsidRPr="00665266">
      <w:t>/</w:t>
    </w:r>
    <w:fldSimple w:instr=" NUMPAGES  \* MERGEFORMAT ">
      <w:r w:rsidRPr="00665266">
        <w:rPr>
          <w:noProof/>
        </w:rPr>
        <w:t>4</w:t>
      </w:r>
    </w:fldSimple>
    <w:r w:rsidRPr="00665266">
      <w:tab/>
    </w:r>
    <w:r w:rsidRPr="00665266">
      <w:rPr>
        <w:rStyle w:val="HideTWBExt"/>
      </w:rPr>
      <w:t>&lt;PathFdR&gt;</w:t>
    </w:r>
    <w:r w:rsidRPr="00665266">
      <w:t>RR\1320028LV.docx</w:t>
    </w:r>
    <w:r w:rsidRPr="00665266">
      <w:rPr>
        <w:rStyle w:val="HideTWBExt"/>
      </w:rPr>
      <w:t>&lt;/PathFdR&gt;</w:t>
    </w:r>
  </w:p>
  <w:p w:rsidR="00795D8B" w:rsidRPr="00665266" w:rsidRDefault="00795D8B" w:rsidP="00A465FF">
    <w:pPr>
      <w:pStyle w:val="EPFooter2"/>
    </w:pPr>
    <w:r w:rsidRPr="00665266">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D8B" w:rsidRPr="00665266" w:rsidRDefault="00795D8B" w:rsidP="00A465F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D8B" w:rsidRPr="00665266" w:rsidRDefault="00795D8B" w:rsidP="00A465FF">
    <w:pPr>
      <w:pStyle w:val="EPFooter"/>
    </w:pPr>
    <w:r w:rsidRPr="00665266">
      <w:rPr>
        <w:rStyle w:val="HideTWBExt"/>
      </w:rPr>
      <w:t>&lt;PathFdR&gt;</w:t>
    </w:r>
    <w:r w:rsidRPr="00665266">
      <w:t>RR\1320028LV.docx</w:t>
    </w:r>
    <w:r w:rsidRPr="00665266">
      <w:rPr>
        <w:rStyle w:val="HideTWBExt"/>
      </w:rPr>
      <w:t>&lt;/PathFdR&gt;</w:t>
    </w:r>
    <w:r w:rsidRPr="00665266">
      <w:tab/>
    </w:r>
    <w:r w:rsidRPr="00665266">
      <w:tab/>
      <w:t>PE</w:t>
    </w:r>
    <w:r w:rsidRPr="00665266">
      <w:rPr>
        <w:rStyle w:val="HideTWBExt"/>
      </w:rPr>
      <w:t>&lt;NoPE&gt;</w:t>
    </w:r>
    <w:r w:rsidRPr="00665266">
      <w:t>771.884</w:t>
    </w:r>
    <w:r w:rsidRPr="00665266">
      <w:rPr>
        <w:rStyle w:val="HideTWBExt"/>
      </w:rPr>
      <w:t>&lt;/NoPE&gt;&lt;Version&gt;</w:t>
    </w:r>
    <w:r w:rsidRPr="00665266">
      <w:t>v03-00</w:t>
    </w:r>
    <w:r w:rsidRPr="00665266">
      <w:rPr>
        <w:rStyle w:val="HideTWBExt"/>
      </w:rPr>
      <w:t>&lt;/Version&gt;</w:t>
    </w:r>
  </w:p>
  <w:p w:rsidR="00795D8B" w:rsidRPr="00665266" w:rsidRDefault="00795D8B" w:rsidP="00A465FF">
    <w:pPr>
      <w:pStyle w:val="EPFooter2"/>
    </w:pPr>
    <w:r w:rsidRPr="00665266">
      <w:t>LV</w:t>
    </w:r>
    <w:r w:rsidRPr="00665266">
      <w:tab/>
    </w:r>
    <w:r w:rsidRPr="00665266">
      <w:rPr>
        <w:b w:val="0"/>
        <w:i/>
        <w:color w:val="C0C0C0"/>
        <w:sz w:val="22"/>
      </w:rPr>
      <w:t>Vienoti daudzveidībā</w:t>
    </w:r>
    <w:r w:rsidRPr="00665266">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26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26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2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0D5" w:rsidRPr="00665266" w:rsidRDefault="003E10D5">
      <w:r w:rsidRPr="00665266">
        <w:separator/>
      </w:r>
    </w:p>
  </w:footnote>
  <w:footnote w:type="continuationSeparator" w:id="0">
    <w:p w:rsidR="003E10D5" w:rsidRPr="00665266" w:rsidRDefault="003E10D5">
      <w:r w:rsidRPr="00665266">
        <w:continuationSeparator/>
      </w:r>
    </w:p>
  </w:footnote>
  <w:footnote w:id="1">
    <w:p w:rsidR="00795D8B" w:rsidRPr="00665266" w:rsidRDefault="00795D8B" w:rsidP="00665266">
      <w:pPr>
        <w:pStyle w:val="FootnoteText"/>
        <w:ind w:left="567" w:hanging="567"/>
        <w:rPr>
          <w:sz w:val="24"/>
          <w:lang w:val="lv-LV"/>
        </w:rPr>
      </w:pPr>
      <w:r w:rsidRPr="00665266">
        <w:rPr>
          <w:rStyle w:val="FootnoteReference"/>
          <w:sz w:val="24"/>
          <w:lang w:val="lv-LV"/>
        </w:rPr>
        <w:footnoteRef/>
      </w:r>
      <w:r w:rsidR="00665266" w:rsidRPr="00665266">
        <w:rPr>
          <w:sz w:val="24"/>
          <w:lang w:val="lv-LV"/>
        </w:rPr>
        <w:t xml:space="preserve"> </w:t>
      </w:r>
      <w:r w:rsidR="00665266" w:rsidRPr="00665266">
        <w:rPr>
          <w:sz w:val="24"/>
          <w:lang w:val="lv-LV"/>
        </w:rPr>
        <w:tab/>
      </w:r>
      <w:r w:rsidRPr="00665266">
        <w:rPr>
          <w:sz w:val="24"/>
          <w:lang w:val="lv-LV"/>
        </w:rPr>
        <w:t xml:space="preserve">OV L 153, 3.5.2021., 48. lpp., ELI: </w:t>
      </w:r>
      <w:hyperlink r:id="rId1" w:history="1">
        <w:r w:rsidR="00914B64" w:rsidRPr="009124EE">
          <w:rPr>
            <w:rStyle w:val="Hyperlink"/>
            <w:sz w:val="24"/>
            <w:lang w:val="fi-FI"/>
          </w:rPr>
          <w:t>http://data.europa.eu/eli/reg/2021/691/oj</w:t>
        </w:r>
      </w:hyperlink>
      <w:r w:rsidRPr="00665266">
        <w:rPr>
          <w:sz w:val="24"/>
          <w:lang w:val="lv-LV"/>
        </w:rPr>
        <w:t>.</w:t>
      </w:r>
    </w:p>
  </w:footnote>
  <w:footnote w:id="2">
    <w:p w:rsidR="00795D8B" w:rsidRPr="00665266" w:rsidRDefault="00795D8B" w:rsidP="00665266">
      <w:pPr>
        <w:pStyle w:val="FootnoteText"/>
        <w:ind w:left="567" w:hanging="567"/>
        <w:rPr>
          <w:sz w:val="24"/>
          <w:lang w:val="lv-LV"/>
        </w:rPr>
      </w:pPr>
      <w:r w:rsidRPr="00665266">
        <w:rPr>
          <w:rStyle w:val="FootnoteReference"/>
          <w:sz w:val="24"/>
          <w:lang w:val="lv-LV"/>
        </w:rPr>
        <w:footnoteRef/>
      </w:r>
      <w:r w:rsidR="00665266" w:rsidRPr="00665266">
        <w:rPr>
          <w:sz w:val="24"/>
          <w:lang w:val="lv-LV"/>
        </w:rPr>
        <w:t xml:space="preserve"> </w:t>
      </w:r>
      <w:r w:rsidR="00665266" w:rsidRPr="00665266">
        <w:rPr>
          <w:sz w:val="24"/>
          <w:lang w:val="lv-LV"/>
        </w:rPr>
        <w:tab/>
      </w:r>
      <w:r w:rsidRPr="00665266">
        <w:rPr>
          <w:sz w:val="24"/>
          <w:lang w:val="lv-LV"/>
        </w:rPr>
        <w:t>OV L 433 I, 22.12.2020., 11. lpp., ELI: http://data.europa.eu/eli/reg/2020/2093/oj.</w:t>
      </w:r>
    </w:p>
  </w:footnote>
  <w:footnote w:id="3">
    <w:p w:rsidR="00795D8B" w:rsidRPr="00665266" w:rsidRDefault="00795D8B" w:rsidP="00665266">
      <w:pPr>
        <w:pStyle w:val="FootnoteText"/>
        <w:ind w:left="567" w:hanging="567"/>
        <w:rPr>
          <w:sz w:val="24"/>
          <w:lang w:val="lv-LV"/>
        </w:rPr>
      </w:pPr>
      <w:r w:rsidRPr="00665266">
        <w:rPr>
          <w:rStyle w:val="FootnoteReference"/>
          <w:sz w:val="24"/>
          <w:lang w:val="lv-LV"/>
        </w:rPr>
        <w:footnoteRef/>
      </w:r>
      <w:r w:rsidR="00665266" w:rsidRPr="00665266">
        <w:rPr>
          <w:sz w:val="24"/>
          <w:lang w:val="lv-LV"/>
        </w:rPr>
        <w:t xml:space="preserve"> </w:t>
      </w:r>
      <w:r w:rsidR="00665266" w:rsidRPr="00665266">
        <w:rPr>
          <w:sz w:val="24"/>
          <w:lang w:val="lv-LV"/>
        </w:rPr>
        <w:tab/>
      </w:r>
      <w:r w:rsidRPr="00665266">
        <w:rPr>
          <w:sz w:val="24"/>
          <w:lang w:val="lv-LV"/>
        </w:rPr>
        <w:t xml:space="preserve">Padomes Regula (ES, </w:t>
      </w:r>
      <w:r w:rsidRPr="00665266">
        <w:rPr>
          <w:i/>
          <w:iCs/>
          <w:sz w:val="24"/>
          <w:lang w:val="lv-LV"/>
        </w:rPr>
        <w:t>Euratom</w:t>
      </w:r>
      <w:r w:rsidRPr="00665266">
        <w:rPr>
          <w:sz w:val="24"/>
          <w:lang w:val="lv-LV"/>
        </w:rPr>
        <w:t xml:space="preserve">) 2024/765 (2024. gada 29. februāris), ar kuru groza Regulu (ES, </w:t>
      </w:r>
      <w:r w:rsidRPr="00665266">
        <w:rPr>
          <w:i/>
          <w:iCs/>
          <w:sz w:val="24"/>
          <w:lang w:val="lv-LV"/>
        </w:rPr>
        <w:t>Euratom</w:t>
      </w:r>
      <w:r w:rsidRPr="00665266">
        <w:rPr>
          <w:sz w:val="24"/>
          <w:lang w:val="lv-LV"/>
        </w:rPr>
        <w:t xml:space="preserve">) 2020/2093, ar ko nosaka daudzgadu finanšu shēmu 2021.–2027. gadam (OV L, 2024/765, 29.2.2024., </w:t>
      </w:r>
      <w:r w:rsidRPr="00514D69">
        <w:rPr>
          <w:rStyle w:val="Emphasis"/>
          <w:i w:val="0"/>
          <w:color w:val="333333"/>
          <w:sz w:val="24"/>
          <w:shd w:val="clear" w:color="auto" w:fill="FFFFFF"/>
          <w:lang w:val="lv-LV"/>
        </w:rPr>
        <w:t>ELI:</w:t>
      </w:r>
      <w:r w:rsidRPr="00665266">
        <w:rPr>
          <w:rStyle w:val="Emphasis"/>
          <w:color w:val="333333"/>
          <w:sz w:val="24"/>
          <w:shd w:val="clear" w:color="auto" w:fill="FFFFFF"/>
          <w:lang w:val="lv-LV"/>
        </w:rPr>
        <w:t xml:space="preserve"> </w:t>
      </w:r>
      <w:r w:rsidR="00AE5D2C">
        <w:fldChar w:fldCharType="begin"/>
      </w:r>
      <w:r w:rsidR="00AE5D2C" w:rsidRPr="00AE5D2C">
        <w:rPr>
          <w:lang w:val="lv-LV"/>
        </w:rPr>
        <w:instrText xml:space="preserve"> HYPERLINK "http://data.europa.eu/eli/reg/2024/765/oj" </w:instrText>
      </w:r>
      <w:r w:rsidR="00AE5D2C">
        <w:fldChar w:fldCharType="separate"/>
      </w:r>
      <w:r w:rsidR="00914B64" w:rsidRPr="00514D69">
        <w:rPr>
          <w:rStyle w:val="Hyperlink"/>
          <w:sz w:val="24"/>
          <w:shd w:val="clear" w:color="auto" w:fill="FFFFFF"/>
          <w:lang w:val="lv-LV"/>
        </w:rPr>
        <w:t>http://data.europa.eu/eli/reg/2024/765/oj</w:t>
      </w:r>
      <w:r w:rsidR="00AE5D2C">
        <w:rPr>
          <w:rStyle w:val="Hyperlink"/>
          <w:sz w:val="24"/>
          <w:shd w:val="clear" w:color="auto" w:fill="FFFFFF"/>
          <w:lang w:val="lv-LV"/>
        </w:rPr>
        <w:fldChar w:fldCharType="end"/>
      </w:r>
      <w:r w:rsidRPr="00665266">
        <w:rPr>
          <w:rStyle w:val="Emphasis"/>
          <w:color w:val="333333"/>
          <w:sz w:val="24"/>
          <w:shd w:val="clear" w:color="auto" w:fill="FFFFFF"/>
          <w:lang w:val="lv-LV"/>
        </w:rPr>
        <w:t>).</w:t>
      </w:r>
    </w:p>
  </w:footnote>
  <w:footnote w:id="4">
    <w:p w:rsidR="00795D8B" w:rsidRPr="00665266" w:rsidRDefault="00795D8B" w:rsidP="00665266">
      <w:pPr>
        <w:pStyle w:val="FootnoteText"/>
        <w:ind w:left="567" w:hanging="567"/>
        <w:rPr>
          <w:sz w:val="24"/>
          <w:lang w:val="lv-LV"/>
        </w:rPr>
      </w:pPr>
      <w:r w:rsidRPr="00665266">
        <w:rPr>
          <w:rStyle w:val="FootnoteReference"/>
          <w:sz w:val="24"/>
          <w:lang w:val="lv-LV"/>
        </w:rPr>
        <w:footnoteRef/>
      </w:r>
      <w:r w:rsidR="00665266" w:rsidRPr="00665266">
        <w:rPr>
          <w:sz w:val="24"/>
          <w:lang w:val="lv-LV"/>
        </w:rPr>
        <w:t xml:space="preserve"> </w:t>
      </w:r>
      <w:r w:rsidR="00665266" w:rsidRPr="00665266">
        <w:rPr>
          <w:sz w:val="24"/>
          <w:lang w:val="lv-LV"/>
        </w:rPr>
        <w:tab/>
      </w:r>
      <w:r w:rsidRPr="00665266">
        <w:rPr>
          <w:sz w:val="24"/>
          <w:lang w:val="lv-LV"/>
        </w:rPr>
        <w:t xml:space="preserve">OV L 433 I, 22.12.2020., 28. lpp., ELI: </w:t>
      </w:r>
      <w:hyperlink r:id="rId2" w:history="1">
        <w:r w:rsidR="00914B64" w:rsidRPr="00514D69">
          <w:rPr>
            <w:rStyle w:val="Hyperlink"/>
            <w:sz w:val="24"/>
            <w:lang w:val="lv-LV"/>
          </w:rPr>
          <w:t>http://data.europa.eu/eli/agree_interinstit/2020/1222/oj</w:t>
        </w:r>
      </w:hyperlink>
      <w:r w:rsidRPr="00665266">
        <w:rPr>
          <w:sz w:val="24"/>
          <w:lang w:val="lv-LV"/>
        </w:rPr>
        <w:t>.</w:t>
      </w:r>
    </w:p>
  </w:footnote>
  <w:footnote w:id="5">
    <w:p w:rsidR="00795D8B" w:rsidRPr="00665266" w:rsidRDefault="00795D8B" w:rsidP="00665266">
      <w:pPr>
        <w:pStyle w:val="FootnoteText"/>
        <w:ind w:left="567" w:hanging="567"/>
        <w:rPr>
          <w:sz w:val="24"/>
          <w:lang w:val="lv-LV"/>
        </w:rPr>
      </w:pPr>
      <w:r w:rsidRPr="00665266">
        <w:rPr>
          <w:rStyle w:val="FootnoteReference"/>
          <w:sz w:val="24"/>
          <w:lang w:val="lv-LV"/>
        </w:rPr>
        <w:footnoteRef/>
      </w:r>
      <w:r w:rsidR="00665266" w:rsidRPr="00665266">
        <w:rPr>
          <w:sz w:val="24"/>
          <w:lang w:val="lv-LV"/>
        </w:rPr>
        <w:t xml:space="preserve"> </w:t>
      </w:r>
      <w:r w:rsidR="00665266" w:rsidRPr="00665266">
        <w:rPr>
          <w:sz w:val="24"/>
          <w:lang w:val="lv-LV"/>
        </w:rPr>
        <w:tab/>
      </w:r>
      <w:r w:rsidRPr="00665266">
        <w:rPr>
          <w:sz w:val="24"/>
          <w:lang w:val="lv-LV"/>
        </w:rPr>
        <w:t>EGF regulas 3. panta nozīmē.</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D8B" w:rsidRPr="00665266" w:rsidRDefault="00795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D8B" w:rsidRPr="00665266" w:rsidRDefault="00795D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D8B" w:rsidRPr="00665266" w:rsidRDefault="00795D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26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26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52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LV"/>
    <w:docVar w:name="dvnumam" w:val="0"/>
    <w:docVar w:name="dvpe" w:val="771.884"/>
    <w:docVar w:name="dvrapporteur" w:val="Referents: "/>
    <w:docVar w:name="dvtitre" w:val="Eiropas Parlamenta 2025. gada XX. XXX  rezolūcija par priekšlikumu Eiropas Parlamenta un Padomes lēmumam par Eiropas Globalizācijas pielāgošanās fonda darbu zaudējušiem darba ņēmējiem izmantošanu saistībā ar Beļģijas iesniegto pieteikumu (EGF/2024/003 BE/Van Hool)(COM(2025)0001 – C10-0056/2025 – 2025/0061(BUD))"/>
  </w:docVars>
  <w:rsids>
    <w:rsidRoot w:val="003E10D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0D5"/>
    <w:rsid w:val="003E15D4"/>
    <w:rsid w:val="00411CCE"/>
    <w:rsid w:val="0041666E"/>
    <w:rsid w:val="00421060"/>
    <w:rsid w:val="00471C19"/>
    <w:rsid w:val="004867E3"/>
    <w:rsid w:val="00494A28"/>
    <w:rsid w:val="004C0004"/>
    <w:rsid w:val="004C5D52"/>
    <w:rsid w:val="0050519A"/>
    <w:rsid w:val="005072A1"/>
    <w:rsid w:val="00514517"/>
    <w:rsid w:val="00514D69"/>
    <w:rsid w:val="00545827"/>
    <w:rsid w:val="00560270"/>
    <w:rsid w:val="005C2568"/>
    <w:rsid w:val="005F1B17"/>
    <w:rsid w:val="006037C0"/>
    <w:rsid w:val="006631B6"/>
    <w:rsid w:val="00665266"/>
    <w:rsid w:val="00680577"/>
    <w:rsid w:val="006C2DC7"/>
    <w:rsid w:val="006F74FA"/>
    <w:rsid w:val="00731ADD"/>
    <w:rsid w:val="00734777"/>
    <w:rsid w:val="00747932"/>
    <w:rsid w:val="00751A4A"/>
    <w:rsid w:val="00756632"/>
    <w:rsid w:val="00762C74"/>
    <w:rsid w:val="00786EC0"/>
    <w:rsid w:val="00795D8B"/>
    <w:rsid w:val="007D1690"/>
    <w:rsid w:val="007E22AD"/>
    <w:rsid w:val="00817416"/>
    <w:rsid w:val="00842779"/>
    <w:rsid w:val="00865F67"/>
    <w:rsid w:val="00881A7B"/>
    <w:rsid w:val="008840E5"/>
    <w:rsid w:val="00887B3E"/>
    <w:rsid w:val="008C2AC6"/>
    <w:rsid w:val="00914B64"/>
    <w:rsid w:val="00930C23"/>
    <w:rsid w:val="0093193B"/>
    <w:rsid w:val="009509D8"/>
    <w:rsid w:val="00950B64"/>
    <w:rsid w:val="00981893"/>
    <w:rsid w:val="00A1687D"/>
    <w:rsid w:val="00A43E52"/>
    <w:rsid w:val="00A4678D"/>
    <w:rsid w:val="00A778C7"/>
    <w:rsid w:val="00AB441E"/>
    <w:rsid w:val="00AB6293"/>
    <w:rsid w:val="00AE0928"/>
    <w:rsid w:val="00AE5D2C"/>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7C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CFF8F"/>
  <w15:chartTrackingRefBased/>
  <w15:docId w15:val="{1214201E-8F57-408D-A690-0D2244B46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95D8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95D8B"/>
    <w:pPr>
      <w:keepNext/>
      <w:spacing w:after="480"/>
      <w:jc w:val="center"/>
    </w:pPr>
    <w:rPr>
      <w:rFonts w:ascii="Arial" w:hAnsi="Arial" w:cs="Arial"/>
      <w:b/>
    </w:rPr>
  </w:style>
  <w:style w:type="paragraph" w:customStyle="1" w:styleId="NormalBold">
    <w:name w:val="NormalBold"/>
    <w:basedOn w:val="Normal"/>
    <w:rsid w:val="00795D8B"/>
    <w:rPr>
      <w:b/>
    </w:rPr>
  </w:style>
  <w:style w:type="paragraph" w:customStyle="1" w:styleId="NormalHanging12a">
    <w:name w:val="NormalHanging12a"/>
    <w:basedOn w:val="Normal"/>
    <w:link w:val="NormalHanging12aChar"/>
    <w:rsid w:val="00795D8B"/>
    <w:pPr>
      <w:spacing w:after="240"/>
      <w:ind w:left="567" w:hanging="567"/>
    </w:pPr>
  </w:style>
  <w:style w:type="paragraph" w:styleId="Header">
    <w:name w:val="header"/>
    <w:basedOn w:val="Normal"/>
    <w:link w:val="HeaderChar"/>
    <w:rsid w:val="00795D8B"/>
    <w:pPr>
      <w:tabs>
        <w:tab w:val="center" w:pos="4513"/>
        <w:tab w:val="right" w:pos="9026"/>
      </w:tabs>
    </w:pPr>
  </w:style>
  <w:style w:type="character" w:customStyle="1" w:styleId="HeaderChar">
    <w:name w:val="Header Char"/>
    <w:basedOn w:val="DefaultParagraphFont"/>
    <w:link w:val="Header"/>
    <w:rsid w:val="00795D8B"/>
    <w:rPr>
      <w:sz w:val="24"/>
      <w:lang w:val="lv-LV"/>
    </w:rPr>
  </w:style>
  <w:style w:type="paragraph" w:customStyle="1" w:styleId="NormalBold24a">
    <w:name w:val="NormalBold24a"/>
    <w:basedOn w:val="Normal"/>
    <w:rsid w:val="00795D8B"/>
    <w:pPr>
      <w:spacing w:after="480"/>
    </w:pPr>
    <w:rPr>
      <w:b/>
      <w:bCs/>
    </w:rPr>
  </w:style>
  <w:style w:type="paragraph" w:customStyle="1" w:styleId="EPFooter">
    <w:name w:val="EPFooter"/>
    <w:basedOn w:val="Normal"/>
    <w:rsid w:val="00795D8B"/>
    <w:pPr>
      <w:tabs>
        <w:tab w:val="center" w:pos="4535"/>
        <w:tab w:val="right" w:pos="9071"/>
      </w:tabs>
      <w:spacing w:before="240" w:after="240"/>
    </w:pPr>
    <w:rPr>
      <w:color w:val="010000"/>
      <w:sz w:val="22"/>
    </w:rPr>
  </w:style>
  <w:style w:type="paragraph" w:customStyle="1" w:styleId="EPComma">
    <w:name w:val="EPComma"/>
    <w:basedOn w:val="Normal"/>
    <w:rsid w:val="00795D8B"/>
    <w:pPr>
      <w:spacing w:before="480" w:after="240"/>
    </w:pPr>
  </w:style>
  <w:style w:type="character" w:customStyle="1" w:styleId="NormalHanging12aChar">
    <w:name w:val="NormalHanging12a Char"/>
    <w:basedOn w:val="DefaultParagraphFont"/>
    <w:link w:val="NormalHanging12a"/>
    <w:locked/>
    <w:rsid w:val="00795D8B"/>
    <w:rPr>
      <w:sz w:val="24"/>
      <w:lang w:val="lv-LV"/>
    </w:rPr>
  </w:style>
  <w:style w:type="character" w:styleId="Emphasis">
    <w:name w:val="Emphasis"/>
    <w:basedOn w:val="DefaultParagraphFont"/>
    <w:uiPriority w:val="20"/>
    <w:qFormat/>
    <w:rsid w:val="00795D8B"/>
    <w:rPr>
      <w:i/>
      <w:iCs/>
    </w:rPr>
  </w:style>
  <w:style w:type="paragraph" w:customStyle="1" w:styleId="Institutionquiagit">
    <w:name w:val="Institution qui agit"/>
    <w:basedOn w:val="Normal"/>
    <w:next w:val="Normal"/>
    <w:rsid w:val="00795D8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95D8B"/>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795D8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95D8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95D8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95D8B"/>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795D8B"/>
    <w:rPr>
      <w:color w:val="0563C1" w:themeColor="hyperlink"/>
      <w:u w:val="single"/>
    </w:rPr>
  </w:style>
  <w:style w:type="character" w:customStyle="1" w:styleId="PageHeadingChar">
    <w:name w:val="PageHeading Char"/>
    <w:basedOn w:val="DefaultParagraphFont"/>
    <w:link w:val="PageHeading"/>
    <w:rsid w:val="00795D8B"/>
    <w:rPr>
      <w:rFonts w:ascii="Arial" w:hAnsi="Arial" w:cs="Arial"/>
      <w:b/>
      <w:sz w:val="24"/>
      <w:lang w:val="lv-LV"/>
    </w:rPr>
  </w:style>
  <w:style w:type="paragraph" w:styleId="BalloonText">
    <w:name w:val="Balloon Text"/>
    <w:basedOn w:val="Normal"/>
    <w:link w:val="BalloonTextChar"/>
    <w:rsid w:val="00E757C6"/>
    <w:rPr>
      <w:rFonts w:ascii="Segoe UI" w:hAnsi="Segoe UI" w:cs="Segoe UI"/>
      <w:sz w:val="18"/>
      <w:szCs w:val="18"/>
    </w:rPr>
  </w:style>
  <w:style w:type="character" w:customStyle="1" w:styleId="BalloonTextChar">
    <w:name w:val="Balloon Text Char"/>
    <w:basedOn w:val="DefaultParagraphFont"/>
    <w:link w:val="BalloonText"/>
    <w:rsid w:val="00E757C6"/>
    <w:rPr>
      <w:rFonts w:ascii="Segoe UI" w:hAnsi="Segoe UI" w:cs="Segoe UI"/>
      <w:sz w:val="18"/>
      <w:szCs w:val="18"/>
      <w:lang w:val="lv-LV"/>
    </w:rPr>
  </w:style>
  <w:style w:type="paragraph" w:customStyle="1" w:styleId="Normal24Bold">
    <w:name w:val="Normal24Bold"/>
    <w:basedOn w:val="Normal"/>
    <w:rsid w:val="00AE5D2C"/>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0/1222/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8D86B-B293-455C-942B-BBC882F0E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1254</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3</cp:revision>
  <cp:lastPrinted>2004-11-19T15:42:00Z</cp:lastPrinted>
  <dcterms:created xsi:type="dcterms:W3CDTF">2025-05-06T10:58:00Z</dcterms:created>
  <dcterms:modified xsi:type="dcterms:W3CDTF">2025-06-11T07:47:00Z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A10-0080/2025</vt:lpwstr>
  </property>
  <property fmtid="{D5CDD505-2E9C-101B-9397-08002B2CF9AE}" pid="4" name="&lt;Type&gt;">
    <vt:lpwstr>RR</vt:lpwstr>
  </property>
</Properties>
</file>