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137B" w14:paraId="16C3C3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DB0439" w14:textId="77777777" w:rsidR="00751A4A" w:rsidRPr="0012137B" w:rsidRDefault="004273DB" w:rsidP="0010095E">
            <w:pPr>
              <w:pStyle w:val="EPName"/>
            </w:pPr>
            <w:r w:rsidRPr="0012137B">
              <w:t>Parlament Europejski</w:t>
            </w:r>
          </w:p>
          <w:p w14:paraId="323DC720" w14:textId="77777777" w:rsidR="00751A4A" w:rsidRPr="001213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137B">
              <w:t>2024</w:t>
            </w:r>
            <w:r w:rsidR="00817416" w:rsidRPr="0012137B">
              <w:t>-202</w:t>
            </w:r>
            <w:r w:rsidRPr="0012137B">
              <w:t>9</w:t>
            </w:r>
          </w:p>
        </w:tc>
        <w:tc>
          <w:tcPr>
            <w:tcW w:w="2268" w:type="dxa"/>
            <w:shd w:val="clear" w:color="auto" w:fill="auto"/>
          </w:tcPr>
          <w:p w14:paraId="070CF29A" w14:textId="77777777" w:rsidR="00751A4A" w:rsidRPr="0012137B" w:rsidRDefault="00187494" w:rsidP="0010095E">
            <w:pPr>
              <w:pStyle w:val="EPLogo"/>
            </w:pPr>
            <w:r w:rsidRPr="0012137B">
              <w:rPr>
                <w:noProof/>
                <w:lang w:val="en-GB"/>
              </w:rPr>
              <w:drawing>
                <wp:inline distT="0" distB="0" distL="0" distR="0" wp14:anchorId="24A0FC75" wp14:editId="4F01C8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4FF30" w14:textId="77777777" w:rsidR="00D058B8" w:rsidRPr="0012137B" w:rsidRDefault="00D058B8" w:rsidP="004C5D52">
      <w:pPr>
        <w:pStyle w:val="LineTop"/>
      </w:pPr>
    </w:p>
    <w:p w14:paraId="795ED3B3" w14:textId="77777777" w:rsidR="00680577" w:rsidRPr="0012137B" w:rsidRDefault="004273DB" w:rsidP="00680577">
      <w:pPr>
        <w:pStyle w:val="EPBodyTA1"/>
      </w:pPr>
      <w:r w:rsidRPr="0012137B">
        <w:t>TEKSTY PRZYJĘTE</w:t>
      </w:r>
    </w:p>
    <w:p w14:paraId="45EC7AFB" w14:textId="77777777" w:rsidR="00D058B8" w:rsidRPr="0012137B" w:rsidRDefault="00D058B8" w:rsidP="00D058B8">
      <w:pPr>
        <w:pStyle w:val="LineBottom"/>
      </w:pPr>
    </w:p>
    <w:p w14:paraId="1C36B9E4" w14:textId="77777777" w:rsidR="004273DB" w:rsidRPr="0012137B" w:rsidRDefault="004273DB" w:rsidP="004273DB">
      <w:pPr>
        <w:pStyle w:val="ATHeading1"/>
      </w:pPr>
      <w:bookmarkStart w:id="0" w:name="TANumber"/>
      <w:r w:rsidRPr="0012137B">
        <w:t>P10_</w:t>
      </w:r>
      <w:proofErr w:type="gramStart"/>
      <w:r w:rsidRPr="0012137B">
        <w:t>TA(</w:t>
      </w:r>
      <w:proofErr w:type="gramEnd"/>
      <w:r w:rsidRPr="0012137B">
        <w:t>2025)00</w:t>
      </w:r>
      <w:bookmarkEnd w:id="0"/>
      <w:r w:rsidR="008D76A3">
        <w:t>74</w:t>
      </w:r>
    </w:p>
    <w:p w14:paraId="7A8616F9" w14:textId="77777777" w:rsidR="004273DB" w:rsidRPr="0012137B" w:rsidRDefault="00054F83" w:rsidP="00054F83">
      <w:pPr>
        <w:pStyle w:val="ATHeading2"/>
      </w:pPr>
      <w:r w:rsidRPr="00054F83">
        <w:rPr>
          <w:bCs/>
        </w:rPr>
        <w:t>Uruchomienie Europejskiego Funduszu Dostosowania do Globalizacji dla Zwalnianych Pracowników –</w:t>
      </w:r>
      <w:r>
        <w:rPr>
          <w:bCs/>
        </w:rPr>
        <w:t xml:space="preserve"> </w:t>
      </w:r>
      <w:r w:rsidRPr="00054F83">
        <w:rPr>
          <w:bCs/>
        </w:rPr>
        <w:t xml:space="preserve">EGF/2024/003 BE/Van </w:t>
      </w:r>
      <w:proofErr w:type="spellStart"/>
      <w:r w:rsidRPr="00054F83">
        <w:rPr>
          <w:bCs/>
        </w:rPr>
        <w:t>Hool</w:t>
      </w:r>
      <w:proofErr w:type="spellEnd"/>
      <w:r w:rsidRPr="00054F83">
        <w:rPr>
          <w:bCs/>
        </w:rPr>
        <w:t xml:space="preserve"> - Belgia</w:t>
      </w:r>
    </w:p>
    <w:p w14:paraId="052C42AD" w14:textId="77777777" w:rsidR="004273DB" w:rsidRPr="0012137B" w:rsidRDefault="004273DB" w:rsidP="004273DB">
      <w:pPr>
        <w:rPr>
          <w:i/>
          <w:vanish/>
        </w:rPr>
      </w:pPr>
      <w:r w:rsidRPr="0012137B">
        <w:rPr>
          <w:i/>
        </w:rPr>
        <w:fldChar w:fldCharType="begin"/>
      </w:r>
      <w:r w:rsidRPr="0012137B">
        <w:rPr>
          <w:i/>
        </w:rPr>
        <w:instrText xml:space="preserve"> TC"(</w:instrText>
      </w:r>
      <w:bookmarkStart w:id="1" w:name="DocNumber"/>
      <w:r w:rsidRPr="0012137B">
        <w:rPr>
          <w:i/>
        </w:rPr>
        <w:instrText>A10-0080/2025</w:instrText>
      </w:r>
      <w:bookmarkEnd w:id="1"/>
      <w:r w:rsidRPr="0012137B">
        <w:rPr>
          <w:i/>
        </w:rPr>
        <w:instrText xml:space="preserve"> - Sprawozdawca: Janusz Lewandowski)"\l3 \n&gt; \* MERGEFORMAT </w:instrText>
      </w:r>
      <w:r w:rsidRPr="0012137B">
        <w:rPr>
          <w:i/>
        </w:rPr>
        <w:fldChar w:fldCharType="end"/>
      </w:r>
    </w:p>
    <w:p w14:paraId="0E068FD6" w14:textId="77777777" w:rsidR="004273DB" w:rsidRPr="0012137B" w:rsidRDefault="004273DB" w:rsidP="004273DB">
      <w:pPr>
        <w:rPr>
          <w:vanish/>
        </w:rPr>
      </w:pPr>
      <w:bookmarkStart w:id="2" w:name="Commission"/>
      <w:r w:rsidRPr="0012137B">
        <w:rPr>
          <w:vanish/>
        </w:rPr>
        <w:t>Komisja Budżetowa</w:t>
      </w:r>
      <w:bookmarkEnd w:id="2"/>
    </w:p>
    <w:p w14:paraId="2CC8C5EE" w14:textId="77777777" w:rsidR="004273DB" w:rsidRPr="0012137B" w:rsidRDefault="004273DB" w:rsidP="004273DB">
      <w:pPr>
        <w:rPr>
          <w:vanish/>
        </w:rPr>
      </w:pPr>
      <w:bookmarkStart w:id="3" w:name="PE"/>
      <w:r w:rsidRPr="0012137B">
        <w:rPr>
          <w:vanish/>
        </w:rPr>
        <w:t>PE771.884</w:t>
      </w:r>
      <w:bookmarkEnd w:id="3"/>
    </w:p>
    <w:p w14:paraId="2D5E165A" w14:textId="77777777" w:rsidR="004273DB" w:rsidRPr="0012137B" w:rsidRDefault="004273DB" w:rsidP="004273DB">
      <w:pPr>
        <w:pStyle w:val="ATHeading3"/>
      </w:pPr>
      <w:bookmarkStart w:id="4" w:name="Sujet"/>
      <w:r w:rsidRPr="0012137B">
        <w:t xml:space="preserve">Rezolucja Parlamentu Europejskiego z dnia </w:t>
      </w:r>
      <w:r w:rsidR="00054F83">
        <w:t>6 maja</w:t>
      </w:r>
      <w:r w:rsidRPr="0012137B">
        <w:t xml:space="preserve"> 2025 r. w sprawie wniosku dotyczącego decyzji Parlamentu Europejskiego i Rady w sprawie uruchomienia Europejskiego Funduszu Dostosowania do Globalizacji dla Zwalnianych Pracowników w następstwie wniosku złożonego przez Belgię – EGF/2024/003 BE/Van </w:t>
      </w:r>
      <w:proofErr w:type="spellStart"/>
      <w:r w:rsidRPr="0012137B">
        <w:t>Hool</w:t>
      </w:r>
      <w:bookmarkEnd w:id="4"/>
      <w:proofErr w:type="spellEnd"/>
      <w:r w:rsidRPr="0012137B">
        <w:t xml:space="preserve"> </w:t>
      </w:r>
      <w:bookmarkStart w:id="5" w:name="References"/>
      <w:r w:rsidRPr="0012137B">
        <w:t>(</w:t>
      </w:r>
      <w:proofErr w:type="gramStart"/>
      <w:r w:rsidRPr="0012137B">
        <w:t>COM(</w:t>
      </w:r>
      <w:proofErr w:type="gramEnd"/>
      <w:r w:rsidRPr="0012137B">
        <w:t>2025)0001 – C10-0056/2025 – 2025/0061(BUD))</w:t>
      </w:r>
      <w:bookmarkEnd w:id="5"/>
    </w:p>
    <w:p w14:paraId="0D8C3AD6" w14:textId="77777777" w:rsidR="00F2614E" w:rsidRPr="0012137B" w:rsidRDefault="00F2614E" w:rsidP="00F2614E">
      <w:pPr>
        <w:pStyle w:val="EPComma"/>
        <w:rPr>
          <w:noProof/>
        </w:rPr>
      </w:pPr>
      <w:r w:rsidRPr="0012137B">
        <w:rPr>
          <w:i/>
        </w:rPr>
        <w:t>Parlament Europejski</w:t>
      </w:r>
      <w:r w:rsidRPr="0012137B">
        <w:t>,</w:t>
      </w:r>
    </w:p>
    <w:p w14:paraId="57B9E9CD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–</w:t>
      </w:r>
      <w:r w:rsidRPr="0012137B">
        <w:tab/>
        <w:t>uwzględniając wniosek Komisji przedłożony Parlamentowi Europejskiemu i Radzie (</w:t>
      </w:r>
      <w:proofErr w:type="gramStart"/>
      <w:r w:rsidRPr="0012137B">
        <w:t>COM(</w:t>
      </w:r>
      <w:proofErr w:type="gramEnd"/>
      <w:r w:rsidRPr="0012137B">
        <w:t>2025)0001 – C10</w:t>
      </w:r>
      <w:r w:rsidRPr="0012137B">
        <w:noBreakHyphen/>
        <w:t>0056/2025),</w:t>
      </w:r>
    </w:p>
    <w:p w14:paraId="124B30F2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–</w:t>
      </w:r>
      <w:r w:rsidRPr="0012137B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12137B">
        <w:rPr>
          <w:rStyle w:val="FootnoteReference"/>
          <w:noProof/>
        </w:rPr>
        <w:footnoteReference w:id="1"/>
      </w:r>
      <w:r w:rsidRPr="0012137B">
        <w:t xml:space="preserve"> („rozporządzenie w sprawie EFG”),</w:t>
      </w:r>
    </w:p>
    <w:p w14:paraId="69A174BA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–</w:t>
      </w:r>
      <w:r w:rsidRPr="0012137B">
        <w:tab/>
        <w:t xml:space="preserve">uwzględniając rozporządzenie Rady (UE, </w:t>
      </w:r>
      <w:proofErr w:type="spellStart"/>
      <w:r w:rsidRPr="0012137B">
        <w:t>Euratom</w:t>
      </w:r>
      <w:proofErr w:type="spellEnd"/>
      <w:r w:rsidRPr="0012137B">
        <w:t>) 2020/2093 z dnia 17 grudnia 2020 r. określające wieloletnie ramy finansowe na lata 2021−2027</w:t>
      </w:r>
      <w:r w:rsidRPr="0012137B">
        <w:rPr>
          <w:rStyle w:val="FootnoteReference"/>
          <w:noProof/>
        </w:rPr>
        <w:footnoteReference w:id="2"/>
      </w:r>
      <w:r w:rsidRPr="0012137B">
        <w:t xml:space="preserve">, zmienione rozporządzeniem (UE, </w:t>
      </w:r>
      <w:proofErr w:type="spellStart"/>
      <w:r w:rsidRPr="0012137B">
        <w:t>Euratom</w:t>
      </w:r>
      <w:proofErr w:type="spellEnd"/>
      <w:r w:rsidRPr="0012137B">
        <w:t>) 2024/765</w:t>
      </w:r>
      <w:r w:rsidRPr="0012137B">
        <w:rPr>
          <w:rStyle w:val="FootnoteReference"/>
          <w:bdr w:val="none" w:sz="0" w:space="0" w:color="auto" w:frame="1"/>
        </w:rPr>
        <w:footnoteReference w:id="3"/>
      </w:r>
      <w:r w:rsidRPr="0012137B">
        <w:t>, w szczególności jego art. 8,</w:t>
      </w:r>
    </w:p>
    <w:p w14:paraId="7207E1FA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–</w:t>
      </w:r>
      <w:r w:rsidRPr="0012137B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12137B">
        <w:lastRenderedPageBreak/>
        <w:t>wprowadzania nowych zasobów własnych</w:t>
      </w:r>
      <w:r w:rsidRPr="0012137B">
        <w:rPr>
          <w:rStyle w:val="FootnoteReference"/>
          <w:noProof/>
        </w:rPr>
        <w:footnoteReference w:id="4"/>
      </w:r>
      <w:r w:rsidRPr="0012137B">
        <w:t>, w szczególności jego pkt 9,</w:t>
      </w:r>
    </w:p>
    <w:p w14:paraId="33752EEE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–</w:t>
      </w:r>
      <w:r w:rsidRPr="0012137B">
        <w:tab/>
        <w:t>uwzględniając pismo przesłane przez Komisję Zatrudnienia i Spraw Socjalnych,</w:t>
      </w:r>
    </w:p>
    <w:p w14:paraId="319624B9" w14:textId="77777777" w:rsidR="00F2614E" w:rsidRPr="0012137B" w:rsidRDefault="00F2614E" w:rsidP="00F2614E">
      <w:pPr>
        <w:pStyle w:val="NormalHanging12a"/>
      </w:pPr>
      <w:r w:rsidRPr="0012137B">
        <w:t>–</w:t>
      </w:r>
      <w:r w:rsidRPr="0012137B">
        <w:tab/>
        <w:t xml:space="preserve">uwzględniając sprawozdanie Komisji Budżetowej (A10-0080/2025), </w:t>
      </w:r>
    </w:p>
    <w:p w14:paraId="680B92E3" w14:textId="77777777" w:rsidR="00F2614E" w:rsidRPr="0012137B" w:rsidRDefault="00F2614E" w:rsidP="00F2614E">
      <w:pPr>
        <w:pStyle w:val="NormalHanging12a"/>
        <w:rPr>
          <w:noProof/>
        </w:rPr>
      </w:pPr>
      <w:r w:rsidRPr="0012137B">
        <w:t>A.</w:t>
      </w:r>
      <w:r w:rsidRPr="0012137B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14:paraId="1F0F0BD2" w14:textId="77777777" w:rsidR="00F2614E" w:rsidRPr="0012137B" w:rsidRDefault="00F2614E" w:rsidP="00F2614E">
      <w:pPr>
        <w:pStyle w:val="NormalHanging12a"/>
      </w:pPr>
      <w:r w:rsidRPr="0012137B">
        <w:t xml:space="preserve">B. </w:t>
      </w:r>
      <w:r w:rsidRPr="0012137B">
        <w:tab/>
        <w:t xml:space="preserve">mając na uwadze, że Belgia złożyła wniosek EGF/2024/003 BE/Van </w:t>
      </w:r>
      <w:proofErr w:type="spellStart"/>
      <w:r w:rsidRPr="0012137B">
        <w:t>Hool</w:t>
      </w:r>
      <w:proofErr w:type="spellEnd"/>
      <w:r w:rsidRPr="0012137B">
        <w:t xml:space="preserve"> o wkład finansowy z Europejskiego Funduszu Dostosowania do Globalizacji (EFG) w następstwie 2411 zwolnień</w:t>
      </w:r>
      <w:r w:rsidRPr="0012137B">
        <w:rPr>
          <w:rStyle w:val="FootnoteReference"/>
        </w:rPr>
        <w:footnoteReference w:id="5"/>
      </w:r>
      <w:r w:rsidRPr="0012137B">
        <w:t xml:space="preserve"> w sektorze działalności gospodarczej zaklasyfikowanym do działu 29 według klasyfikacji NACE </w:t>
      </w:r>
      <w:proofErr w:type="spellStart"/>
      <w:r w:rsidRPr="0012137B">
        <w:t>Rev</w:t>
      </w:r>
      <w:proofErr w:type="spellEnd"/>
      <w:r w:rsidRPr="0012137B">
        <w:t xml:space="preserve">. 2 (Produkcja pojazdów samochodowych, przyczep i naczep) na poziomie NUTS 2 w regionie </w:t>
      </w:r>
      <w:proofErr w:type="spellStart"/>
      <w:r w:rsidRPr="0012137B">
        <w:t>Provincie</w:t>
      </w:r>
      <w:proofErr w:type="spellEnd"/>
      <w:r w:rsidRPr="0012137B">
        <w:t xml:space="preserve"> </w:t>
      </w:r>
      <w:proofErr w:type="spellStart"/>
      <w:r w:rsidRPr="0012137B">
        <w:t>Antwerpen</w:t>
      </w:r>
      <w:proofErr w:type="spellEnd"/>
      <w:r w:rsidRPr="0012137B">
        <w:t xml:space="preserve"> (BE21) w czteromiesięcznym okresie odniesienia, który trwał od 8 kwietnia do 8 sierpnia 2024 r.; </w:t>
      </w:r>
    </w:p>
    <w:p w14:paraId="1F454CB6" w14:textId="77777777" w:rsidR="00F2614E" w:rsidRPr="0012137B" w:rsidRDefault="00F2614E" w:rsidP="00F2614E">
      <w:pPr>
        <w:pStyle w:val="NormalHanging12a"/>
      </w:pPr>
      <w:r w:rsidRPr="0012137B">
        <w:t xml:space="preserve">C. </w:t>
      </w:r>
      <w:r w:rsidRPr="0012137B">
        <w:tab/>
        <w:t xml:space="preserve">mając na uwadze, że wniosek dotyczy 2411 pracowników zwolnionych z przedsiębiorstwa Van </w:t>
      </w:r>
      <w:proofErr w:type="spellStart"/>
      <w:r w:rsidRPr="0012137B">
        <w:t>Hool</w:t>
      </w:r>
      <w:proofErr w:type="spellEnd"/>
      <w:r w:rsidRPr="0012137B">
        <w:t>;</w:t>
      </w:r>
    </w:p>
    <w:p w14:paraId="409C984A" w14:textId="77777777" w:rsidR="00F2614E" w:rsidRPr="0012137B" w:rsidRDefault="00F2614E" w:rsidP="00F2614E">
      <w:pPr>
        <w:pStyle w:val="NormalHanging12a"/>
      </w:pPr>
      <w:r w:rsidRPr="0012137B">
        <w:t xml:space="preserve">D. </w:t>
      </w:r>
      <w:r w:rsidRPr="0012137B">
        <w:tab/>
        <w:t>mając na uwadze, że wniosek opiera się na kryterium interwencji przewidzianym w art. 4 ust. 2 lit. a) rozporządzenia w sprawie EFG, którym to kryterium jest zaprzestanie działalności przez co najmniej 200 zwalnianych pracowników lub osób prowadzących działalność na własny rachunek w czteromiesięcznym okresie odniesienia w przedsiębiorstwie w państwie członkowskim, z uwzględnieniem zwolnień pracowników u jego dostawców i producentów na wcześniejszych etapach w łańcuchu dostaw;</w:t>
      </w:r>
    </w:p>
    <w:p w14:paraId="528B353C" w14:textId="77777777" w:rsidR="00F2614E" w:rsidRPr="0012137B" w:rsidRDefault="00F2614E" w:rsidP="00F2614E">
      <w:pPr>
        <w:pStyle w:val="NormalHanging12a"/>
      </w:pPr>
      <w:r w:rsidRPr="0012137B">
        <w:t xml:space="preserve">E. </w:t>
      </w:r>
      <w:r w:rsidRPr="0012137B">
        <w:tab/>
        <w:t>mając na uwadze, że pandemia COVID-19 wpłynęła na popyt na autokary, a rosyjska wojna napastnicza przeciwko Ukrainie – na strukturę kosztów;</w:t>
      </w:r>
    </w:p>
    <w:p w14:paraId="41861D48" w14:textId="77777777" w:rsidR="00F2614E" w:rsidRPr="0012137B" w:rsidRDefault="00F2614E" w:rsidP="00F2614E">
      <w:pPr>
        <w:pStyle w:val="NormalHanging12a"/>
      </w:pPr>
      <w:r w:rsidRPr="0012137B">
        <w:t xml:space="preserve">F. </w:t>
      </w:r>
      <w:r w:rsidRPr="0012137B">
        <w:tab/>
        <w:t>mając na uwadze, że europejski przemysł motoryzacyjny i jego dostawcy stoją w obliczu bezprecedensowej presji ze strony zarówno zewnętrznych, jak i wewnętrznych wyzwań, takich jak zakłócenia konkurencji, zwłaszcza w sektorze pojazdów elektrycznych z powodu nieuczciwego subsydiowania przez Chiny, i wysokie koszty energii spowodowane restrukturyzacją na dużą skalę;</w:t>
      </w:r>
    </w:p>
    <w:p w14:paraId="511E2EDE" w14:textId="77777777" w:rsidR="00F2614E" w:rsidRPr="0012137B" w:rsidRDefault="00F2614E" w:rsidP="00F2614E">
      <w:pPr>
        <w:pStyle w:val="NormalHanging12a"/>
        <w:jc w:val="both"/>
      </w:pPr>
      <w:r w:rsidRPr="0012137B">
        <w:t>G.</w:t>
      </w:r>
      <w:r w:rsidRPr="0012137B">
        <w:rPr>
          <w:color w:val="7030A0"/>
        </w:rPr>
        <w:tab/>
      </w:r>
      <w:r w:rsidRPr="0012137B">
        <w:t xml:space="preserve">mając na uwadze, że firma Van </w:t>
      </w:r>
      <w:proofErr w:type="spellStart"/>
      <w:r w:rsidRPr="0012137B">
        <w:t>Hool</w:t>
      </w:r>
      <w:proofErr w:type="spellEnd"/>
      <w:r w:rsidRPr="0012137B">
        <w:t xml:space="preserve"> specjalizowała się w produkcji autobusów, autokarów, trolejbusów i przyczep; mając na uwadze, że malejący popyt na autokary po pandemii doprowadził do spadku średniej sprzedaży produktów Van </w:t>
      </w:r>
      <w:proofErr w:type="spellStart"/>
      <w:r w:rsidRPr="0012137B">
        <w:t>Hool</w:t>
      </w:r>
      <w:proofErr w:type="spellEnd"/>
      <w:r w:rsidRPr="0012137B">
        <w:t xml:space="preserve"> w Europie i gwałtownego spadku rentowności; mając na uwadze, że rosnąca inflacja i zakłócenia w łańcuchach dostaw dodatkowo zwiększyły presję na marże przedsiębiorstwa; </w:t>
      </w:r>
    </w:p>
    <w:p w14:paraId="0DF8E114" w14:textId="77777777" w:rsidR="00F2614E" w:rsidRPr="0012137B" w:rsidRDefault="00F2614E" w:rsidP="00F2614E">
      <w:pPr>
        <w:pStyle w:val="NormalHanging12a"/>
        <w:jc w:val="both"/>
      </w:pPr>
      <w:r w:rsidRPr="0012137B">
        <w:t>H.</w:t>
      </w:r>
      <w:r w:rsidRPr="0012137B">
        <w:tab/>
        <w:t xml:space="preserve">mając na uwadze, że wspomniane przedsiębiorstwo zastosowało, zgodnie z prawem belgijskim, obowiązkową procedurę informowania przedstawicieli pracowników i </w:t>
      </w:r>
      <w:r w:rsidRPr="0012137B">
        <w:lastRenderedPageBreak/>
        <w:t xml:space="preserve">konsultowania się z nimi; mając na uwadze, że wymóg utworzenia jednostki ds. zatrudnienia, która oferuje osobom zwalnianym w ramach zwolnień grupowych program wsparcia zawodowego, nie ma zastosowania w przypadku upadłości; </w:t>
      </w:r>
    </w:p>
    <w:p w14:paraId="1FDF7B5C" w14:textId="77777777" w:rsidR="00F2614E" w:rsidRPr="0012137B" w:rsidRDefault="00F2614E" w:rsidP="00F2614E">
      <w:pPr>
        <w:pStyle w:val="NormalHanging12a"/>
        <w:jc w:val="both"/>
      </w:pPr>
      <w:r w:rsidRPr="0012137B">
        <w:t>I.</w:t>
      </w:r>
      <w:r w:rsidRPr="0012137B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14:paraId="5B8C29A6" w14:textId="77777777" w:rsidR="00F2614E" w:rsidRPr="0012137B" w:rsidRDefault="00F2614E" w:rsidP="00F2614E">
      <w:pPr>
        <w:pStyle w:val="NormalHanging12a"/>
        <w:jc w:val="both"/>
      </w:pPr>
      <w:r w:rsidRPr="0012137B">
        <w:t>J.</w:t>
      </w:r>
      <w:r w:rsidRPr="0012137B">
        <w:tab/>
        <w:t>mając na uwadze, że flamandzkie służby zatrudnienia (VDAB) wypłacają zaliczki na poczet wspomnianych środków i je współfinansują;</w:t>
      </w:r>
    </w:p>
    <w:p w14:paraId="2B26AC1C" w14:textId="77777777" w:rsidR="00F2614E" w:rsidRPr="0012137B" w:rsidRDefault="00F2614E" w:rsidP="00F2614E">
      <w:pPr>
        <w:widowControl/>
        <w:ind w:left="567" w:hanging="567"/>
        <w:rPr>
          <w:szCs w:val="24"/>
        </w:rPr>
      </w:pPr>
      <w:r w:rsidRPr="0012137B">
        <w:t>K.</w:t>
      </w:r>
      <w:r w:rsidRPr="0012137B">
        <w:rPr>
          <w:color w:val="7030A0"/>
        </w:rPr>
        <w:tab/>
      </w:r>
      <w:r w:rsidRPr="0012137B">
        <w:t xml:space="preserve">mając na uwadze, że środki EFG nie mogą przekroczyć maksymalnej rocznej kwoty 30 mln EUR (w cenach z 2018 r.), jak określono w art. 8 rozporządzenia (UE, </w:t>
      </w:r>
      <w:proofErr w:type="spellStart"/>
      <w:r w:rsidRPr="0012137B">
        <w:t>Euratom</w:t>
      </w:r>
      <w:proofErr w:type="spellEnd"/>
      <w:r w:rsidRPr="0012137B">
        <w:t xml:space="preserve">) 2020/2093, zmienionego rozporządzeniem (UE, </w:t>
      </w:r>
      <w:proofErr w:type="spellStart"/>
      <w:r w:rsidRPr="0012137B">
        <w:t>Euratom</w:t>
      </w:r>
      <w:proofErr w:type="spellEnd"/>
      <w:r w:rsidRPr="0012137B">
        <w:t>) 2024/765; mając na uwadze, że zgodnie z zasadą należytego zarządzania finansami niewykorzystane wkłady należy zwracać Komisji;</w:t>
      </w:r>
    </w:p>
    <w:p w14:paraId="05A569BE" w14:textId="77777777" w:rsidR="00F2614E" w:rsidRPr="0012137B" w:rsidRDefault="00F2614E" w:rsidP="00F2614E">
      <w:pPr>
        <w:widowControl/>
        <w:ind w:left="567" w:hanging="567"/>
        <w:rPr>
          <w:szCs w:val="24"/>
        </w:rPr>
      </w:pPr>
    </w:p>
    <w:p w14:paraId="35D66103" w14:textId="77777777" w:rsidR="00F2614E" w:rsidRPr="0012137B" w:rsidRDefault="00F2614E" w:rsidP="00F2614E">
      <w:pPr>
        <w:pStyle w:val="NormalHanging12a"/>
      </w:pPr>
      <w:r w:rsidRPr="0012137B">
        <w:t>1.</w:t>
      </w:r>
      <w:r w:rsidRPr="0012137B">
        <w:tab/>
        <w:t>zgadza się z Komisją, że spełniono warunki wymienione w art. 4 ust. 2 lit. a) rozporządzenia w sprawie EFG i że Belgia ma prawo do wkładu finansowego w wysokości 7 999 015 EUR na mocy tego rozporządzenia, co stanowi 85 % łącznych kosztów wynoszących 9 410 607 EUR (wliczając wydatki na zindywidualizowane usługi w wysokości 9 034 607 EUR oraz wydatki na działania przygotowawcze, zarządzanie, informacje, reklamy, kontrolę i sprawozdawczość w wysokości 376 000 EUR);</w:t>
      </w:r>
    </w:p>
    <w:p w14:paraId="7C547266" w14:textId="77777777" w:rsidR="00F2614E" w:rsidRPr="0012137B" w:rsidRDefault="00F2614E" w:rsidP="00F2614E">
      <w:pPr>
        <w:pStyle w:val="NormalHanging12a"/>
        <w:jc w:val="both"/>
      </w:pPr>
      <w:r w:rsidRPr="0012137B">
        <w:t xml:space="preserve">2. </w:t>
      </w:r>
      <w:r w:rsidRPr="0012137B">
        <w:tab/>
        <w:t xml:space="preserve">stwierdza, że władze Belgii złożyły wniosek 29 października 2024 r. oraz że po przekazaniu przez Belgię dodatkowych informacji Komisja zakończyła ocenę wniosku 26 marca 2025 r. i tego samego dnia przekazała ją Parlamentowi; </w:t>
      </w:r>
    </w:p>
    <w:p w14:paraId="4EB5A9BE" w14:textId="77777777" w:rsidR="00F2614E" w:rsidRPr="0012137B" w:rsidRDefault="00F2614E" w:rsidP="00F2614E">
      <w:pPr>
        <w:pStyle w:val="NormalHanging12a"/>
        <w:jc w:val="both"/>
      </w:pPr>
      <w:r w:rsidRPr="0012137B">
        <w:t>3.</w:t>
      </w:r>
      <w:r w:rsidRPr="0012137B">
        <w:tab/>
        <w:t xml:space="preserve">odnotowuje, że wniosek dotyczy 2411 pracowników zwolnionych z przedsiębiorstwa Van </w:t>
      </w:r>
      <w:proofErr w:type="spellStart"/>
      <w:r w:rsidRPr="0012137B">
        <w:t>Hool</w:t>
      </w:r>
      <w:proofErr w:type="spellEnd"/>
      <w:r w:rsidRPr="0012137B">
        <w:t>; ponadto zauważa, że łącznie pomoc otrzyma 2397 pracowników;</w:t>
      </w:r>
    </w:p>
    <w:p w14:paraId="2A3DAD13" w14:textId="77777777" w:rsidR="00F2614E" w:rsidRPr="0012137B" w:rsidRDefault="00F2614E" w:rsidP="00F2614E">
      <w:pPr>
        <w:pStyle w:val="NormalHanging12a"/>
      </w:pPr>
      <w:r w:rsidRPr="0012137B">
        <w:t>4.</w:t>
      </w:r>
      <w:r w:rsidRPr="0012137B">
        <w:tab/>
        <w:t>podkreśla, że według Federacji Przedsiębiorstw Belgijskich (VBO) sektor przemysłowy w Belgii doświadcza poważnych trudności;</w:t>
      </w:r>
      <w:r w:rsidR="00EF6A9C">
        <w:t xml:space="preserve"> odnotowuje, </w:t>
      </w:r>
      <w:r w:rsidR="00EF6A9C" w:rsidRPr="0012137B">
        <w:t>ż</w:t>
      </w:r>
      <w:r w:rsidR="00EF6A9C">
        <w:t>e</w:t>
      </w:r>
      <w:r w:rsidRPr="0012137B">
        <w:t xml:space="preserve"> w przeszłości odgrywał ważną rolę w gminie Lier, więc pogarszająca się sytuacja ma duży wpływ na miejscowy rynek pracy; podkreśla, że liczba miejsc pracy w przemyśle dostępnych w Lier spadła w 2023 r. o 13 %;</w:t>
      </w:r>
    </w:p>
    <w:p w14:paraId="1B257D95" w14:textId="77777777" w:rsidR="00F2614E" w:rsidRPr="0012137B" w:rsidRDefault="00F2614E" w:rsidP="00F2614E">
      <w:pPr>
        <w:pStyle w:val="NormalHanging12a"/>
      </w:pPr>
      <w:r w:rsidRPr="0012137B">
        <w:t>5.</w:t>
      </w:r>
      <w:r w:rsidRPr="0012137B">
        <w:tab/>
        <w:t>zwraca uwagę na profil zwolnionych pracowników, z których jedna trzecia ma co najmniej 50 lat, a 80 % – wykształcenie średnie lub niższe i umiejętności uznawane za przestarzałe; podkreśla, że biorąc pod uwagę tendencję spadkową wśród dostępnych wakatów i ich dystrybucję geograficzną, pracownicy będą potrzebowali ukierunkowanej pomocy skoncentrowanej na podnoszeniu kwalifikacji i przekwalifikowaniu, aby zwiększyć ich szanse na powrót do pracy; uważa, że zapewnienie zwolnionym pracownikom możliwości zdobycia kwalifikacji niezbędnych do przyszłego zatrudnienia stanowi odpowiedzialność społeczną Unii i państw członkowskich;</w:t>
      </w:r>
    </w:p>
    <w:p w14:paraId="084F8224" w14:textId="77777777" w:rsidR="00F2614E" w:rsidRPr="0012137B" w:rsidRDefault="00F2614E" w:rsidP="00F2614E">
      <w:pPr>
        <w:pStyle w:val="NormalHanging12a"/>
      </w:pPr>
      <w:r w:rsidRPr="0012137B">
        <w:t>6.</w:t>
      </w:r>
      <w:r w:rsidRPr="0012137B">
        <w:tab/>
        <w:t xml:space="preserve">jest zadowolony, że zindywidualizowane usługi, które mają zostać zapewnione </w:t>
      </w:r>
      <w:r w:rsidRPr="0012137B">
        <w:lastRenderedPageBreak/>
        <w:t>pracownikom, obejmują: usługi doradców ds. interwencji socjalnych i rejestrację pracowników, program wsparcia zawodowego, pomoc w poszukiwaniu pracy i pośrednictwo pracy, poradnictwo zawodowe, przekwalifikowanie i szkolenie zawodowe, a także szkolenie w miejscu pracy; podkreśla w szczególności ofertę usług ukierunkowanego wsparcia i indywidualnej oceny, a także szkolenia ICT, które pomagają podnieść kwalifikacje wymagane w cyfrowej epoce przemysłowej;</w:t>
      </w:r>
    </w:p>
    <w:p w14:paraId="6D405DB7" w14:textId="77777777" w:rsidR="00F2614E" w:rsidRPr="0012137B" w:rsidRDefault="00F2614E" w:rsidP="00F2614E">
      <w:pPr>
        <w:pStyle w:val="NormalHanging12a"/>
      </w:pPr>
      <w:r w:rsidRPr="0012137B">
        <w:t>7.</w:t>
      </w:r>
      <w:r w:rsidRPr="0012137B">
        <w:tab/>
        <w:t>stwierdza, że 22 kwietnia 2024 r. Belgia rozpoczęła świadczenie zindywidualizowanych usług na rzecz beneficjentów objętych pomocą, a zatem okres kwalifikowalności do otrzymania wkładu finansowego z EFG będzie trwał od tego dnia do upłynięcia 24 miesięcy od daty wejścia w życie decyzji w sprawie finansowania;</w:t>
      </w:r>
    </w:p>
    <w:p w14:paraId="59582FFD" w14:textId="77777777" w:rsidR="00F2614E" w:rsidRPr="0012137B" w:rsidRDefault="00F2614E" w:rsidP="00F2614E">
      <w:pPr>
        <w:pStyle w:val="NormalHanging12a"/>
        <w:rPr>
          <w:sz w:val="23"/>
          <w:szCs w:val="23"/>
        </w:rPr>
      </w:pPr>
      <w:r w:rsidRPr="0012137B">
        <w:t>8.</w:t>
      </w:r>
      <w:r w:rsidRPr="0012137B">
        <w:tab/>
        <w:t>stwierdza, że Belgia zaczęła ponosić wydatki administracyjne związane z wdrażaniem EFG 14 marca 2024 r. i że takie wydatki kwalifikują się do otrzymania wkładu finansowego z EFG od tego dnia do upłynięcia 31 miesięcy od daty wejścia w życie decyzji w sprawie finansowania;</w:t>
      </w:r>
    </w:p>
    <w:p w14:paraId="2735D627" w14:textId="77777777" w:rsidR="00F2614E" w:rsidRPr="0012137B" w:rsidRDefault="00F2614E" w:rsidP="00F2614E">
      <w:pPr>
        <w:pStyle w:val="NormalHanging12a"/>
      </w:pPr>
      <w:r w:rsidRPr="0012137B">
        <w:t>9.</w:t>
      </w:r>
      <w:r w:rsidRPr="0012137B">
        <w:tab/>
        <w:t>podkreśla, że władze belgijskie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57655675" w14:textId="77777777" w:rsidR="00F2614E" w:rsidRPr="0012137B" w:rsidRDefault="00F2614E" w:rsidP="00F2614E">
      <w:pPr>
        <w:pStyle w:val="NormalHanging12a"/>
      </w:pPr>
      <w:r w:rsidRPr="0012137B">
        <w:t>10.</w:t>
      </w:r>
      <w:r w:rsidRPr="0012137B">
        <w:tab/>
        <w:t>przypomina, że władze belgijskie muszą dopilnować, by równość mężczyzn i kobiet oraz uwzględnianie problematyki płci stanowiły integralną część okresu realizacji i były promowane przez cały ten okres;</w:t>
      </w:r>
    </w:p>
    <w:p w14:paraId="65B29A7F" w14:textId="77777777" w:rsidR="00F2614E" w:rsidRPr="0012137B" w:rsidRDefault="00F2614E" w:rsidP="00F2614E">
      <w:pPr>
        <w:pStyle w:val="NormalHanging12a"/>
      </w:pPr>
      <w:r w:rsidRPr="0012137B">
        <w:t>11.</w:t>
      </w:r>
      <w:r w:rsidRPr="0012137B">
        <w:tab/>
        <w:t>przypomina, że pomoc z EFG nie może zastępować działań, za które na mocy prawa krajowego lub układów zbiorowych odpowiedzialne są przedsiębiorstwa;</w:t>
      </w:r>
    </w:p>
    <w:p w14:paraId="0FDDEBBB" w14:textId="77777777" w:rsidR="00F2614E" w:rsidRPr="0012137B" w:rsidRDefault="00F2614E" w:rsidP="00F2614E">
      <w:pPr>
        <w:pStyle w:val="NormalHanging12a"/>
      </w:pPr>
      <w:r w:rsidRPr="0012137B">
        <w:t>12.</w:t>
      </w:r>
      <w:r w:rsidRPr="0012137B">
        <w:tab/>
        <w:t>przypomina, że władze belgijskie muszą uznać pochodzenie i zagwarantować widoczność unijnego finansowania oraz podkreślać unijną wartość dodaną interwencji przez spójne, skuteczne i ukierunkowane informacje kierowane do różnych grup odbiorców, w tym beneficjentów objętych pomocą, władz lokalnych i regionalnych, partnerów społecznych, mediów i ogółu społeczeństwa;</w:t>
      </w:r>
    </w:p>
    <w:p w14:paraId="4FA9267F" w14:textId="77777777" w:rsidR="00F2614E" w:rsidRPr="0012137B" w:rsidRDefault="00F2614E" w:rsidP="00F2614E">
      <w:pPr>
        <w:pStyle w:val="NormalHanging12a"/>
        <w:jc w:val="both"/>
      </w:pPr>
      <w:r w:rsidRPr="0012137B">
        <w:t>13.</w:t>
      </w:r>
      <w:r w:rsidRPr="0012137B">
        <w:tab/>
        <w:t>zatwierdza decyzję załączoną do rezolucji;</w:t>
      </w:r>
    </w:p>
    <w:p w14:paraId="2736AD81" w14:textId="77777777" w:rsidR="00F2614E" w:rsidRPr="0012137B" w:rsidRDefault="00F2614E" w:rsidP="00F2614E">
      <w:pPr>
        <w:pStyle w:val="NormalHanging12a"/>
        <w:jc w:val="both"/>
      </w:pPr>
      <w:r w:rsidRPr="0012137B">
        <w:t>14.</w:t>
      </w:r>
      <w:r w:rsidRPr="0012137B">
        <w:tab/>
        <w:t>zobowiązuje swoją przewodniczącą do podpisania wraz z przewodniczącym Rady decyzji i zapewnienia jej publikacji w Dzienniku Urzędowym Unii Europejskiej;</w:t>
      </w:r>
    </w:p>
    <w:p w14:paraId="77AAFFC2" w14:textId="77777777" w:rsidR="00F2614E" w:rsidRPr="0012137B" w:rsidRDefault="00F2614E" w:rsidP="00F2614E">
      <w:pPr>
        <w:pStyle w:val="NormalHanging12a"/>
        <w:sectPr w:rsidR="00F2614E" w:rsidRPr="0012137B" w:rsidSect="001213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2137B">
        <w:t>15.</w:t>
      </w:r>
      <w:r w:rsidRPr="0012137B">
        <w:tab/>
        <w:t>zobowiązuje swoją przewodniczącą do przekazania rezolucji wraz z załącznikiem Radzie i Komisji.</w:t>
      </w:r>
    </w:p>
    <w:p w14:paraId="7622A3C5" w14:textId="77777777" w:rsidR="00262A21" w:rsidRPr="00262A21" w:rsidRDefault="00262A21" w:rsidP="00F2614E">
      <w:pPr>
        <w:pStyle w:val="PageHeading"/>
        <w:rPr>
          <w:rFonts w:ascii="Times New Roman" w:hAnsi="Times New Roman" w:cs="Times New Roman"/>
        </w:rPr>
      </w:pPr>
      <w:bookmarkStart w:id="6" w:name="_Toc197351423"/>
      <w:r w:rsidRPr="00262A21">
        <w:rPr>
          <w:rFonts w:ascii="Times New Roman" w:hAnsi="Times New Roman" w:cs="Times New Roman"/>
        </w:rPr>
        <w:lastRenderedPageBreak/>
        <w:t>ZAŁĄCZNIK</w:t>
      </w:r>
    </w:p>
    <w:p w14:paraId="29F1A4CB" w14:textId="77777777" w:rsidR="00F2614E" w:rsidRPr="00262A21" w:rsidRDefault="00F2614E" w:rsidP="00F2614E">
      <w:pPr>
        <w:pStyle w:val="PageHeading"/>
        <w:rPr>
          <w:rFonts w:ascii="Times New Roman" w:hAnsi="Times New Roman" w:cs="Times New Roman"/>
          <w:noProof/>
        </w:rPr>
      </w:pPr>
      <w:r w:rsidRPr="00262A21">
        <w:rPr>
          <w:rFonts w:ascii="Times New Roman" w:hAnsi="Times New Roman" w:cs="Times New Roman"/>
        </w:rPr>
        <w:t>DECYZJA PARLAMENTU EUROPEJSKIEGO I RADY</w:t>
      </w:r>
      <w:bookmarkEnd w:id="6"/>
    </w:p>
    <w:p w14:paraId="364BCCB3" w14:textId="77777777" w:rsidR="00F2614E" w:rsidRDefault="00F2614E" w:rsidP="00262A21">
      <w:pPr>
        <w:pStyle w:val="NormalBold24a"/>
        <w:jc w:val="center"/>
      </w:pPr>
      <w:r w:rsidRPr="00262A21">
        <w:t>w sprawie uruchomienia Europejskiego Funduszu Dostosowania do Globalizacji dla Zwalnianych Pracowników w następstwie wniosku</w:t>
      </w:r>
      <w:r w:rsidRPr="0012137B">
        <w:t xml:space="preserve"> złożonego przez Belgię – EGF/2024/003 BE/Van </w:t>
      </w:r>
      <w:proofErr w:type="spellStart"/>
      <w:r w:rsidRPr="0012137B">
        <w:t>Hool</w:t>
      </w:r>
      <w:proofErr w:type="spellEnd"/>
    </w:p>
    <w:p w14:paraId="14F8B769" w14:textId="1EEF85C4" w:rsidR="00262A21" w:rsidRPr="00262A21" w:rsidRDefault="00262A21" w:rsidP="00F2614E">
      <w:pPr>
        <w:pStyle w:val="NormalBold24a"/>
        <w:rPr>
          <w:b w:val="0"/>
        </w:rPr>
      </w:pPr>
      <w:r w:rsidRPr="00262A21">
        <w:rPr>
          <w:b w:val="0"/>
          <w:i/>
        </w:rPr>
        <w:t xml:space="preserve">(Jako że pomiędzy Parlamentem i Radą osiągnięte zostało porozumienie, stanowisko Parlamentu odpowiada ostatecznej wersji aktu prawnego, decyzji </w:t>
      </w:r>
      <w:r>
        <w:rPr>
          <w:b w:val="0"/>
          <w:i/>
        </w:rPr>
        <w:t>(UE) 2025/</w:t>
      </w:r>
      <w:r w:rsidR="0054154B">
        <w:rPr>
          <w:b w:val="0"/>
          <w:i/>
        </w:rPr>
        <w:t>1</w:t>
      </w:r>
      <w:r>
        <w:rPr>
          <w:b w:val="0"/>
          <w:i/>
        </w:rPr>
        <w:t>018</w:t>
      </w:r>
      <w:r w:rsidRPr="00262A21">
        <w:rPr>
          <w:b w:val="0"/>
          <w:i/>
        </w:rPr>
        <w:t>.)</w:t>
      </w:r>
    </w:p>
    <w:sectPr w:rsidR="00262A21" w:rsidRPr="00262A21" w:rsidSect="001213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D4127" w14:textId="77777777" w:rsidR="004273DB" w:rsidRPr="0012137B" w:rsidRDefault="004273DB">
      <w:r w:rsidRPr="0012137B">
        <w:separator/>
      </w:r>
    </w:p>
  </w:endnote>
  <w:endnote w:type="continuationSeparator" w:id="0">
    <w:p w14:paraId="656C6575" w14:textId="77777777" w:rsidR="004273DB" w:rsidRPr="0012137B" w:rsidRDefault="004273DB">
      <w:r w:rsidRPr="001213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5F05" w14:textId="77777777" w:rsidR="00F2614E" w:rsidRPr="0012137B" w:rsidRDefault="00F2614E" w:rsidP="006E3EA9">
    <w:pPr>
      <w:pStyle w:val="EPFooter"/>
    </w:pPr>
    <w:r w:rsidRPr="0012137B">
      <w:t>PE</w:t>
    </w:r>
    <w:r w:rsidRPr="0012137B">
      <w:rPr>
        <w:rStyle w:val="HideTWBExt"/>
      </w:rPr>
      <w:t>&lt;</w:t>
    </w:r>
    <w:proofErr w:type="spellStart"/>
    <w:r w:rsidRPr="0012137B">
      <w:rPr>
        <w:rStyle w:val="HideTWBExt"/>
      </w:rPr>
      <w:t>NoPE</w:t>
    </w:r>
    <w:proofErr w:type="spellEnd"/>
    <w:r w:rsidRPr="0012137B">
      <w:rPr>
        <w:rStyle w:val="HideTWBExt"/>
      </w:rPr>
      <w:t>&gt;</w:t>
    </w:r>
    <w:r w:rsidRPr="0012137B">
      <w:t>771.884</w:t>
    </w:r>
    <w:r w:rsidRPr="0012137B">
      <w:rPr>
        <w:rStyle w:val="HideTWBExt"/>
      </w:rPr>
      <w:t>&lt;/</w:t>
    </w:r>
    <w:proofErr w:type="spellStart"/>
    <w:r w:rsidRPr="0012137B">
      <w:rPr>
        <w:rStyle w:val="HideTWBExt"/>
      </w:rPr>
      <w:t>NoPE</w:t>
    </w:r>
    <w:proofErr w:type="spellEnd"/>
    <w:r w:rsidRPr="0012137B">
      <w:rPr>
        <w:rStyle w:val="HideTWBExt"/>
      </w:rPr>
      <w:t>&gt;&lt;Version&gt;</w:t>
    </w:r>
    <w:r w:rsidRPr="0012137B">
      <w:t>v03-00</w:t>
    </w:r>
    <w:r w:rsidRPr="0012137B">
      <w:rPr>
        <w:rStyle w:val="HideTWBExt"/>
      </w:rPr>
      <w:t>&lt;/Version&gt;</w:t>
    </w:r>
    <w:r w:rsidRPr="0012137B">
      <w:tab/>
    </w:r>
    <w:r w:rsidRPr="0012137B">
      <w:fldChar w:fldCharType="begin"/>
    </w:r>
    <w:r w:rsidRPr="0012137B">
      <w:instrText xml:space="preserve"> PAGE  \* MERGEFORMAT </w:instrText>
    </w:r>
    <w:r w:rsidRPr="0012137B">
      <w:fldChar w:fldCharType="separate"/>
    </w:r>
    <w:r w:rsidR="0012137B" w:rsidRPr="0012137B">
      <w:rPr>
        <w:noProof/>
      </w:rPr>
      <w:t>2</w:t>
    </w:r>
    <w:r w:rsidRPr="0012137B">
      <w:fldChar w:fldCharType="end"/>
    </w:r>
    <w:r w:rsidRPr="0012137B">
      <w:t>/</w:t>
    </w:r>
    <w:r w:rsidR="00AF14FD">
      <w:fldChar w:fldCharType="begin"/>
    </w:r>
    <w:r w:rsidR="00AF14FD">
      <w:instrText xml:space="preserve"> NUMPAGES  \* MERGEFORMAT </w:instrText>
    </w:r>
    <w:r w:rsidR="00AF14FD">
      <w:fldChar w:fldCharType="separate"/>
    </w:r>
    <w:r w:rsidR="0012137B" w:rsidRPr="0012137B">
      <w:rPr>
        <w:noProof/>
      </w:rPr>
      <w:t>8</w:t>
    </w:r>
    <w:r w:rsidR="00AF14FD">
      <w:rPr>
        <w:noProof/>
      </w:rPr>
      <w:fldChar w:fldCharType="end"/>
    </w:r>
    <w:r w:rsidRPr="0012137B">
      <w:tab/>
    </w:r>
    <w:r w:rsidRPr="0012137B">
      <w:rPr>
        <w:rStyle w:val="HideTWBExt"/>
      </w:rPr>
      <w:t>&lt;PathFdR&gt;</w:t>
    </w:r>
    <w:r w:rsidRPr="0012137B">
      <w:t>RR\1320028PL.docx</w:t>
    </w:r>
    <w:r w:rsidRPr="0012137B">
      <w:rPr>
        <w:rStyle w:val="HideTWBExt"/>
      </w:rPr>
      <w:t>&lt;/</w:t>
    </w:r>
    <w:proofErr w:type="spellStart"/>
    <w:r w:rsidRPr="0012137B">
      <w:rPr>
        <w:rStyle w:val="HideTWBExt"/>
      </w:rPr>
      <w:t>PathFdR</w:t>
    </w:r>
    <w:proofErr w:type="spellEnd"/>
    <w:r w:rsidRPr="0012137B">
      <w:rPr>
        <w:rStyle w:val="HideTWBExt"/>
      </w:rPr>
      <w:t>&gt;</w:t>
    </w:r>
  </w:p>
  <w:p w14:paraId="6640F431" w14:textId="77777777" w:rsidR="00F2614E" w:rsidRPr="0012137B" w:rsidRDefault="00F2614E" w:rsidP="006E3EA9">
    <w:pPr>
      <w:pStyle w:val="EPFooter2"/>
    </w:pPr>
    <w:r w:rsidRPr="0012137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B7D3" w14:textId="77777777" w:rsidR="00F2614E" w:rsidRPr="0012137B" w:rsidRDefault="00F2614E" w:rsidP="006E3EA9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0165" w14:textId="77777777" w:rsidR="00F2614E" w:rsidRPr="0012137B" w:rsidRDefault="00F2614E" w:rsidP="006E3EA9">
    <w:pPr>
      <w:pStyle w:val="EPFooter"/>
    </w:pPr>
    <w:r w:rsidRPr="0012137B">
      <w:rPr>
        <w:rStyle w:val="HideTWBExt"/>
      </w:rPr>
      <w:t>&lt;PathFdR&gt;</w:t>
    </w:r>
    <w:r w:rsidRPr="0012137B">
      <w:t>RR\1320028PL.docx</w:t>
    </w:r>
    <w:r w:rsidRPr="0012137B">
      <w:rPr>
        <w:rStyle w:val="HideTWBExt"/>
      </w:rPr>
      <w:t>&lt;/</w:t>
    </w:r>
    <w:proofErr w:type="spellStart"/>
    <w:r w:rsidRPr="0012137B">
      <w:rPr>
        <w:rStyle w:val="HideTWBExt"/>
      </w:rPr>
      <w:t>PathFdR</w:t>
    </w:r>
    <w:proofErr w:type="spellEnd"/>
    <w:r w:rsidRPr="0012137B">
      <w:rPr>
        <w:rStyle w:val="HideTWBExt"/>
      </w:rPr>
      <w:t>&gt;</w:t>
    </w:r>
    <w:r w:rsidRPr="0012137B">
      <w:tab/>
    </w:r>
    <w:r w:rsidRPr="0012137B">
      <w:tab/>
      <w:t>PE</w:t>
    </w:r>
    <w:r w:rsidRPr="0012137B">
      <w:rPr>
        <w:rStyle w:val="HideTWBExt"/>
      </w:rPr>
      <w:t>&lt;</w:t>
    </w:r>
    <w:proofErr w:type="spellStart"/>
    <w:r w:rsidRPr="0012137B">
      <w:rPr>
        <w:rStyle w:val="HideTWBExt"/>
      </w:rPr>
      <w:t>NoPE</w:t>
    </w:r>
    <w:proofErr w:type="spellEnd"/>
    <w:r w:rsidRPr="0012137B">
      <w:rPr>
        <w:rStyle w:val="HideTWBExt"/>
      </w:rPr>
      <w:t>&gt;</w:t>
    </w:r>
    <w:r w:rsidRPr="0012137B">
      <w:t>771.884</w:t>
    </w:r>
    <w:r w:rsidRPr="0012137B">
      <w:rPr>
        <w:rStyle w:val="HideTWBExt"/>
      </w:rPr>
      <w:t>&lt;/</w:t>
    </w:r>
    <w:proofErr w:type="spellStart"/>
    <w:r w:rsidRPr="0012137B">
      <w:rPr>
        <w:rStyle w:val="HideTWBExt"/>
      </w:rPr>
      <w:t>NoPE</w:t>
    </w:r>
    <w:proofErr w:type="spellEnd"/>
    <w:r w:rsidRPr="0012137B">
      <w:rPr>
        <w:rStyle w:val="HideTWBExt"/>
      </w:rPr>
      <w:t>&gt;&lt;Version&gt;</w:t>
    </w:r>
    <w:r w:rsidRPr="0012137B">
      <w:t>v03-00</w:t>
    </w:r>
    <w:r w:rsidRPr="0012137B">
      <w:rPr>
        <w:rStyle w:val="HideTWBExt"/>
      </w:rPr>
      <w:t>&lt;/Version&gt;</w:t>
    </w:r>
  </w:p>
  <w:p w14:paraId="3C145C74" w14:textId="77777777" w:rsidR="00F2614E" w:rsidRPr="0012137B" w:rsidRDefault="00F2614E" w:rsidP="006E3EA9">
    <w:pPr>
      <w:pStyle w:val="EPFooter2"/>
    </w:pPr>
    <w:r w:rsidRPr="0012137B">
      <w:t>PL</w:t>
    </w:r>
    <w:r w:rsidRPr="0012137B">
      <w:tab/>
    </w:r>
    <w:r w:rsidRPr="0012137B">
      <w:rPr>
        <w:b w:val="0"/>
        <w:i/>
        <w:color w:val="C0C0C0"/>
        <w:sz w:val="22"/>
      </w:rPr>
      <w:t>Zjednoczona w różnorodności</w:t>
    </w:r>
    <w:r w:rsidRPr="0012137B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8C8D" w14:textId="77777777" w:rsidR="00064002" w:rsidRPr="0012137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512" w14:textId="77777777" w:rsidR="00064002" w:rsidRPr="0012137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894B1" w14:textId="77777777" w:rsidR="00064002" w:rsidRPr="001213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D98F7" w14:textId="77777777" w:rsidR="004273DB" w:rsidRPr="0012137B" w:rsidRDefault="004273DB">
      <w:r w:rsidRPr="0012137B">
        <w:separator/>
      </w:r>
    </w:p>
  </w:footnote>
  <w:footnote w:type="continuationSeparator" w:id="0">
    <w:p w14:paraId="18C621F1" w14:textId="77777777" w:rsidR="004273DB" w:rsidRPr="0012137B" w:rsidRDefault="004273DB">
      <w:r w:rsidRPr="0012137B">
        <w:continuationSeparator/>
      </w:r>
    </w:p>
  </w:footnote>
  <w:footnote w:id="1">
    <w:p w14:paraId="4AC709E7" w14:textId="77777777" w:rsidR="00F2614E" w:rsidRPr="00AF14FD" w:rsidRDefault="00F2614E" w:rsidP="0012137B">
      <w:pPr>
        <w:pStyle w:val="FootnoteText"/>
        <w:ind w:left="567" w:hanging="567"/>
        <w:rPr>
          <w:sz w:val="24"/>
          <w:szCs w:val="24"/>
          <w:lang w:val="pl-PL"/>
        </w:rPr>
      </w:pPr>
      <w:r w:rsidRPr="0012137B">
        <w:rPr>
          <w:rStyle w:val="FootnoteReference"/>
          <w:sz w:val="24"/>
          <w:lang w:val="pl-PL"/>
        </w:rPr>
        <w:footnoteRef/>
      </w:r>
      <w:r w:rsidR="0012137B" w:rsidRPr="0012137B">
        <w:rPr>
          <w:sz w:val="24"/>
          <w:lang w:val="pl-PL"/>
        </w:rPr>
        <w:t xml:space="preserve"> </w:t>
      </w:r>
      <w:r w:rsidR="0012137B" w:rsidRPr="0012137B">
        <w:rPr>
          <w:sz w:val="24"/>
          <w:lang w:val="pl-PL"/>
        </w:rPr>
        <w:tab/>
      </w:r>
      <w:r w:rsidRPr="00AF14FD">
        <w:rPr>
          <w:sz w:val="24"/>
          <w:szCs w:val="24"/>
          <w:lang w:val="pl-PL"/>
        </w:rPr>
        <w:t xml:space="preserve">Dz.U. L 153 z </w:t>
      </w:r>
      <w:proofErr w:type="gramStart"/>
      <w:r w:rsidRPr="00AF14FD">
        <w:rPr>
          <w:sz w:val="24"/>
          <w:szCs w:val="24"/>
          <w:lang w:val="pl-PL"/>
        </w:rPr>
        <w:t>3.5.2021</w:t>
      </w:r>
      <w:proofErr w:type="gramEnd"/>
      <w:r w:rsidRPr="00AF14FD">
        <w:rPr>
          <w:sz w:val="24"/>
          <w:szCs w:val="24"/>
          <w:lang w:val="pl-PL"/>
        </w:rPr>
        <w:t xml:space="preserve">, s. 48, ELI: </w:t>
      </w:r>
      <w:hyperlink r:id="rId1" w:history="1">
        <w:r w:rsidR="00EF6A9C" w:rsidRPr="00AF14FD">
          <w:rPr>
            <w:rStyle w:val="Hyperlink"/>
            <w:sz w:val="24"/>
            <w:szCs w:val="24"/>
            <w:lang w:val="pl-PL"/>
          </w:rPr>
          <w:t>http://data.europa.eu/eli/reg/2021/691/oj</w:t>
        </w:r>
      </w:hyperlink>
      <w:r w:rsidRPr="00AF14FD">
        <w:rPr>
          <w:sz w:val="24"/>
          <w:szCs w:val="24"/>
          <w:lang w:val="pl-PL"/>
        </w:rPr>
        <w:t>.</w:t>
      </w:r>
    </w:p>
  </w:footnote>
  <w:footnote w:id="2">
    <w:p w14:paraId="50D3BA49" w14:textId="77777777" w:rsidR="00F2614E" w:rsidRPr="00AF14FD" w:rsidRDefault="00F2614E" w:rsidP="0012137B">
      <w:pPr>
        <w:pStyle w:val="FootnoteText"/>
        <w:ind w:left="567" w:hanging="567"/>
        <w:rPr>
          <w:sz w:val="24"/>
          <w:szCs w:val="24"/>
          <w:lang w:val="pl-PL"/>
        </w:rPr>
      </w:pPr>
      <w:r w:rsidRPr="00AF14FD">
        <w:rPr>
          <w:rStyle w:val="FootnoteReference"/>
          <w:sz w:val="24"/>
          <w:szCs w:val="24"/>
          <w:lang w:val="pl-PL"/>
        </w:rPr>
        <w:footnoteRef/>
      </w:r>
      <w:r w:rsidR="0012137B" w:rsidRPr="00AF14FD">
        <w:rPr>
          <w:sz w:val="24"/>
          <w:szCs w:val="24"/>
          <w:lang w:val="pl-PL"/>
        </w:rPr>
        <w:t xml:space="preserve"> </w:t>
      </w:r>
      <w:r w:rsidR="0012137B" w:rsidRPr="00AF14FD">
        <w:rPr>
          <w:sz w:val="24"/>
          <w:szCs w:val="24"/>
          <w:lang w:val="pl-PL"/>
        </w:rPr>
        <w:tab/>
      </w:r>
      <w:r w:rsidRPr="00AF14FD">
        <w:rPr>
          <w:sz w:val="24"/>
          <w:szCs w:val="24"/>
          <w:lang w:val="pl-PL"/>
        </w:rPr>
        <w:t xml:space="preserve">Dz.U. L 433 I z 22.12.2020, s. 11, ELI: </w:t>
      </w:r>
      <w:hyperlink r:id="rId2" w:history="1">
        <w:r w:rsidR="00EF6A9C" w:rsidRPr="00AF14FD">
          <w:rPr>
            <w:rStyle w:val="Hyperlink"/>
            <w:sz w:val="24"/>
            <w:szCs w:val="24"/>
            <w:lang w:val="pl-PL"/>
          </w:rPr>
          <w:t>http://data.europa.eu/eli/reg/2020/2093/oj</w:t>
        </w:r>
      </w:hyperlink>
      <w:r w:rsidRPr="00AF14FD">
        <w:rPr>
          <w:sz w:val="24"/>
          <w:szCs w:val="24"/>
          <w:lang w:val="pl-PL"/>
        </w:rPr>
        <w:t>.</w:t>
      </w:r>
    </w:p>
  </w:footnote>
  <w:footnote w:id="3">
    <w:p w14:paraId="659E546A" w14:textId="6CFB28C5" w:rsidR="00F2614E" w:rsidRPr="00AF14FD" w:rsidRDefault="00F2614E" w:rsidP="0012137B">
      <w:pPr>
        <w:pStyle w:val="FootnoteText"/>
        <w:ind w:left="567" w:hanging="567"/>
        <w:rPr>
          <w:sz w:val="24"/>
          <w:szCs w:val="24"/>
          <w:lang w:val="pl-PL"/>
        </w:rPr>
      </w:pPr>
      <w:r w:rsidRPr="00AF14FD">
        <w:rPr>
          <w:rStyle w:val="FootnoteReference"/>
          <w:sz w:val="24"/>
          <w:szCs w:val="24"/>
          <w:lang w:val="pl-PL"/>
        </w:rPr>
        <w:footnoteRef/>
      </w:r>
      <w:r w:rsidR="0012137B" w:rsidRPr="00AF14FD">
        <w:rPr>
          <w:sz w:val="24"/>
          <w:szCs w:val="24"/>
          <w:lang w:val="pl-PL"/>
        </w:rPr>
        <w:t xml:space="preserve"> </w:t>
      </w:r>
      <w:r w:rsidR="0012137B" w:rsidRPr="00AF14FD">
        <w:rPr>
          <w:sz w:val="24"/>
          <w:szCs w:val="24"/>
          <w:lang w:val="pl-PL"/>
        </w:rPr>
        <w:tab/>
      </w:r>
      <w:r w:rsidRPr="00AF14FD">
        <w:rPr>
          <w:sz w:val="24"/>
          <w:szCs w:val="24"/>
          <w:lang w:val="pl-PL"/>
        </w:rPr>
        <w:t xml:space="preserve">Rozporządzenie Rady (UE, </w:t>
      </w:r>
      <w:proofErr w:type="spellStart"/>
      <w:r w:rsidRPr="00AF14FD">
        <w:rPr>
          <w:sz w:val="24"/>
          <w:szCs w:val="24"/>
          <w:lang w:val="pl-PL"/>
        </w:rPr>
        <w:t>Euratom</w:t>
      </w:r>
      <w:proofErr w:type="spellEnd"/>
      <w:r w:rsidRPr="00AF14FD">
        <w:rPr>
          <w:sz w:val="24"/>
          <w:szCs w:val="24"/>
          <w:lang w:val="pl-PL"/>
        </w:rPr>
        <w:t xml:space="preserve">) 2024/765 z dnia 29 lutego 2024 r. w sprawie zmiany rozporządzenia (UE, </w:t>
      </w:r>
      <w:proofErr w:type="spellStart"/>
      <w:r w:rsidRPr="00AF14FD">
        <w:rPr>
          <w:sz w:val="24"/>
          <w:szCs w:val="24"/>
          <w:lang w:val="pl-PL"/>
        </w:rPr>
        <w:t>Euratom</w:t>
      </w:r>
      <w:proofErr w:type="spellEnd"/>
      <w:r w:rsidRPr="00AF14FD">
        <w:rPr>
          <w:sz w:val="24"/>
          <w:szCs w:val="24"/>
          <w:lang w:val="pl-PL"/>
        </w:rPr>
        <w:t>) 2020/2093 określającego wieloletnie ramy finansowe na lata 2021–2027 (Dz.U. L, 2024/765</w:t>
      </w:r>
      <w:r w:rsidR="00AF14FD" w:rsidRPr="00AF14FD">
        <w:rPr>
          <w:sz w:val="24"/>
          <w:szCs w:val="24"/>
          <w:lang w:val="pl-PL"/>
        </w:rPr>
        <w:t xml:space="preserve">, </w:t>
      </w:r>
      <w:proofErr w:type="gramStart"/>
      <w:r w:rsidRPr="00AF14FD">
        <w:rPr>
          <w:sz w:val="24"/>
          <w:szCs w:val="24"/>
          <w:lang w:val="pl-PL"/>
        </w:rPr>
        <w:t>29.2.2024</w:t>
      </w:r>
      <w:proofErr w:type="gramEnd"/>
      <w:r w:rsidRPr="00AF14FD">
        <w:rPr>
          <w:sz w:val="24"/>
          <w:szCs w:val="24"/>
          <w:lang w:val="pl-PL"/>
        </w:rPr>
        <w:t xml:space="preserve">, </w:t>
      </w:r>
      <w:r w:rsidRPr="00AF14FD">
        <w:rPr>
          <w:rStyle w:val="Emphasis"/>
          <w:color w:val="333333"/>
          <w:sz w:val="24"/>
          <w:szCs w:val="24"/>
          <w:shd w:val="clear" w:color="auto" w:fill="FFFFFF"/>
          <w:lang w:val="pl-PL"/>
        </w:rPr>
        <w:t xml:space="preserve">ELI: </w:t>
      </w:r>
      <w:hyperlink r:id="rId3" w:history="1">
        <w:r w:rsidR="00EF6A9C" w:rsidRPr="00AF14FD">
          <w:rPr>
            <w:rStyle w:val="Hyperlink"/>
            <w:sz w:val="24"/>
            <w:szCs w:val="24"/>
            <w:shd w:val="clear" w:color="auto" w:fill="FFFFFF"/>
            <w:lang w:val="pl-PL"/>
          </w:rPr>
          <w:t>http://data.europa.eu/eli/reg/2024/765/oj</w:t>
        </w:r>
      </w:hyperlink>
      <w:r w:rsidRPr="00AF14FD">
        <w:rPr>
          <w:rStyle w:val="Emphasis"/>
          <w:color w:val="333333"/>
          <w:sz w:val="24"/>
          <w:szCs w:val="24"/>
          <w:shd w:val="clear" w:color="auto" w:fill="FFFFFF"/>
          <w:lang w:val="pl-PL"/>
        </w:rPr>
        <w:t>).</w:t>
      </w:r>
    </w:p>
  </w:footnote>
  <w:footnote w:id="4">
    <w:p w14:paraId="061954CE" w14:textId="77777777" w:rsidR="00F2614E" w:rsidRPr="0012137B" w:rsidRDefault="00F2614E" w:rsidP="0012137B">
      <w:pPr>
        <w:pStyle w:val="FootnoteText"/>
        <w:ind w:left="567" w:hanging="567"/>
        <w:rPr>
          <w:sz w:val="24"/>
          <w:lang w:val="pl-PL"/>
        </w:rPr>
      </w:pPr>
      <w:r w:rsidRPr="0012137B">
        <w:rPr>
          <w:rStyle w:val="FootnoteReference"/>
          <w:sz w:val="24"/>
          <w:lang w:val="pl-PL"/>
        </w:rPr>
        <w:footnoteRef/>
      </w:r>
      <w:r w:rsidR="0012137B" w:rsidRPr="0012137B">
        <w:rPr>
          <w:sz w:val="24"/>
          <w:lang w:val="pl-PL"/>
        </w:rPr>
        <w:t xml:space="preserve"> </w:t>
      </w:r>
      <w:r w:rsidR="0012137B" w:rsidRPr="0012137B">
        <w:rPr>
          <w:sz w:val="24"/>
          <w:lang w:val="pl-PL"/>
        </w:rPr>
        <w:tab/>
      </w:r>
      <w:r w:rsidRPr="0012137B">
        <w:rPr>
          <w:sz w:val="24"/>
          <w:lang w:val="pl-PL"/>
        </w:rPr>
        <w:t>Dz.U. L 433 I z 22.12.2020, s. 28, ELI: http://data.europa.eu/eli/agree_interinstit/2020/1222/oj.</w:t>
      </w:r>
    </w:p>
  </w:footnote>
  <w:footnote w:id="5">
    <w:p w14:paraId="14D724B3" w14:textId="77777777" w:rsidR="00F2614E" w:rsidRPr="0012137B" w:rsidRDefault="00F2614E" w:rsidP="0012137B">
      <w:pPr>
        <w:pStyle w:val="FootnoteText"/>
        <w:ind w:left="567" w:hanging="567"/>
        <w:rPr>
          <w:sz w:val="24"/>
          <w:lang w:val="pl-PL"/>
        </w:rPr>
      </w:pPr>
      <w:r w:rsidRPr="0012137B">
        <w:rPr>
          <w:rStyle w:val="FootnoteReference"/>
          <w:sz w:val="24"/>
          <w:lang w:val="pl-PL"/>
        </w:rPr>
        <w:footnoteRef/>
      </w:r>
      <w:r w:rsidR="0012137B" w:rsidRPr="0012137B">
        <w:rPr>
          <w:sz w:val="24"/>
          <w:lang w:val="pl-PL"/>
        </w:rPr>
        <w:t xml:space="preserve"> </w:t>
      </w:r>
      <w:r w:rsidR="0012137B" w:rsidRPr="0012137B">
        <w:rPr>
          <w:sz w:val="24"/>
          <w:lang w:val="pl-PL"/>
        </w:rPr>
        <w:tab/>
      </w:r>
      <w:r w:rsidRPr="0012137B">
        <w:rPr>
          <w:sz w:val="24"/>
          <w:lang w:val="pl-PL"/>
        </w:rPr>
        <w:t>W rozumieniu art. 3 rozporządzenia w sprawie 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B2D8" w14:textId="77777777" w:rsidR="00F2614E" w:rsidRPr="0012137B" w:rsidRDefault="00F261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B0AC" w14:textId="77777777" w:rsidR="00F2614E" w:rsidRPr="0012137B" w:rsidRDefault="00F261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E0098" w14:textId="77777777" w:rsidR="00F2614E" w:rsidRPr="0012137B" w:rsidRDefault="00F261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A6264" w14:textId="77777777" w:rsidR="00064002" w:rsidRPr="0012137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EE1F" w14:textId="77777777" w:rsidR="00064002" w:rsidRPr="0012137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AADC" w14:textId="77777777" w:rsidR="00064002" w:rsidRPr="001213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0261282">
    <w:abstractNumId w:val="9"/>
  </w:num>
  <w:num w:numId="2" w16cid:durableId="817310465">
    <w:abstractNumId w:val="9"/>
  </w:num>
  <w:num w:numId="3" w16cid:durableId="507140358">
    <w:abstractNumId w:val="7"/>
  </w:num>
  <w:num w:numId="4" w16cid:durableId="565848060">
    <w:abstractNumId w:val="7"/>
  </w:num>
  <w:num w:numId="5" w16cid:durableId="103382021">
    <w:abstractNumId w:val="6"/>
  </w:num>
  <w:num w:numId="6" w16cid:durableId="39601159">
    <w:abstractNumId w:val="6"/>
  </w:num>
  <w:num w:numId="7" w16cid:durableId="512382195">
    <w:abstractNumId w:val="5"/>
  </w:num>
  <w:num w:numId="8" w16cid:durableId="890386926">
    <w:abstractNumId w:val="5"/>
  </w:num>
  <w:num w:numId="9" w16cid:durableId="1103184747">
    <w:abstractNumId w:val="4"/>
  </w:num>
  <w:num w:numId="10" w16cid:durableId="336738860">
    <w:abstractNumId w:val="4"/>
  </w:num>
  <w:num w:numId="11" w16cid:durableId="1517041645">
    <w:abstractNumId w:val="8"/>
  </w:num>
  <w:num w:numId="12" w16cid:durableId="1840802113">
    <w:abstractNumId w:val="8"/>
  </w:num>
  <w:num w:numId="13" w16cid:durableId="1018434323">
    <w:abstractNumId w:val="3"/>
  </w:num>
  <w:num w:numId="14" w16cid:durableId="2035687116">
    <w:abstractNumId w:val="3"/>
  </w:num>
  <w:num w:numId="15" w16cid:durableId="928273367">
    <w:abstractNumId w:val="2"/>
  </w:num>
  <w:num w:numId="16" w16cid:durableId="370805757">
    <w:abstractNumId w:val="2"/>
  </w:num>
  <w:num w:numId="17" w16cid:durableId="1726491647">
    <w:abstractNumId w:val="1"/>
  </w:num>
  <w:num w:numId="18" w16cid:durableId="812217672">
    <w:abstractNumId w:val="1"/>
  </w:num>
  <w:num w:numId="19" w16cid:durableId="1421366069">
    <w:abstractNumId w:val="0"/>
  </w:num>
  <w:num w:numId="20" w16cid:durableId="927421920">
    <w:abstractNumId w:val="0"/>
  </w:num>
  <w:num w:numId="21" w16cid:durableId="1106391901">
    <w:abstractNumId w:val="9"/>
  </w:num>
  <w:num w:numId="22" w16cid:durableId="1601640645">
    <w:abstractNumId w:val="7"/>
  </w:num>
  <w:num w:numId="23" w16cid:durableId="89355161">
    <w:abstractNumId w:val="6"/>
  </w:num>
  <w:num w:numId="24" w16cid:durableId="1672484989">
    <w:abstractNumId w:val="5"/>
  </w:num>
  <w:num w:numId="25" w16cid:durableId="2002585717">
    <w:abstractNumId w:val="4"/>
  </w:num>
  <w:num w:numId="26" w16cid:durableId="1090082677">
    <w:abstractNumId w:val="8"/>
  </w:num>
  <w:num w:numId="27" w16cid:durableId="2123721492">
    <w:abstractNumId w:val="3"/>
  </w:num>
  <w:num w:numId="28" w16cid:durableId="1077895630">
    <w:abstractNumId w:val="2"/>
  </w:num>
  <w:num w:numId="29" w16cid:durableId="85655606">
    <w:abstractNumId w:val="1"/>
  </w:num>
  <w:num w:numId="30" w16cid:durableId="89860395">
    <w:abstractNumId w:val="0"/>
  </w:num>
  <w:num w:numId="31" w16cid:durableId="1954826927">
    <w:abstractNumId w:val="9"/>
  </w:num>
  <w:num w:numId="32" w16cid:durableId="683166299">
    <w:abstractNumId w:val="7"/>
  </w:num>
  <w:num w:numId="33" w16cid:durableId="1827821460">
    <w:abstractNumId w:val="6"/>
  </w:num>
  <w:num w:numId="34" w16cid:durableId="1943032575">
    <w:abstractNumId w:val="5"/>
  </w:num>
  <w:num w:numId="35" w16cid:durableId="1424305599">
    <w:abstractNumId w:val="4"/>
  </w:num>
  <w:num w:numId="36" w16cid:durableId="117769268">
    <w:abstractNumId w:val="8"/>
  </w:num>
  <w:num w:numId="37" w16cid:durableId="1767383835">
    <w:abstractNumId w:val="3"/>
  </w:num>
  <w:num w:numId="38" w16cid:durableId="103118348">
    <w:abstractNumId w:val="2"/>
  </w:num>
  <w:num w:numId="39" w16cid:durableId="512644741">
    <w:abstractNumId w:val="1"/>
  </w:num>
  <w:num w:numId="40" w16cid:durableId="902835825">
    <w:abstractNumId w:val="0"/>
  </w:num>
  <w:num w:numId="41" w16cid:durableId="1358845940">
    <w:abstractNumId w:val="10"/>
  </w:num>
  <w:num w:numId="42" w16cid:durableId="1211772725">
    <w:abstractNumId w:val="10"/>
  </w:num>
  <w:num w:numId="43" w16cid:durableId="1130393229">
    <w:abstractNumId w:val="10"/>
  </w:num>
  <w:num w:numId="44" w16cid:durableId="5132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0/2025"/>
    <w:docVar w:name="dvlangue" w:val="PL"/>
    <w:docVar w:name="dvnumam" w:val="0"/>
    <w:docVar w:name="dvpe" w:val="771.884"/>
    <w:docVar w:name="dvrapporteur" w:val="Sprawozdawca: "/>
    <w:docVar w:name="dvstar" w:val="??"/>
    <w:docVar w:name="dvtitre" w:val="Rezolucja Parlamentu Europejskiego z dnia  2025 r. w sprawie wniosku dotyczącego decyzji Parlamentu Europejskiego i Rady w sprawie uruchomienia Europejskiego Funduszu Dostosowania do Globalizacji dla Zwalnianych Pracowników w następstwie wniosku złożonego przez Belgię – EGF/2024/003 BE/Van Hool(COM(2025)0001 – C10-0056/2025 – 2025/0061(BUD))"/>
  </w:docVars>
  <w:rsids>
    <w:rsidRoot w:val="004273DB"/>
    <w:rsid w:val="00002272"/>
    <w:rsid w:val="00054F83"/>
    <w:rsid w:val="00064002"/>
    <w:rsid w:val="000677B9"/>
    <w:rsid w:val="000831BA"/>
    <w:rsid w:val="000A42CC"/>
    <w:rsid w:val="000E7DD9"/>
    <w:rsid w:val="0010095E"/>
    <w:rsid w:val="0012137B"/>
    <w:rsid w:val="00125B37"/>
    <w:rsid w:val="00187494"/>
    <w:rsid w:val="001F32AE"/>
    <w:rsid w:val="00262A2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3DB"/>
    <w:rsid w:val="00450866"/>
    <w:rsid w:val="00471C19"/>
    <w:rsid w:val="004867E3"/>
    <w:rsid w:val="00494A28"/>
    <w:rsid w:val="004C0004"/>
    <w:rsid w:val="004C5D52"/>
    <w:rsid w:val="0050519A"/>
    <w:rsid w:val="005072A1"/>
    <w:rsid w:val="00514517"/>
    <w:rsid w:val="0054154B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6A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4FD"/>
    <w:rsid w:val="00AF3B82"/>
    <w:rsid w:val="00B12E95"/>
    <w:rsid w:val="00B22876"/>
    <w:rsid w:val="00B558F0"/>
    <w:rsid w:val="00BD48FE"/>
    <w:rsid w:val="00BD7BD8"/>
    <w:rsid w:val="00BE6ADC"/>
    <w:rsid w:val="00C05BFE"/>
    <w:rsid w:val="00C2178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A9C"/>
    <w:rsid w:val="00F04346"/>
    <w:rsid w:val="00F075DC"/>
    <w:rsid w:val="00F149E9"/>
    <w:rsid w:val="00F2614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B5218"/>
  <w15:chartTrackingRefBased/>
  <w15:docId w15:val="{9DEA33B6-B44D-41AA-8206-8F90DA2F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261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F261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2614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261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614E"/>
    <w:rPr>
      <w:sz w:val="24"/>
      <w:lang w:val="pl-PL"/>
    </w:rPr>
  </w:style>
  <w:style w:type="paragraph" w:customStyle="1" w:styleId="NormalBold24a">
    <w:name w:val="NormalBold24a"/>
    <w:basedOn w:val="Normal"/>
    <w:rsid w:val="00F2614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F261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2614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2614E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F2614E"/>
    <w:rPr>
      <w:i/>
      <w:iCs/>
    </w:rPr>
  </w:style>
  <w:style w:type="paragraph" w:customStyle="1" w:styleId="Institutionquiagit">
    <w:name w:val="Institution qui agit"/>
    <w:basedOn w:val="Normal"/>
    <w:next w:val="Normal"/>
    <w:rsid w:val="00F2614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2614E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2614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2614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2614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2614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F2614E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F2614E"/>
    <w:rPr>
      <w:rFonts w:ascii="Arial" w:hAnsi="Arial" w:cs="Arial"/>
      <w:b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BAF02-95B5-4C42-BAF2-71855B552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1336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PESA Karina</cp:lastModifiedBy>
  <cp:revision>4</cp:revision>
  <cp:lastPrinted>2004-11-19T15:42:00Z</cp:lastPrinted>
  <dcterms:created xsi:type="dcterms:W3CDTF">2025-06-12T13:33:00Z</dcterms:created>
  <dcterms:modified xsi:type="dcterms:W3CDTF">2025-11-10T14:48:00Z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