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6CC1" w14:paraId="0992EAAC" w14:textId="77777777" w:rsidTr="0010095E">
        <w:trPr>
          <w:trHeight w:hRule="exact" w:val="1418"/>
        </w:trPr>
        <w:tc>
          <w:tcPr>
            <w:tcW w:w="6804" w:type="dxa"/>
            <w:shd w:val="clear" w:color="auto" w:fill="auto"/>
            <w:vAlign w:val="center"/>
          </w:tcPr>
          <w:p w14:paraId="0363C2E9" w14:textId="77777777" w:rsidR="00751A4A" w:rsidRPr="00306CC1" w:rsidRDefault="00B667DF" w:rsidP="0010095E">
            <w:pPr>
              <w:pStyle w:val="EPName"/>
            </w:pPr>
            <w:r w:rsidRPr="00306CC1">
              <w:t>Parlamentul European</w:t>
            </w:r>
          </w:p>
          <w:p w14:paraId="25391D4B" w14:textId="77777777" w:rsidR="00751A4A" w:rsidRPr="00306CC1" w:rsidRDefault="005F1B17" w:rsidP="005F1B17">
            <w:pPr>
              <w:pStyle w:val="EPTerm"/>
              <w:rPr>
                <w:rStyle w:val="HideTWBExt"/>
                <w:noProof w:val="0"/>
                <w:vanish w:val="0"/>
                <w:color w:val="auto"/>
              </w:rPr>
            </w:pPr>
            <w:r w:rsidRPr="00306CC1">
              <w:t>2024</w:t>
            </w:r>
            <w:r w:rsidR="00817416" w:rsidRPr="00306CC1">
              <w:t>-202</w:t>
            </w:r>
            <w:r w:rsidRPr="00306CC1">
              <w:t>9</w:t>
            </w:r>
          </w:p>
        </w:tc>
        <w:tc>
          <w:tcPr>
            <w:tcW w:w="2268" w:type="dxa"/>
            <w:shd w:val="clear" w:color="auto" w:fill="auto"/>
          </w:tcPr>
          <w:p w14:paraId="1B258603" w14:textId="77777777" w:rsidR="00751A4A" w:rsidRPr="00306CC1" w:rsidRDefault="00187494" w:rsidP="0010095E">
            <w:pPr>
              <w:pStyle w:val="EPLogo"/>
            </w:pPr>
            <w:r w:rsidRPr="00306CC1">
              <w:rPr>
                <w:noProof/>
                <w:lang w:val="en-GB"/>
              </w:rPr>
              <w:drawing>
                <wp:inline distT="0" distB="0" distL="0" distR="0" wp14:anchorId="6E3C8E41" wp14:editId="242A51A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418A32" w14:textId="77777777" w:rsidR="00D058B8" w:rsidRPr="00306CC1" w:rsidRDefault="00D058B8" w:rsidP="004C5D52">
      <w:pPr>
        <w:pStyle w:val="LineTop"/>
      </w:pPr>
    </w:p>
    <w:p w14:paraId="415F8578" w14:textId="77777777" w:rsidR="00680577" w:rsidRPr="00306CC1" w:rsidRDefault="00B667DF" w:rsidP="00680577">
      <w:pPr>
        <w:pStyle w:val="EPBodyTA1"/>
      </w:pPr>
      <w:r w:rsidRPr="00306CC1">
        <w:t>TEXTE ADOPTATE</w:t>
      </w:r>
    </w:p>
    <w:p w14:paraId="08901641" w14:textId="77777777" w:rsidR="00D058B8" w:rsidRPr="00306CC1" w:rsidRDefault="00D058B8" w:rsidP="00D058B8">
      <w:pPr>
        <w:pStyle w:val="LineBottom"/>
      </w:pPr>
    </w:p>
    <w:p w14:paraId="1AB25DEF" w14:textId="1CBE4F37" w:rsidR="00B667DF" w:rsidRPr="00306CC1" w:rsidRDefault="00B667DF" w:rsidP="00B667DF">
      <w:pPr>
        <w:pStyle w:val="ATHeading1"/>
      </w:pPr>
      <w:bookmarkStart w:id="0" w:name="TANumber"/>
      <w:r w:rsidRPr="00306CC1">
        <w:t>P10_TA(2025)</w:t>
      </w:r>
      <w:bookmarkEnd w:id="0"/>
      <w:r w:rsidR="001038BB" w:rsidRPr="00306CC1">
        <w:t>00</w:t>
      </w:r>
      <w:r w:rsidR="000A6259">
        <w:t>74</w:t>
      </w:r>
    </w:p>
    <w:p w14:paraId="47CA54A5" w14:textId="77777777" w:rsidR="00B667DF" w:rsidRPr="00306CC1" w:rsidRDefault="00B667DF" w:rsidP="00B667DF">
      <w:pPr>
        <w:pStyle w:val="ATHeading2"/>
      </w:pPr>
      <w:bookmarkStart w:id="1" w:name="title"/>
      <w:r w:rsidRPr="00306CC1">
        <w:t>Mobilizarea Fondului european de ajustare la globalizare pentru lucrătorii disponibilizați: cererea EGF/2024/003 BE/Van Hool - Belgia</w:t>
      </w:r>
      <w:bookmarkEnd w:id="1"/>
    </w:p>
    <w:p w14:paraId="381E07F9" w14:textId="77777777" w:rsidR="00B667DF" w:rsidRPr="00306CC1" w:rsidRDefault="00B667DF" w:rsidP="00B667DF">
      <w:pPr>
        <w:rPr>
          <w:i/>
          <w:vanish/>
        </w:rPr>
      </w:pPr>
      <w:r w:rsidRPr="00306CC1">
        <w:rPr>
          <w:i/>
        </w:rPr>
        <w:fldChar w:fldCharType="begin"/>
      </w:r>
      <w:r w:rsidRPr="00306CC1">
        <w:rPr>
          <w:i/>
        </w:rPr>
        <w:instrText xml:space="preserve"> TC"(</w:instrText>
      </w:r>
      <w:bookmarkStart w:id="2" w:name="DocNumber"/>
      <w:r w:rsidRPr="00306CC1">
        <w:rPr>
          <w:i/>
        </w:rPr>
        <w:instrText>A10-0080/2025</w:instrText>
      </w:r>
      <w:bookmarkEnd w:id="2"/>
      <w:r w:rsidRPr="00306CC1">
        <w:rPr>
          <w:i/>
        </w:rPr>
        <w:instrText xml:space="preserve"> - Raportor: Janusz Lewandowski)"\l3 \n&gt; \* MERGEFORMAT </w:instrText>
      </w:r>
      <w:r w:rsidRPr="00306CC1">
        <w:rPr>
          <w:i/>
        </w:rPr>
        <w:fldChar w:fldCharType="end"/>
      </w:r>
    </w:p>
    <w:p w14:paraId="7324A09D" w14:textId="77777777" w:rsidR="00B667DF" w:rsidRPr="00306CC1" w:rsidRDefault="00B667DF" w:rsidP="00B667DF">
      <w:pPr>
        <w:rPr>
          <w:vanish/>
        </w:rPr>
      </w:pPr>
      <w:bookmarkStart w:id="3" w:name="Commission"/>
      <w:r w:rsidRPr="00306CC1">
        <w:rPr>
          <w:vanish/>
        </w:rPr>
        <w:t>Comisia pentru bugete</w:t>
      </w:r>
      <w:bookmarkEnd w:id="3"/>
    </w:p>
    <w:p w14:paraId="5F3299F9" w14:textId="77777777" w:rsidR="00B667DF" w:rsidRPr="00306CC1" w:rsidRDefault="00B667DF" w:rsidP="00B667DF">
      <w:pPr>
        <w:rPr>
          <w:vanish/>
        </w:rPr>
      </w:pPr>
      <w:bookmarkStart w:id="4" w:name="PE"/>
      <w:r w:rsidRPr="00306CC1">
        <w:rPr>
          <w:vanish/>
        </w:rPr>
        <w:t>PE771.884</w:t>
      </w:r>
      <w:bookmarkEnd w:id="4"/>
    </w:p>
    <w:p w14:paraId="3349D7E0" w14:textId="77777777" w:rsidR="00B667DF" w:rsidRPr="00306CC1" w:rsidRDefault="00B667DF" w:rsidP="00B667DF">
      <w:pPr>
        <w:pStyle w:val="ATHeading3"/>
      </w:pPr>
      <w:bookmarkStart w:id="5" w:name="Sujet"/>
      <w:r w:rsidRPr="00306CC1">
        <w:t>Rezoluția Parlamentului European din 6 mai 2025 referitoare la propunerea de decizie a Parlamentului European și a Consiliului privind mobilizarea Fondului european de ajustare la globalizare pentru lucrătorii disponibilizați în urma unei cereri din partea Belgiei (EGF/2024/003 BE/Van Hool)</w:t>
      </w:r>
      <w:bookmarkEnd w:id="5"/>
      <w:r w:rsidRPr="00306CC1">
        <w:t xml:space="preserve"> </w:t>
      </w:r>
      <w:bookmarkStart w:id="6" w:name="References"/>
      <w:r w:rsidRPr="00306CC1">
        <w:t>(COM(2025)0001 – C10-0056/2025 – 2025/0061(BUD))</w:t>
      </w:r>
      <w:bookmarkEnd w:id="6"/>
    </w:p>
    <w:p w14:paraId="32EB6DDD" w14:textId="77777777" w:rsidR="00070F49" w:rsidRPr="00306CC1" w:rsidRDefault="00070F49" w:rsidP="00070F49">
      <w:pPr>
        <w:pStyle w:val="EPComma"/>
        <w:rPr>
          <w:noProof/>
        </w:rPr>
      </w:pPr>
      <w:r w:rsidRPr="00306CC1">
        <w:rPr>
          <w:i/>
        </w:rPr>
        <w:t>Parlamentul European</w:t>
      </w:r>
      <w:r w:rsidRPr="00306CC1">
        <w:t>,</w:t>
      </w:r>
    </w:p>
    <w:p w14:paraId="0CE287B0" w14:textId="77777777" w:rsidR="00070F49" w:rsidRPr="00306CC1" w:rsidRDefault="00070F49" w:rsidP="00070F49">
      <w:pPr>
        <w:pStyle w:val="NormalHanging12a"/>
        <w:rPr>
          <w:noProof/>
        </w:rPr>
      </w:pPr>
      <w:r w:rsidRPr="00306CC1">
        <w:t>–</w:t>
      </w:r>
      <w:r w:rsidRPr="00306CC1">
        <w:tab/>
        <w:t>având în vedere propunerea Comisiei prezentată Parlamentului European și Consiliului (COM(2025)0001 – C10</w:t>
      </w:r>
      <w:r w:rsidRPr="00306CC1">
        <w:noBreakHyphen/>
        <w:t>0056/2025),</w:t>
      </w:r>
    </w:p>
    <w:p w14:paraId="697C1A97" w14:textId="40808156" w:rsidR="00070F49" w:rsidRPr="00306CC1" w:rsidRDefault="00070F49" w:rsidP="00070F49">
      <w:pPr>
        <w:pStyle w:val="NormalHanging12a"/>
        <w:rPr>
          <w:noProof/>
        </w:rPr>
      </w:pPr>
      <w:r w:rsidRPr="00306CC1">
        <w:t>–</w:t>
      </w:r>
      <w:r w:rsidRPr="00306CC1">
        <w:tab/>
        <w:t>având în vedere Regulamentul (UE) 2021/691 al Parlamentului European și al Consiliului din 28 aprilie 2021 privind Fondul european de ajustare la globalizare pentru lucrătorii disponibilizați (FEG) și de abrogare a Regulamentului (UE) nr. 1309/2013</w:t>
      </w:r>
      <w:r w:rsidRPr="00306CC1">
        <w:rPr>
          <w:rStyle w:val="FootnoteReference"/>
          <w:noProof/>
        </w:rPr>
        <w:footnoteReference w:id="1"/>
      </w:r>
      <w:r w:rsidRPr="00306CC1">
        <w:t xml:space="preserve"> (</w:t>
      </w:r>
      <w:r w:rsidR="00202BA1">
        <w:t xml:space="preserve">denumit în continuare </w:t>
      </w:r>
      <w:r w:rsidRPr="00306CC1">
        <w:t>„Regulamentul privind FEG”),</w:t>
      </w:r>
    </w:p>
    <w:p w14:paraId="591500C6" w14:textId="77777777" w:rsidR="00070F49" w:rsidRPr="00306CC1" w:rsidRDefault="00070F49" w:rsidP="00070F49">
      <w:pPr>
        <w:pStyle w:val="NormalHanging12a"/>
        <w:rPr>
          <w:noProof/>
        </w:rPr>
      </w:pPr>
      <w:r w:rsidRPr="00306CC1">
        <w:t>–</w:t>
      </w:r>
      <w:r w:rsidRPr="00306CC1">
        <w:tab/>
        <w:t>având în vedere Regulamentul (UE, Euratom) 2020/2093 al Consiliului din 17 decembrie 2020 de stabilire a cadrului financiar multianual pentru perioada 2021-2027</w:t>
      </w:r>
      <w:r w:rsidRPr="00306CC1">
        <w:rPr>
          <w:rStyle w:val="FootnoteReference"/>
          <w:noProof/>
        </w:rPr>
        <w:footnoteReference w:id="2"/>
      </w:r>
      <w:r w:rsidRPr="00306CC1">
        <w:t>,</w:t>
      </w:r>
      <w:r w:rsidRPr="00306CC1">
        <w:rPr>
          <w:color w:val="000000"/>
          <w:bdr w:val="none" w:sz="0" w:space="0" w:color="auto" w:frame="1"/>
        </w:rPr>
        <w:t xml:space="preserve"> astfel cum a fost modificat de Regulamentul (UE, Euratom)</w:t>
      </w:r>
      <w:r w:rsidRPr="00306CC1">
        <w:rPr>
          <w:bdr w:val="none" w:sz="0" w:space="0" w:color="auto" w:frame="1"/>
        </w:rPr>
        <w:t xml:space="preserve"> 2024/765</w:t>
      </w:r>
      <w:r w:rsidRPr="00306CC1">
        <w:rPr>
          <w:rStyle w:val="FootnoteReference"/>
          <w:bdr w:val="none" w:sz="0" w:space="0" w:color="auto" w:frame="1"/>
        </w:rPr>
        <w:footnoteReference w:id="3"/>
      </w:r>
      <w:r w:rsidRPr="00306CC1">
        <w:t>, în special articolul 8,</w:t>
      </w:r>
    </w:p>
    <w:p w14:paraId="15CB97AE" w14:textId="77777777" w:rsidR="00070F49" w:rsidRPr="00306CC1" w:rsidRDefault="00070F49" w:rsidP="00070F49">
      <w:pPr>
        <w:pStyle w:val="NormalHanging12a"/>
        <w:rPr>
          <w:noProof/>
        </w:rPr>
      </w:pPr>
      <w:r w:rsidRPr="00306CC1">
        <w:t>–</w:t>
      </w:r>
      <w:r w:rsidRPr="00306CC1">
        <w:tab/>
        <w:t xml:space="preserve">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w:t>
      </w:r>
      <w:r w:rsidRPr="00306CC1">
        <w:lastRenderedPageBreak/>
        <w:t>proprii</w:t>
      </w:r>
      <w:r w:rsidRPr="00306CC1">
        <w:rPr>
          <w:rStyle w:val="FootnoteReference"/>
          <w:noProof/>
        </w:rPr>
        <w:footnoteReference w:id="4"/>
      </w:r>
      <w:r w:rsidRPr="00306CC1">
        <w:t>, în special punctul 9 din acesta,</w:t>
      </w:r>
    </w:p>
    <w:p w14:paraId="3E86A954" w14:textId="77777777" w:rsidR="00070F49" w:rsidRPr="00306CC1" w:rsidRDefault="00070F49" w:rsidP="00070F49">
      <w:pPr>
        <w:pStyle w:val="NormalHanging12a"/>
        <w:rPr>
          <w:noProof/>
        </w:rPr>
      </w:pPr>
      <w:r w:rsidRPr="00306CC1">
        <w:t>–</w:t>
      </w:r>
      <w:r w:rsidRPr="00306CC1">
        <w:tab/>
        <w:t>având în vedere scrisoarea Comisiei pentru ocuparea forței de muncă și afaceri sociale,</w:t>
      </w:r>
    </w:p>
    <w:p w14:paraId="4F1AE16B" w14:textId="77777777" w:rsidR="00070F49" w:rsidRPr="00306CC1" w:rsidRDefault="00070F49" w:rsidP="00070F49">
      <w:pPr>
        <w:pStyle w:val="NormalHanging12a"/>
      </w:pPr>
      <w:r w:rsidRPr="00306CC1">
        <w:t>–</w:t>
      </w:r>
      <w:r w:rsidRPr="00306CC1">
        <w:tab/>
        <w:t xml:space="preserve">având în vedere raportul Comisiei pentru bugete (A10-0080/2025), </w:t>
      </w:r>
    </w:p>
    <w:p w14:paraId="5546A0E8" w14:textId="0CE944EA" w:rsidR="00070F49" w:rsidRPr="00306CC1" w:rsidRDefault="00070F49" w:rsidP="00070F49">
      <w:pPr>
        <w:pStyle w:val="NormalHanging12a"/>
        <w:rPr>
          <w:noProof/>
        </w:rPr>
      </w:pPr>
      <w:r w:rsidRPr="00306CC1">
        <w:t>A.</w:t>
      </w:r>
      <w:r w:rsidRPr="00306CC1">
        <w:tab/>
        <w:t>întrucât Uniunea a instituit instrumente legislative și bugetare pentru a oferi un sprijin suplimentar lucrătorilor afectați de consecințele schimbărilor structurale majore intervenite în practicile comerciale mondiale sau ale crizei economice și financiare mondiale și pentru a le acorda asistență în procesul de reintegrare pe piața muncii; întrucât această asistență se traduce printr-un sprijin financiar acordat lucrătorilor și întreprinderilor pentru care au lucrat;</w:t>
      </w:r>
    </w:p>
    <w:p w14:paraId="1197D8B9" w14:textId="2ACEE8FE" w:rsidR="00070F49" w:rsidRPr="00306CC1" w:rsidRDefault="00070F49" w:rsidP="00070F49">
      <w:pPr>
        <w:pStyle w:val="NormalHanging12a"/>
      </w:pPr>
      <w:r w:rsidRPr="00306CC1">
        <w:t>B.</w:t>
      </w:r>
      <w:r w:rsidRPr="00306CC1">
        <w:tab/>
        <w:t>întrucât Belgia a depus cererea EGF/2024/003 BE/Van Hool pentru o contribuție financiară din Fondul european de ajustare la globalizare (FEG), ca urmare a disponibilizării a 2 411 lucrători</w:t>
      </w:r>
      <w:r w:rsidRPr="00306CC1">
        <w:rPr>
          <w:rStyle w:val="FootnoteReference"/>
        </w:rPr>
        <w:footnoteReference w:id="5"/>
      </w:r>
      <w:r w:rsidRPr="00306CC1">
        <w:t xml:space="preserve"> din sectorul economic încadrat la diviziunea 29 (Fabricarea autovehiculelor, a remorcilor și a semiremorcilor) din NACE Rev. 2, în regiunea NUTS 2 Provincie Antwerpen (BE21), în cursul unei perioade de referință de patru luni (8 aprilie 2024 și 8 august 2024); </w:t>
      </w:r>
    </w:p>
    <w:p w14:paraId="0961EF07" w14:textId="5ECD3003" w:rsidR="00070F49" w:rsidRPr="00306CC1" w:rsidRDefault="00070F49" w:rsidP="00070F49">
      <w:pPr>
        <w:pStyle w:val="NormalHanging12a"/>
      </w:pPr>
      <w:r w:rsidRPr="00306CC1">
        <w:t>C.</w:t>
      </w:r>
      <w:r w:rsidRPr="00306CC1">
        <w:tab/>
        <w:t>întrucât cererea se referă la un număr de 2 411 lucrători concediați de întreprinderea Van Hool;</w:t>
      </w:r>
    </w:p>
    <w:p w14:paraId="0D1B8D67" w14:textId="00B7D7D5" w:rsidR="00070F49" w:rsidRPr="00306CC1" w:rsidRDefault="00070F49" w:rsidP="00070F49">
      <w:pPr>
        <w:pStyle w:val="NormalHanging12a"/>
      </w:pPr>
      <w:r w:rsidRPr="00306CC1">
        <w:t>D.</w:t>
      </w:r>
      <w:r w:rsidRPr="00306CC1">
        <w:tab/>
        <w:t>întrucât cererea se bazează pe criteriile de intervenție de la articolul 4 alineatul (2) litera (a) din Regulamentul privind FEG, care prevede cerința de încetare a activității a cel puțin 200 de lucrători disponibilizați sau lucrători care desfășoară activități independente într-o perioadă de referință de patru luni dintr-o întreprindere dintr-un stat membru, inclusiv lucrătorii disponibilizați de furnizori și de producători din aval;</w:t>
      </w:r>
    </w:p>
    <w:p w14:paraId="750C622F" w14:textId="27DFB9B5" w:rsidR="00070F49" w:rsidRPr="00306CC1" w:rsidRDefault="00070F49" w:rsidP="00070F49">
      <w:pPr>
        <w:pStyle w:val="NormalHanging12a"/>
      </w:pPr>
      <w:r w:rsidRPr="00306CC1">
        <w:t>E.</w:t>
      </w:r>
      <w:r w:rsidRPr="00306CC1">
        <w:tab/>
        <w:t>întrucât pandemia de COVID-19 a avut un impact asupra cererii de autocare, iar războiul de agresiune al Rusiei împotriva Ucrainei a avut un impact asupra structurii costurilor;</w:t>
      </w:r>
    </w:p>
    <w:p w14:paraId="771FA6FF" w14:textId="4CE4187D" w:rsidR="00070F49" w:rsidRPr="00306CC1" w:rsidRDefault="00070F49" w:rsidP="00070F49">
      <w:pPr>
        <w:pStyle w:val="NormalHanging12a"/>
      </w:pPr>
      <w:r w:rsidRPr="00306CC1">
        <w:t>F.</w:t>
      </w:r>
      <w:r w:rsidRPr="00306CC1">
        <w:tab/>
        <w:t>întrucât industria europeană a autovehiculelor și furnizorilor se confruntă cu o presiune fără precedent, atât din cauza provocărilor externe, cât și a celor interne, cum ar fi denaturarea concurenței, în special în sectorul vehiculelor electrice ca urmare a subvenționării neloiale de către China, precum și costurile ridicate ale energiei generate de restructurări de amploare;</w:t>
      </w:r>
    </w:p>
    <w:p w14:paraId="145683A5" w14:textId="658C608B" w:rsidR="00070F49" w:rsidRPr="00306CC1" w:rsidRDefault="00070F49" w:rsidP="00070F49">
      <w:pPr>
        <w:pStyle w:val="NormalHanging12a"/>
        <w:jc w:val="both"/>
      </w:pPr>
      <w:r w:rsidRPr="00306CC1">
        <w:t>G.</w:t>
      </w:r>
      <w:r w:rsidRPr="00306CC1">
        <w:rPr>
          <w:color w:val="7030A0"/>
        </w:rPr>
        <w:tab/>
      </w:r>
      <w:r w:rsidRPr="00306CC1">
        <w:t xml:space="preserve">întrucât Van Hool a fost specializată în fabricarea de autobuze, autocare, troleibuze și remorci; întrucât scăderea cererii de autocare ca urmare a impactului pandemiei a condus la scăderea vânzărilor medii pentru Van Hool în Europa și la o scădere puternică a profitabilității; întrucât creșterea inflației și perturbarea lanțurilor de aprovizionare au sporit și mai mult presiunea asupra marjelor întreprinderii; </w:t>
      </w:r>
    </w:p>
    <w:p w14:paraId="5604FFEC" w14:textId="749A66E7" w:rsidR="00070F49" w:rsidRPr="00306CC1" w:rsidRDefault="00070F49" w:rsidP="00070F49">
      <w:pPr>
        <w:pStyle w:val="NormalHanging12a"/>
        <w:jc w:val="both"/>
      </w:pPr>
      <w:r w:rsidRPr="00306CC1">
        <w:t>H.</w:t>
      </w:r>
      <w:r w:rsidRPr="00306CC1">
        <w:tab/>
        <w:t xml:space="preserve">întrucât întreprinderea, în conformitate cu legislația belgiană, a urmat procedura obligatorie de informare și consultare a reprezentanților lucrătorilor; întrucât cerința de înființare a unei unități de ocupare a forței de muncă, al cărei scop este de a oferi lucrătorilor, rămași fără loc de muncă în contextul concedierilor colective, servicii de </w:t>
      </w:r>
      <w:r w:rsidRPr="00306CC1">
        <w:lastRenderedPageBreak/>
        <w:t xml:space="preserve">plasare a personalului disponibilizat, nu se aplică în caz de faliment; </w:t>
      </w:r>
    </w:p>
    <w:p w14:paraId="18DAD64E" w14:textId="626A9F02" w:rsidR="00070F49" w:rsidRPr="00306CC1" w:rsidRDefault="00070F49" w:rsidP="00070F49">
      <w:pPr>
        <w:pStyle w:val="NormalHanging12a"/>
        <w:jc w:val="both"/>
      </w:pPr>
      <w:r w:rsidRPr="00306CC1">
        <w:t xml:space="preserve">I. </w:t>
      </w:r>
      <w:r w:rsidRPr="00306CC1">
        <w:tab/>
        <w:t xml:space="preserve">întrucât contribuțiile financiare din FEG ar trebui să fie direcționate în primul rând spre măsuri </w:t>
      </w:r>
      <w:r w:rsidR="00F30D46" w:rsidRPr="00306CC1">
        <w:t xml:space="preserve">active </w:t>
      </w:r>
      <w:r w:rsidRPr="00306CC1">
        <w:t>de politică în domeniul pieței forței de muncă și spre servicii personalizate care vizează reintegrarea rapidă a beneficiarilor în locuri de muncă decente și sustenabile în sectorul lor inițial de activitate sau în afara acestuia, pregătindu-i în același timp pentru o economie europeană mai verde și mai digitală;</w:t>
      </w:r>
    </w:p>
    <w:p w14:paraId="1E5C3273" w14:textId="77777777" w:rsidR="00070F49" w:rsidRPr="00306CC1" w:rsidRDefault="00070F49" w:rsidP="00070F49">
      <w:pPr>
        <w:pStyle w:val="NormalHanging12a"/>
        <w:jc w:val="both"/>
      </w:pPr>
      <w:r w:rsidRPr="00306CC1">
        <w:t xml:space="preserve">J. </w:t>
      </w:r>
      <w:r w:rsidRPr="00306CC1">
        <w:tab/>
        <w:t>întrucât serviciile flamande de ocupare a forței de muncă (VDAB) asigură prefinanțarea și cofinanțarea națională a măsurilor;</w:t>
      </w:r>
    </w:p>
    <w:p w14:paraId="52081D86" w14:textId="24934C94" w:rsidR="00070F49" w:rsidRPr="00306CC1" w:rsidRDefault="00070F49" w:rsidP="00070F49">
      <w:pPr>
        <w:widowControl/>
        <w:ind w:left="567" w:hanging="567"/>
        <w:rPr>
          <w:szCs w:val="24"/>
        </w:rPr>
      </w:pPr>
      <w:r w:rsidRPr="00306CC1">
        <w:t xml:space="preserve">K. </w:t>
      </w:r>
      <w:r w:rsidRPr="00306CC1">
        <w:rPr>
          <w:color w:val="7030A0"/>
        </w:rPr>
        <w:tab/>
      </w:r>
      <w:r w:rsidRPr="00306CC1">
        <w:t>întrucât FEG nu depășește cuantumul anual maxim de 30 de milioane EUR (la prețurile din 2018), în conformitate cu articolul 8 din Regulamentul (UE, Euratom) 2020/2093</w:t>
      </w:r>
      <w:r w:rsidRPr="00306CC1">
        <w:rPr>
          <w:bdr w:val="none" w:sz="0" w:space="0" w:color="auto" w:frame="1"/>
        </w:rPr>
        <w:t>, modificat prin Regulamentul (UE, Euratom) 2024/765</w:t>
      </w:r>
      <w:r w:rsidRPr="00306CC1">
        <w:t xml:space="preserve">; întrucât, în conformitate cu principiul bunei gestiuni financiare, contribuțiile necheltuite ar trebui </w:t>
      </w:r>
      <w:r w:rsidR="00F30D46">
        <w:t xml:space="preserve">să fie </w:t>
      </w:r>
      <w:r w:rsidRPr="00306CC1">
        <w:t>restituite Comisiei,</w:t>
      </w:r>
    </w:p>
    <w:p w14:paraId="6301F1AD" w14:textId="77777777" w:rsidR="00070F49" w:rsidRPr="00306CC1" w:rsidRDefault="00070F49" w:rsidP="00070F49">
      <w:pPr>
        <w:pStyle w:val="NormalHanging12a"/>
        <w:jc w:val="both"/>
      </w:pPr>
      <w:r w:rsidRPr="00306CC1">
        <w:t>1.</w:t>
      </w:r>
      <w:r w:rsidRPr="00306CC1">
        <w:tab/>
        <w:t>este de acord cu Comisia că sunt îndeplinite condițiile prevăzute la articolul 4 alineatul (2) litera (a) din Regulamentul privind FEG și că Belgia are dreptul la o contribuție financiară în valoare de 7 999 015 EUR în temeiul regulamentului respectiv, ceea ce reprezintă 85 % din costurile totale de 9 410 607 EUR, sumă care corespunde cheltuielilor pentru servicii personalizate în valoare de 9 034 607 EUR și cheltuielilor pentru activitățile de pregătire, gestionare, informare și publicitate, control și raportare în valoare de 376 000 EUR;</w:t>
      </w:r>
    </w:p>
    <w:p w14:paraId="5CA15D6D" w14:textId="77777777" w:rsidR="00070F49" w:rsidRPr="00306CC1" w:rsidRDefault="00070F49" w:rsidP="00070F49">
      <w:pPr>
        <w:pStyle w:val="NormalHanging12a"/>
        <w:jc w:val="both"/>
      </w:pPr>
      <w:r w:rsidRPr="00306CC1">
        <w:t>2.</w:t>
      </w:r>
      <w:r w:rsidRPr="00306CC1">
        <w:tab/>
        <w:t xml:space="preserve">observă că autoritățile belgiene au depus cererea la 29 octombrie 2024 și că, pe baza informațiilor suplimentare furnizate de Belgia, Comisia și-a finalizat evaluarea la 26 martie 2025, pe care a adus-o la cunoștința Parlamentului la aceeași dată; </w:t>
      </w:r>
    </w:p>
    <w:p w14:paraId="358A07CC" w14:textId="77777777" w:rsidR="00070F49" w:rsidRPr="00306CC1" w:rsidRDefault="00070F49" w:rsidP="00070F49">
      <w:pPr>
        <w:pStyle w:val="NormalHanging12a"/>
        <w:jc w:val="both"/>
      </w:pPr>
      <w:r w:rsidRPr="00306CC1">
        <w:t>3.</w:t>
      </w:r>
      <w:r w:rsidRPr="00306CC1">
        <w:tab/>
        <w:t>constată că cererea se referă la un număr de 2411 lucrători concediați de întreprinderea Van Hool; constată, de asemenea, că numărul total de beneficiari vizați va fi de 2397 de lucrători;</w:t>
      </w:r>
    </w:p>
    <w:p w14:paraId="0B59F7DA" w14:textId="77777777" w:rsidR="00070F49" w:rsidRPr="00306CC1" w:rsidRDefault="00070F49" w:rsidP="00070F49">
      <w:pPr>
        <w:pStyle w:val="NormalHanging12a"/>
        <w:jc w:val="both"/>
      </w:pPr>
      <w:r w:rsidRPr="00306CC1">
        <w:t>4.</w:t>
      </w:r>
      <w:r w:rsidRPr="00306CC1">
        <w:tab/>
        <w:t xml:space="preserve">subliniază că sectorul industrial se confruntă în prezent cu un declin în Belgia, potrivit Federației întreprinderilor belgiene (VBO); </w:t>
      </w:r>
      <w:r w:rsidR="00291C5F">
        <w:t xml:space="preserve">constată că </w:t>
      </w:r>
      <w:r w:rsidRPr="00306CC1">
        <w:t>sectorul industrial a jucat în mod tradițional un rol important în Lier, motiv pentru care declinul industrial are un impact semnificativ asupra pieței forței de muncă din Lier; evidențiază că numărul locurilor de muncă din sectorul industrial disponibile în Lier a scăzut cu 13 % în 2023;</w:t>
      </w:r>
    </w:p>
    <w:p w14:paraId="15861866" w14:textId="77777777" w:rsidR="00070F49" w:rsidRPr="00306CC1" w:rsidRDefault="00070F49" w:rsidP="00070F49">
      <w:pPr>
        <w:pStyle w:val="NormalHanging12a"/>
        <w:jc w:val="both"/>
      </w:pPr>
      <w:r w:rsidRPr="00306CC1">
        <w:t>5.</w:t>
      </w:r>
      <w:r w:rsidRPr="00306CC1">
        <w:tab/>
        <w:t>pune în evidență profilurile lucrătorilor disponibilizați, dintre care o treime au vârsta de 50 de ani sau mai mult, iar 80 % au cel mult studii secundare și studii depășite; subliniază că, ținând seama de tendința descendentă a numărului de locuri de muncă vacante și de distribuția geografică a acestora, lucrătorii vor avea nevoie de asistență specifică, axată pe perfecționare și recalificare, pentru a îmbunătăți șansele lor de revenire la locul de muncă; consideră că Uniunea și statele membre au responsabilitatea socială de a le oferi lucrătorilor afectați posibilitatea de a obține calificările necesare pentru un nou loc de muncă;</w:t>
      </w:r>
    </w:p>
    <w:p w14:paraId="5462CF5B" w14:textId="2F62E991" w:rsidR="00070F49" w:rsidRPr="00306CC1" w:rsidRDefault="00070F49" w:rsidP="00070F49">
      <w:pPr>
        <w:pStyle w:val="NormalHanging12a"/>
        <w:jc w:val="both"/>
      </w:pPr>
      <w:r w:rsidRPr="00306CC1">
        <w:t>6.</w:t>
      </w:r>
      <w:r w:rsidRPr="00306CC1">
        <w:tab/>
      </w:r>
      <w:r w:rsidR="009E31E7">
        <w:t xml:space="preserve">consideră binevenit faptul </w:t>
      </w:r>
      <w:r w:rsidRPr="00306CC1">
        <w:t>că serviciile personalizate care vor fi oferite lucrătorilor constau în acțiunile următoare: consilier</w:t>
      </w:r>
      <w:r w:rsidR="009E31E7">
        <w:t>e</w:t>
      </w:r>
      <w:r w:rsidRPr="00306CC1">
        <w:t xml:space="preserve"> pentru intervenție socială și înregistrarea lucrătorilor, plasarea personalului disponibilizat, sprijin pentru căutarea unui loc de muncă și plasarea într-un loc de muncă, orientare profesională, recalificare și formare profesională, precum și formare la locul de muncă; subliniază în special serviciile legate de sprijinul specific și evaluarea personală, precum și formarea în domeniul TIC, care </w:t>
      </w:r>
      <w:r w:rsidRPr="00306CC1">
        <w:lastRenderedPageBreak/>
        <w:t>contribuie la perfecționarea necesară în era industrială digitală;</w:t>
      </w:r>
    </w:p>
    <w:p w14:paraId="6DB9A8C7" w14:textId="77777777" w:rsidR="00070F49" w:rsidRPr="00306CC1" w:rsidRDefault="00070F49" w:rsidP="00070F49">
      <w:pPr>
        <w:pStyle w:val="NormalHanging12a"/>
        <w:jc w:val="both"/>
      </w:pPr>
      <w:r w:rsidRPr="00306CC1">
        <w:t>7.</w:t>
      </w:r>
      <w:r w:rsidRPr="00306CC1">
        <w:tab/>
        <w:t>constată că Belgia a început să ofere servicii personalizate beneficiarilor vizați la 22 aprilie 2024 și că perioada de eligibilitate pentru o contribuție financiară din FEG va începe așadar la această dată și va dura 24 de luni de la data intrării în vigoare a deciziei de finanțare;</w:t>
      </w:r>
    </w:p>
    <w:p w14:paraId="068CC884" w14:textId="77777777" w:rsidR="00070F49" w:rsidRPr="00306CC1" w:rsidRDefault="00070F49" w:rsidP="00070F49">
      <w:pPr>
        <w:pStyle w:val="NormalHanging12a"/>
        <w:jc w:val="both"/>
        <w:rPr>
          <w:sz w:val="23"/>
          <w:szCs w:val="23"/>
        </w:rPr>
      </w:pPr>
      <w:r w:rsidRPr="00306CC1">
        <w:t>8.</w:t>
      </w:r>
      <w:r w:rsidRPr="00306CC1">
        <w:tab/>
        <w:t>observă că Belgia a început să suporte cheltuieli administrative pentru execuția FEG la 14 martie 2024 și că aceste cheltuieli vor fi, prin urmare, eligibile pentru o contribuție financiară din FEG de la această dată pentru o perioadă de 31 de luni de la data intrării în vigoare a deciziei de finanțare;</w:t>
      </w:r>
    </w:p>
    <w:p w14:paraId="61F52AEC" w14:textId="77777777" w:rsidR="00070F49" w:rsidRPr="00306CC1" w:rsidRDefault="00070F49" w:rsidP="00070F49">
      <w:pPr>
        <w:pStyle w:val="NormalHanging12a"/>
        <w:jc w:val="both"/>
      </w:pPr>
      <w:r w:rsidRPr="00306CC1">
        <w:t>9.</w:t>
      </w:r>
      <w:r w:rsidRPr="00306CC1">
        <w:tab/>
        <w:t>subliniază că autoritățile belgiene au confirmat că, pentru accesul la acțiunile propuse și pentru punerea lor în aplicare, se vor respecta principiile egalității de tratament și nediscriminării și se va fi evita dubla finanțare;</w:t>
      </w:r>
    </w:p>
    <w:p w14:paraId="157C77B4" w14:textId="77777777" w:rsidR="00070F49" w:rsidRPr="00306CC1" w:rsidRDefault="00070F49" w:rsidP="00070F49">
      <w:pPr>
        <w:pStyle w:val="NormalHanging12a"/>
        <w:jc w:val="both"/>
      </w:pPr>
      <w:r w:rsidRPr="00306CC1">
        <w:t>10.</w:t>
      </w:r>
      <w:r w:rsidRPr="00306CC1">
        <w:tab/>
        <w:t>reamintește că autoritățile belgiene au obligația de a se asigura că egalitatea dintre femei și bărbați și integrarea perspectivei de gen fac parte integrantă din întreaga perioadă de punere în aplicare și sunt promovate pe parcursul acesteia;</w:t>
      </w:r>
    </w:p>
    <w:p w14:paraId="6308F14E" w14:textId="77777777" w:rsidR="00070F49" w:rsidRPr="00306CC1" w:rsidRDefault="00070F49" w:rsidP="00070F49">
      <w:pPr>
        <w:pStyle w:val="NormalHanging12a"/>
        <w:jc w:val="both"/>
      </w:pPr>
      <w:r w:rsidRPr="00306CC1">
        <w:t>11.</w:t>
      </w:r>
      <w:r w:rsidRPr="00306CC1">
        <w:tab/>
        <w:t>reamintește că asistența din partea FEG nu trebuie să înlocuiască acțiunile care intră în responsabilitatea întreprinderilor în temeiul dreptului național sau al acordurilor colective;</w:t>
      </w:r>
    </w:p>
    <w:p w14:paraId="691E3106" w14:textId="77777777" w:rsidR="00070F49" w:rsidRPr="00306CC1" w:rsidRDefault="00070F49" w:rsidP="00070F49">
      <w:pPr>
        <w:pStyle w:val="NormalHanging12a"/>
        <w:jc w:val="both"/>
      </w:pPr>
      <w:r w:rsidRPr="00306CC1">
        <w:t>12.</w:t>
      </w:r>
      <w:r w:rsidRPr="00306CC1">
        <w:tab/>
        <w:t>reamintește că autoritățile belgiene au obligația de a recunoaște originea și de a asigura vizibilitatea finanțării din partea Uniunii, precum și de a evidenția valoarea adăugată pe care o are intervenția pentru Uniune, oferind informații coerente, eficace și specifice unor categorii de public diverse, inclusiv informații specifice pentru beneficiari, autoritățile locale și regionale, partenerii sociali, mass-media și publicul larg;</w:t>
      </w:r>
    </w:p>
    <w:p w14:paraId="464B9E67" w14:textId="77777777" w:rsidR="00070F49" w:rsidRPr="00306CC1" w:rsidRDefault="00070F49" w:rsidP="00070F49">
      <w:pPr>
        <w:pStyle w:val="NormalHanging12a"/>
        <w:jc w:val="both"/>
      </w:pPr>
      <w:r w:rsidRPr="00306CC1">
        <w:t>13.</w:t>
      </w:r>
      <w:r w:rsidRPr="00306CC1">
        <w:tab/>
        <w:t>aprobă decizia anexată la prezenta rezoluție;</w:t>
      </w:r>
    </w:p>
    <w:p w14:paraId="5E08AC7C" w14:textId="77777777" w:rsidR="00070F49" w:rsidRPr="00306CC1" w:rsidRDefault="00070F49" w:rsidP="00070F49">
      <w:pPr>
        <w:pStyle w:val="NormalHanging12a"/>
        <w:jc w:val="both"/>
      </w:pPr>
      <w:r w:rsidRPr="00306CC1">
        <w:t>14.</w:t>
      </w:r>
      <w:r w:rsidRPr="00306CC1">
        <w:tab/>
        <w:t xml:space="preserve">încredințează Președintei sarcina de a semna această decizie împreună cu Președintele Consiliului și de a asigura publicarea sa în </w:t>
      </w:r>
      <w:r w:rsidRPr="00306CC1">
        <w:rPr>
          <w:i/>
        </w:rPr>
        <w:t>Jurnalul Oficial al Uniunii Europene</w:t>
      </w:r>
      <w:r w:rsidRPr="00306CC1">
        <w:t>;</w:t>
      </w:r>
    </w:p>
    <w:p w14:paraId="0DCDED70" w14:textId="77777777" w:rsidR="00070F49" w:rsidRPr="00306CC1" w:rsidRDefault="00070F49" w:rsidP="00070F49">
      <w:pPr>
        <w:pStyle w:val="NormalHanging12a"/>
        <w:sectPr w:rsidR="00070F49" w:rsidRPr="00306CC1" w:rsidSect="00306CC1">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r w:rsidRPr="00306CC1">
        <w:t>15.</w:t>
      </w:r>
      <w:r w:rsidRPr="00306CC1">
        <w:tab/>
        <w:t>încredințează Președintei sarcina de a transmite prezenta rezoluție, împreună cu anexa, Consiliului și Comisiei.</w:t>
      </w:r>
    </w:p>
    <w:p w14:paraId="763DC23B" w14:textId="77777777" w:rsidR="00BC5C58" w:rsidRPr="00BC5C58" w:rsidRDefault="00070F49" w:rsidP="00BC5C58">
      <w:pPr>
        <w:pStyle w:val="PageHeading"/>
        <w:spacing w:after="240"/>
        <w:rPr>
          <w:rFonts w:ascii="Times New Roman" w:hAnsi="Times New Roman" w:cs="Times New Roman"/>
        </w:rPr>
      </w:pPr>
      <w:bookmarkStart w:id="7" w:name="_Toc197341186"/>
      <w:r w:rsidRPr="00BC5C58">
        <w:rPr>
          <w:rFonts w:ascii="Times New Roman" w:hAnsi="Times New Roman" w:cs="Times New Roman"/>
        </w:rPr>
        <w:lastRenderedPageBreak/>
        <w:t>ANEXĂ</w:t>
      </w:r>
    </w:p>
    <w:p w14:paraId="301A93BE" w14:textId="67C7C782" w:rsidR="00070F49" w:rsidRPr="00BC5C58" w:rsidRDefault="00070F49" w:rsidP="00070F49">
      <w:pPr>
        <w:pStyle w:val="PageHeading"/>
        <w:rPr>
          <w:rFonts w:ascii="Times New Roman" w:hAnsi="Times New Roman" w:cs="Times New Roman"/>
          <w:noProof/>
        </w:rPr>
      </w:pPr>
      <w:r w:rsidRPr="00BC5C58">
        <w:rPr>
          <w:rFonts w:ascii="Times New Roman" w:hAnsi="Times New Roman" w:cs="Times New Roman"/>
        </w:rPr>
        <w:t>DECIZIA PARLAMENTULUI EUROPEAN ȘI A CONSILIULUI</w:t>
      </w:r>
      <w:bookmarkEnd w:id="7"/>
    </w:p>
    <w:p w14:paraId="06A2A064" w14:textId="77777777" w:rsidR="00070F49" w:rsidRPr="00306CC1" w:rsidRDefault="00070F49" w:rsidP="00070F49">
      <w:pPr>
        <w:pStyle w:val="NormalBold24a"/>
      </w:pPr>
      <w:r w:rsidRPr="00BC5C58">
        <w:t>privind mobilizarea Fondului european de ajustare la globalizare pentru lucrătorii disponibilizați în urma unei cereri din partea Belgiei (EGF</w:t>
      </w:r>
      <w:r w:rsidRPr="00306CC1">
        <w:t>/2024/003 BE/Van Hool)</w:t>
      </w:r>
    </w:p>
    <w:p w14:paraId="5A2F06C8" w14:textId="5CB82E17" w:rsidR="00BC5C58" w:rsidRPr="00BC5C58" w:rsidRDefault="00BC5C58" w:rsidP="00BC5C58">
      <w:pPr>
        <w:widowControl/>
        <w:spacing w:before="120"/>
        <w:rPr>
          <w:i/>
          <w:noProof/>
        </w:rPr>
      </w:pPr>
      <w:r w:rsidRPr="00BC5C58">
        <w:rPr>
          <w:i/>
          <w:noProof/>
        </w:rPr>
        <w:t>(Textul prezentei anexe nu este reprodus aici, întrucât corespunde cu actul final, Decizia (UE) 2025/</w:t>
      </w:r>
      <w:r>
        <w:rPr>
          <w:i/>
          <w:noProof/>
        </w:rPr>
        <w:t>1018</w:t>
      </w:r>
      <w:r w:rsidRPr="00BC5C58">
        <w:rPr>
          <w:i/>
          <w:noProof/>
        </w:rPr>
        <w:t>.)</w:t>
      </w:r>
    </w:p>
    <w:p w14:paraId="57F3C846" w14:textId="77777777" w:rsidR="00070F49" w:rsidRPr="00306CC1" w:rsidRDefault="00070F49" w:rsidP="00070F49">
      <w:pPr>
        <w:widowControl/>
      </w:pPr>
      <w:bookmarkStart w:id="8" w:name="_GoBack"/>
      <w:bookmarkEnd w:id="8"/>
    </w:p>
    <w:sectPr w:rsidR="00070F49" w:rsidRPr="00306CC1" w:rsidSect="00306CC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2C55F6" w14:textId="77777777" w:rsidR="00B667DF" w:rsidRPr="00306CC1" w:rsidRDefault="00B667DF">
      <w:r w:rsidRPr="00306CC1">
        <w:separator/>
      </w:r>
    </w:p>
  </w:endnote>
  <w:endnote w:type="continuationSeparator" w:id="0">
    <w:p w14:paraId="1C684BBE" w14:textId="77777777" w:rsidR="00B667DF" w:rsidRPr="00306CC1" w:rsidRDefault="00B667DF">
      <w:r w:rsidRPr="00306C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9E246" w14:textId="77777777" w:rsidR="00070F49" w:rsidRPr="00306CC1" w:rsidRDefault="00070F49" w:rsidP="003C7144">
    <w:pPr>
      <w:pStyle w:val="EPFooter"/>
    </w:pPr>
    <w:r w:rsidRPr="00306CC1">
      <w:t>PE</w:t>
    </w:r>
    <w:r w:rsidRPr="00306CC1">
      <w:rPr>
        <w:rStyle w:val="HideTWBExt"/>
      </w:rPr>
      <w:t>&lt;NoPE&gt;</w:t>
    </w:r>
    <w:r w:rsidRPr="00306CC1">
      <w:t>771.884</w:t>
    </w:r>
    <w:r w:rsidRPr="00306CC1">
      <w:rPr>
        <w:rStyle w:val="HideTWBExt"/>
      </w:rPr>
      <w:t>&lt;/NoPE&gt;&lt;Version&gt;</w:t>
    </w:r>
    <w:r w:rsidRPr="00306CC1">
      <w:t>v03-00</w:t>
    </w:r>
    <w:r w:rsidRPr="00306CC1">
      <w:rPr>
        <w:rStyle w:val="HideTWBExt"/>
      </w:rPr>
      <w:t>&lt;/Version&gt;</w:t>
    </w:r>
    <w:r w:rsidRPr="00306CC1">
      <w:tab/>
    </w:r>
    <w:r w:rsidRPr="00306CC1">
      <w:fldChar w:fldCharType="begin"/>
    </w:r>
    <w:r w:rsidRPr="00306CC1">
      <w:instrText xml:space="preserve"> PAGE  \* MERGEFORMAT </w:instrText>
    </w:r>
    <w:r w:rsidRPr="00306CC1">
      <w:fldChar w:fldCharType="separate"/>
    </w:r>
    <w:r w:rsidR="00306CC1" w:rsidRPr="00306CC1">
      <w:rPr>
        <w:noProof/>
      </w:rPr>
      <w:t>2</w:t>
    </w:r>
    <w:r w:rsidRPr="00306CC1">
      <w:fldChar w:fldCharType="end"/>
    </w:r>
    <w:r w:rsidRPr="00306CC1">
      <w:t>/</w:t>
    </w:r>
    <w:fldSimple w:instr=" NUMPAGES  \* MERGEFORMAT ">
      <w:r w:rsidR="00306CC1" w:rsidRPr="00306CC1">
        <w:rPr>
          <w:noProof/>
        </w:rPr>
        <w:t>8</w:t>
      </w:r>
    </w:fldSimple>
    <w:r w:rsidRPr="00306CC1">
      <w:tab/>
    </w:r>
    <w:r w:rsidRPr="00306CC1">
      <w:rPr>
        <w:rStyle w:val="HideTWBExt"/>
      </w:rPr>
      <w:t>&lt;PathFdR&gt;</w:t>
    </w:r>
    <w:r w:rsidRPr="00306CC1">
      <w:t>RR\1320028RO.docx</w:t>
    </w:r>
    <w:r w:rsidRPr="00306CC1">
      <w:rPr>
        <w:rStyle w:val="HideTWBExt"/>
      </w:rPr>
      <w:t>&lt;/PathFdR&gt;</w:t>
    </w:r>
  </w:p>
  <w:p w14:paraId="458A86FF" w14:textId="77777777" w:rsidR="00070F49" w:rsidRPr="00306CC1" w:rsidRDefault="00070F49" w:rsidP="003C7144">
    <w:pPr>
      <w:pStyle w:val="EPFooter2"/>
    </w:pPr>
    <w:r w:rsidRPr="00306CC1">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66157" w14:textId="77777777" w:rsidR="00070F49" w:rsidRPr="00306CC1" w:rsidRDefault="00070F49" w:rsidP="003C7144">
    <w:pPr>
      <w:pStyle w:val="EPFooter"/>
    </w:pPr>
    <w:r w:rsidRPr="00306CC1">
      <w:rPr>
        <w:rStyle w:val="HideTWBExt"/>
      </w:rPr>
      <w:t>&lt;PathFdR&gt;</w:t>
    </w:r>
    <w:r w:rsidRPr="00306CC1">
      <w:t>RR\1320028RO.docx</w:t>
    </w:r>
    <w:r w:rsidRPr="00306CC1">
      <w:rPr>
        <w:rStyle w:val="HideTWBExt"/>
      </w:rPr>
      <w:t>&lt;/PathFdR&gt;</w:t>
    </w:r>
    <w:r w:rsidRPr="00306CC1">
      <w:tab/>
    </w:r>
    <w:r w:rsidRPr="00306CC1">
      <w:tab/>
      <w:t>PE</w:t>
    </w:r>
    <w:r w:rsidRPr="00306CC1">
      <w:rPr>
        <w:rStyle w:val="HideTWBExt"/>
      </w:rPr>
      <w:t>&lt;NoPE&gt;</w:t>
    </w:r>
    <w:r w:rsidRPr="00306CC1">
      <w:t>771.884</w:t>
    </w:r>
    <w:r w:rsidRPr="00306CC1">
      <w:rPr>
        <w:rStyle w:val="HideTWBExt"/>
      </w:rPr>
      <w:t>&lt;/NoPE&gt;&lt;Version&gt;</w:t>
    </w:r>
    <w:r w:rsidRPr="00306CC1">
      <w:t>v03-00</w:t>
    </w:r>
    <w:r w:rsidRPr="00306CC1">
      <w:rPr>
        <w:rStyle w:val="HideTWBExt"/>
      </w:rPr>
      <w:t>&lt;/Version&gt;</w:t>
    </w:r>
  </w:p>
  <w:p w14:paraId="2EB134D4" w14:textId="77777777" w:rsidR="00070F49" w:rsidRPr="00306CC1" w:rsidRDefault="00070F49" w:rsidP="003C7144">
    <w:pPr>
      <w:pStyle w:val="EPFooter2"/>
    </w:pPr>
    <w:r w:rsidRPr="00306CC1">
      <w:t>RO</w:t>
    </w:r>
    <w:r w:rsidRPr="00306CC1">
      <w:tab/>
    </w:r>
    <w:r w:rsidRPr="00306CC1">
      <w:rPr>
        <w:b w:val="0"/>
        <w:i/>
        <w:color w:val="C0C0C0"/>
        <w:sz w:val="22"/>
      </w:rPr>
      <w:t>Unită în diversitate</w:t>
    </w:r>
    <w:r w:rsidRPr="00306CC1">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8404C" w14:textId="77777777" w:rsidR="00064002" w:rsidRPr="00306CC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6320E" w14:textId="77777777" w:rsidR="00064002" w:rsidRPr="00306CC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FC774" w14:textId="77777777" w:rsidR="00064002" w:rsidRPr="00306CC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A6E494" w14:textId="77777777" w:rsidR="00B667DF" w:rsidRPr="00306CC1" w:rsidRDefault="00B667DF">
      <w:r w:rsidRPr="00306CC1">
        <w:separator/>
      </w:r>
    </w:p>
  </w:footnote>
  <w:footnote w:type="continuationSeparator" w:id="0">
    <w:p w14:paraId="50D323F2" w14:textId="77777777" w:rsidR="00B667DF" w:rsidRPr="00306CC1" w:rsidRDefault="00B667DF">
      <w:r w:rsidRPr="00306CC1">
        <w:continuationSeparator/>
      </w:r>
    </w:p>
  </w:footnote>
  <w:footnote w:id="1">
    <w:p w14:paraId="709E54AC" w14:textId="77777777" w:rsidR="00070F49" w:rsidRPr="00306CC1" w:rsidRDefault="00070F49" w:rsidP="00306CC1">
      <w:pPr>
        <w:pStyle w:val="FootnoteText"/>
        <w:ind w:left="567" w:hanging="567"/>
        <w:rPr>
          <w:sz w:val="24"/>
          <w:lang w:val="ro-RO"/>
        </w:rPr>
      </w:pPr>
      <w:r w:rsidRPr="00306CC1">
        <w:rPr>
          <w:rStyle w:val="FootnoteReference"/>
          <w:sz w:val="24"/>
          <w:lang w:val="ro-RO"/>
        </w:rPr>
        <w:footnoteRef/>
      </w:r>
      <w:r w:rsidR="00306CC1" w:rsidRPr="00306CC1">
        <w:rPr>
          <w:sz w:val="24"/>
          <w:lang w:val="ro-RO"/>
        </w:rPr>
        <w:t xml:space="preserve"> </w:t>
      </w:r>
      <w:r w:rsidR="00306CC1" w:rsidRPr="00306CC1">
        <w:rPr>
          <w:sz w:val="24"/>
          <w:lang w:val="ro-RO"/>
        </w:rPr>
        <w:tab/>
      </w:r>
      <w:r w:rsidRPr="00306CC1">
        <w:rPr>
          <w:sz w:val="24"/>
          <w:lang w:val="ro-RO"/>
        </w:rPr>
        <w:t xml:space="preserve">JO L 153, 3.5.2021, p. 48, ELI: </w:t>
      </w:r>
      <w:hyperlink r:id="rId1" w:history="1">
        <w:r w:rsidRPr="00291C5F">
          <w:rPr>
            <w:rStyle w:val="Hyperlink"/>
            <w:sz w:val="24"/>
            <w:lang w:val="ro-RO"/>
          </w:rPr>
          <w:t>http://data.europa.eu/eli/reg/2021/691/oj</w:t>
        </w:r>
      </w:hyperlink>
      <w:r w:rsidRPr="00306CC1">
        <w:rPr>
          <w:sz w:val="24"/>
          <w:lang w:val="ro-RO"/>
        </w:rPr>
        <w:t>.</w:t>
      </w:r>
    </w:p>
  </w:footnote>
  <w:footnote w:id="2">
    <w:p w14:paraId="052344EC" w14:textId="77777777" w:rsidR="00070F49" w:rsidRPr="00306CC1" w:rsidRDefault="00070F49" w:rsidP="00306CC1">
      <w:pPr>
        <w:pStyle w:val="FootnoteText"/>
        <w:ind w:left="567" w:hanging="567"/>
        <w:rPr>
          <w:sz w:val="24"/>
          <w:lang w:val="ro-RO"/>
        </w:rPr>
      </w:pPr>
      <w:r w:rsidRPr="00306CC1">
        <w:rPr>
          <w:rStyle w:val="FootnoteReference"/>
          <w:sz w:val="24"/>
          <w:lang w:val="ro-RO"/>
        </w:rPr>
        <w:footnoteRef/>
      </w:r>
      <w:r w:rsidR="00306CC1" w:rsidRPr="00306CC1">
        <w:rPr>
          <w:sz w:val="24"/>
          <w:lang w:val="ro-RO"/>
        </w:rPr>
        <w:t xml:space="preserve"> </w:t>
      </w:r>
      <w:r w:rsidR="00306CC1" w:rsidRPr="00306CC1">
        <w:rPr>
          <w:sz w:val="24"/>
          <w:lang w:val="ro-RO"/>
        </w:rPr>
        <w:tab/>
      </w:r>
      <w:r w:rsidRPr="00306CC1">
        <w:rPr>
          <w:sz w:val="24"/>
          <w:lang w:val="ro-RO"/>
        </w:rPr>
        <w:t xml:space="preserve">JO L 433 I, 22.12.2020, p. 11, ELI: </w:t>
      </w:r>
      <w:hyperlink r:id="rId2" w:history="1">
        <w:r w:rsidRPr="00291C5F">
          <w:rPr>
            <w:rStyle w:val="Hyperlink"/>
            <w:sz w:val="24"/>
            <w:lang w:val="ro-RO"/>
          </w:rPr>
          <w:t>http://data.europa.eu/eli/reg/2020/2093/oj</w:t>
        </w:r>
      </w:hyperlink>
      <w:r w:rsidRPr="00306CC1">
        <w:rPr>
          <w:sz w:val="24"/>
          <w:lang w:val="ro-RO"/>
        </w:rPr>
        <w:t>.</w:t>
      </w:r>
    </w:p>
  </w:footnote>
  <w:footnote w:id="3">
    <w:p w14:paraId="3517BDB8" w14:textId="77777777" w:rsidR="00070F49" w:rsidRPr="00306CC1" w:rsidRDefault="00070F49" w:rsidP="00306CC1">
      <w:pPr>
        <w:pStyle w:val="FootnoteText"/>
        <w:ind w:left="567" w:hanging="567"/>
        <w:rPr>
          <w:sz w:val="24"/>
          <w:lang w:val="ro-RO"/>
        </w:rPr>
      </w:pPr>
      <w:r w:rsidRPr="00306CC1">
        <w:rPr>
          <w:rStyle w:val="FootnoteReference"/>
          <w:sz w:val="24"/>
          <w:lang w:val="ro-RO"/>
        </w:rPr>
        <w:footnoteRef/>
      </w:r>
      <w:r w:rsidR="00306CC1" w:rsidRPr="00306CC1">
        <w:rPr>
          <w:color w:val="333333"/>
          <w:sz w:val="24"/>
          <w:shd w:val="clear" w:color="auto" w:fill="FFFFFF"/>
          <w:lang w:val="ro-RO"/>
        </w:rPr>
        <w:t xml:space="preserve"> </w:t>
      </w:r>
      <w:r w:rsidR="00306CC1" w:rsidRPr="00306CC1">
        <w:rPr>
          <w:color w:val="333333"/>
          <w:sz w:val="24"/>
          <w:shd w:val="clear" w:color="auto" w:fill="FFFFFF"/>
          <w:lang w:val="ro-RO"/>
        </w:rPr>
        <w:tab/>
      </w:r>
      <w:r w:rsidRPr="00306CC1">
        <w:rPr>
          <w:color w:val="333333"/>
          <w:sz w:val="24"/>
          <w:shd w:val="clear" w:color="auto" w:fill="FFFFFF"/>
          <w:lang w:val="ro-RO"/>
        </w:rPr>
        <w:t>Regulamentul (UE, Euratom) 2024/765 al Consiliului din 29 februarie 2024 de modificare a Regulamentului (UE, Euratom) 2020/2093 de stabilire a cadrului financiar multianual pentru perioada 2021-2027 (</w:t>
      </w:r>
      <w:r w:rsidRPr="00306CC1">
        <w:rPr>
          <w:sz w:val="24"/>
          <w:lang w:val="ro-RO"/>
        </w:rPr>
        <w:t xml:space="preserve">JO L, 2024/765, 29.2.2024, </w:t>
      </w:r>
      <w:r w:rsidRPr="001038BB">
        <w:rPr>
          <w:rStyle w:val="Emphasis"/>
          <w:i w:val="0"/>
          <w:color w:val="333333"/>
          <w:sz w:val="24"/>
          <w:shd w:val="clear" w:color="auto" w:fill="FFFFFF"/>
          <w:lang w:val="ro-RO"/>
        </w:rPr>
        <w:t xml:space="preserve">ELI: </w:t>
      </w:r>
      <w:hyperlink r:id="rId3" w:history="1">
        <w:r w:rsidRPr="001038BB">
          <w:rPr>
            <w:rStyle w:val="Hyperlink"/>
            <w:szCs w:val="24"/>
          </w:rPr>
          <w:t>http://data.europa.eu/eli/reg/2024/765/oj</w:t>
        </w:r>
      </w:hyperlink>
      <w:r w:rsidRPr="001038BB">
        <w:rPr>
          <w:rStyle w:val="Emphasis"/>
          <w:i w:val="0"/>
          <w:color w:val="333333"/>
          <w:sz w:val="24"/>
          <w:szCs w:val="24"/>
          <w:shd w:val="clear" w:color="auto" w:fill="FFFFFF"/>
          <w:lang w:val="ro-RO"/>
        </w:rPr>
        <w:t>).</w:t>
      </w:r>
    </w:p>
  </w:footnote>
  <w:footnote w:id="4">
    <w:p w14:paraId="6AD60738" w14:textId="77777777" w:rsidR="00070F49" w:rsidRPr="00306CC1" w:rsidRDefault="00070F49" w:rsidP="00306CC1">
      <w:pPr>
        <w:pStyle w:val="FootnoteText"/>
        <w:ind w:left="567" w:hanging="567"/>
        <w:rPr>
          <w:sz w:val="24"/>
          <w:lang w:val="ro-RO"/>
        </w:rPr>
      </w:pPr>
      <w:r w:rsidRPr="00306CC1">
        <w:rPr>
          <w:rStyle w:val="FootnoteReference"/>
          <w:sz w:val="24"/>
          <w:lang w:val="ro-RO"/>
        </w:rPr>
        <w:footnoteRef/>
      </w:r>
      <w:r w:rsidR="00306CC1" w:rsidRPr="00306CC1">
        <w:rPr>
          <w:sz w:val="24"/>
          <w:lang w:val="ro-RO"/>
        </w:rPr>
        <w:t xml:space="preserve"> </w:t>
      </w:r>
      <w:r w:rsidR="00306CC1" w:rsidRPr="00306CC1">
        <w:rPr>
          <w:sz w:val="24"/>
          <w:lang w:val="ro-RO"/>
        </w:rPr>
        <w:tab/>
      </w:r>
      <w:r w:rsidRPr="00306CC1">
        <w:rPr>
          <w:sz w:val="24"/>
          <w:lang w:val="ro-RO"/>
        </w:rPr>
        <w:t xml:space="preserve">JO L 433 I, 22.12.2020, p. 28, ELI: </w:t>
      </w:r>
      <w:hyperlink r:id="rId4" w:history="1">
        <w:r w:rsidRPr="00291C5F">
          <w:rPr>
            <w:rStyle w:val="Hyperlink"/>
            <w:sz w:val="24"/>
            <w:lang w:val="ro-RO"/>
          </w:rPr>
          <w:t>http://data.europa.eu/eli/agree_interinstit/2020/1222/oj</w:t>
        </w:r>
      </w:hyperlink>
      <w:r w:rsidRPr="00306CC1">
        <w:rPr>
          <w:sz w:val="24"/>
          <w:lang w:val="ro-RO"/>
        </w:rPr>
        <w:t>.</w:t>
      </w:r>
    </w:p>
  </w:footnote>
  <w:footnote w:id="5">
    <w:p w14:paraId="2FDFE535" w14:textId="77777777" w:rsidR="00070F49" w:rsidRPr="00306CC1" w:rsidRDefault="00070F49" w:rsidP="00306CC1">
      <w:pPr>
        <w:pStyle w:val="FootnoteText"/>
        <w:ind w:left="567" w:hanging="567"/>
        <w:rPr>
          <w:sz w:val="24"/>
          <w:lang w:val="ro-RO"/>
        </w:rPr>
      </w:pPr>
      <w:r w:rsidRPr="00306CC1">
        <w:rPr>
          <w:rStyle w:val="FootnoteReference"/>
          <w:sz w:val="24"/>
          <w:lang w:val="ro-RO"/>
        </w:rPr>
        <w:footnoteRef/>
      </w:r>
      <w:r w:rsidR="00306CC1" w:rsidRPr="00306CC1">
        <w:rPr>
          <w:sz w:val="24"/>
          <w:lang w:val="ro-RO"/>
        </w:rPr>
        <w:t xml:space="preserve"> </w:t>
      </w:r>
      <w:r w:rsidR="00306CC1" w:rsidRPr="00306CC1">
        <w:rPr>
          <w:sz w:val="24"/>
          <w:lang w:val="ro-RO"/>
        </w:rPr>
        <w:tab/>
      </w:r>
      <w:r w:rsidRPr="00306CC1">
        <w:rPr>
          <w:sz w:val="24"/>
          <w:lang w:val="ro-RO"/>
        </w:rPr>
        <w:t>În sensul articolului 3 din Regulamentul privind FEG.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C9283" w14:textId="77777777" w:rsidR="00064002" w:rsidRPr="00306CC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ECE57" w14:textId="77777777" w:rsidR="00064002" w:rsidRPr="00306CC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02DBE" w14:textId="77777777" w:rsidR="00064002" w:rsidRPr="00306CC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0/2025"/>
    <w:docVar w:name="dvlangue" w:val="RO"/>
    <w:docVar w:name="dvnumam" w:val="0"/>
    <w:docVar w:name="dvpe" w:val="771.884"/>
    <w:docVar w:name="dvrapporteur" w:val="Raportor: "/>
    <w:docVar w:name="dvtitre" w:val="Rezoluția Parlamentului European din 6 mai 2025 referitoare la propunerea de decizie a Parlamentului European și a Consiliului privind mobilizarea Fondului european de ajustare la globalizare pentru lucrătorii disponibilizați în urma unei cereri din partea Belgiei (EGF/2024/003 BE/Van Hool)(COM(2025)0001 – C10-0056/2025 – 2025/0061(BUD))"/>
  </w:docVars>
  <w:rsids>
    <w:rsidRoot w:val="00B667DF"/>
    <w:rsid w:val="00002272"/>
    <w:rsid w:val="00064002"/>
    <w:rsid w:val="000677B9"/>
    <w:rsid w:val="00070F49"/>
    <w:rsid w:val="000831BA"/>
    <w:rsid w:val="000A42CC"/>
    <w:rsid w:val="000A6259"/>
    <w:rsid w:val="000E7DD9"/>
    <w:rsid w:val="0010095E"/>
    <w:rsid w:val="001038BB"/>
    <w:rsid w:val="00125B37"/>
    <w:rsid w:val="00172B91"/>
    <w:rsid w:val="00187494"/>
    <w:rsid w:val="001F32AE"/>
    <w:rsid w:val="00202BA1"/>
    <w:rsid w:val="002767FF"/>
    <w:rsid w:val="0028337F"/>
    <w:rsid w:val="00291C5F"/>
    <w:rsid w:val="002B18FE"/>
    <w:rsid w:val="002B5493"/>
    <w:rsid w:val="00306CC1"/>
    <w:rsid w:val="00343214"/>
    <w:rsid w:val="00352D0A"/>
    <w:rsid w:val="00361C00"/>
    <w:rsid w:val="0039004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31E7"/>
    <w:rsid w:val="00A1687D"/>
    <w:rsid w:val="00A43E52"/>
    <w:rsid w:val="00A4678D"/>
    <w:rsid w:val="00A778C7"/>
    <w:rsid w:val="00AB441E"/>
    <w:rsid w:val="00AB6293"/>
    <w:rsid w:val="00AE0928"/>
    <w:rsid w:val="00AF3B82"/>
    <w:rsid w:val="00B12E95"/>
    <w:rsid w:val="00B22876"/>
    <w:rsid w:val="00B558F0"/>
    <w:rsid w:val="00B667DF"/>
    <w:rsid w:val="00BC5C5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0D4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A4C09A"/>
  <w15:chartTrackingRefBased/>
  <w15:docId w15:val="{7F431D45-E20D-4902-88A1-BE426831A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70F4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070F49"/>
    <w:pPr>
      <w:keepNext/>
      <w:spacing w:after="480"/>
      <w:jc w:val="center"/>
    </w:pPr>
    <w:rPr>
      <w:rFonts w:ascii="Arial" w:hAnsi="Arial" w:cs="Arial"/>
      <w:b/>
    </w:rPr>
  </w:style>
  <w:style w:type="paragraph" w:customStyle="1" w:styleId="NormalHanging12a">
    <w:name w:val="NormalHanging12a"/>
    <w:basedOn w:val="Normal"/>
    <w:link w:val="NormalHanging12aChar"/>
    <w:rsid w:val="00070F49"/>
    <w:pPr>
      <w:spacing w:after="240"/>
      <w:ind w:left="567" w:hanging="567"/>
    </w:pPr>
  </w:style>
  <w:style w:type="paragraph" w:styleId="Header">
    <w:name w:val="header"/>
    <w:basedOn w:val="Normal"/>
    <w:link w:val="HeaderChar"/>
    <w:rsid w:val="00070F49"/>
    <w:pPr>
      <w:tabs>
        <w:tab w:val="center" w:pos="4513"/>
        <w:tab w:val="right" w:pos="9026"/>
      </w:tabs>
    </w:pPr>
  </w:style>
  <w:style w:type="character" w:customStyle="1" w:styleId="HeaderChar">
    <w:name w:val="Header Char"/>
    <w:basedOn w:val="DefaultParagraphFont"/>
    <w:link w:val="Header"/>
    <w:rsid w:val="00070F49"/>
    <w:rPr>
      <w:sz w:val="24"/>
      <w:lang w:val="ro-RO"/>
    </w:rPr>
  </w:style>
  <w:style w:type="paragraph" w:customStyle="1" w:styleId="NormalBold24a">
    <w:name w:val="NormalBold24a"/>
    <w:basedOn w:val="Normal"/>
    <w:rsid w:val="00070F49"/>
    <w:pPr>
      <w:spacing w:after="480"/>
    </w:pPr>
    <w:rPr>
      <w:b/>
      <w:bCs/>
    </w:rPr>
  </w:style>
  <w:style w:type="paragraph" w:customStyle="1" w:styleId="EPFooter">
    <w:name w:val="EPFooter"/>
    <w:basedOn w:val="Normal"/>
    <w:rsid w:val="00070F49"/>
    <w:pPr>
      <w:tabs>
        <w:tab w:val="center" w:pos="4535"/>
        <w:tab w:val="right" w:pos="9071"/>
      </w:tabs>
      <w:spacing w:before="240" w:after="240"/>
    </w:pPr>
    <w:rPr>
      <w:color w:val="010000"/>
      <w:sz w:val="22"/>
    </w:rPr>
  </w:style>
  <w:style w:type="paragraph" w:customStyle="1" w:styleId="EPComma">
    <w:name w:val="EPComma"/>
    <w:basedOn w:val="Normal"/>
    <w:rsid w:val="00070F49"/>
    <w:pPr>
      <w:spacing w:before="480" w:after="240"/>
    </w:pPr>
  </w:style>
  <w:style w:type="character" w:customStyle="1" w:styleId="NormalHanging12aChar">
    <w:name w:val="NormalHanging12a Char"/>
    <w:basedOn w:val="DefaultParagraphFont"/>
    <w:link w:val="NormalHanging12a"/>
    <w:locked/>
    <w:rsid w:val="00070F49"/>
    <w:rPr>
      <w:sz w:val="24"/>
      <w:lang w:val="ro-RO"/>
    </w:rPr>
  </w:style>
  <w:style w:type="character" w:styleId="Emphasis">
    <w:name w:val="Emphasis"/>
    <w:basedOn w:val="DefaultParagraphFont"/>
    <w:uiPriority w:val="20"/>
    <w:qFormat/>
    <w:rsid w:val="00070F49"/>
    <w:rPr>
      <w:i/>
      <w:iCs/>
    </w:rPr>
  </w:style>
  <w:style w:type="paragraph" w:customStyle="1" w:styleId="Institutionquiagit">
    <w:name w:val="Institution qui agit"/>
    <w:basedOn w:val="Normal"/>
    <w:next w:val="Normal"/>
    <w:rsid w:val="00070F49"/>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070F49"/>
    <w:pPr>
      <w:widowControl/>
      <w:spacing w:before="120" w:after="120"/>
      <w:ind w:left="709" w:hanging="709"/>
      <w:jc w:val="both"/>
    </w:pPr>
    <w:rPr>
      <w:rFonts w:eastAsiaTheme="minorEastAsia"/>
      <w:szCs w:val="22"/>
      <w:lang w:eastAsia="en-US"/>
    </w:rPr>
  </w:style>
  <w:style w:type="paragraph" w:customStyle="1" w:styleId="Institutionquisigne">
    <w:name w:val="Institution qui signe"/>
    <w:basedOn w:val="Normal"/>
    <w:next w:val="Normal"/>
    <w:rsid w:val="00070F49"/>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070F49"/>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070F4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070F49"/>
    <w:pPr>
      <w:keepNext/>
      <w:widowControl/>
      <w:spacing w:before="120" w:after="120"/>
      <w:jc w:val="both"/>
    </w:pPr>
    <w:rPr>
      <w:rFonts w:eastAsiaTheme="minorHAnsi"/>
      <w:szCs w:val="22"/>
      <w:lang w:eastAsia="en-US"/>
    </w:rPr>
  </w:style>
  <w:style w:type="character" w:styleId="Hyperlink">
    <w:name w:val="Hyperlink"/>
    <w:basedOn w:val="DefaultParagraphFont"/>
    <w:uiPriority w:val="99"/>
    <w:rsid w:val="00070F49"/>
    <w:rPr>
      <w:color w:val="0563C1" w:themeColor="hyperlink"/>
      <w:u w:val="single"/>
    </w:rPr>
  </w:style>
  <w:style w:type="character" w:customStyle="1" w:styleId="PageHeadingChar">
    <w:name w:val="PageHeading Char"/>
    <w:basedOn w:val="DefaultParagraphFont"/>
    <w:link w:val="PageHeading"/>
    <w:rsid w:val="00070F49"/>
    <w:rPr>
      <w:rFonts w:ascii="Arial" w:hAnsi="Arial" w:cs="Arial"/>
      <w:b/>
      <w:sz w:val="24"/>
      <w:lang w:val="ro-RO"/>
    </w:rPr>
  </w:style>
  <w:style w:type="paragraph" w:customStyle="1" w:styleId="Personnequisigne">
    <w:name w:val="Personne qui signe"/>
    <w:basedOn w:val="Normal"/>
    <w:next w:val="Institutionquisigne"/>
    <w:rsid w:val="00070F49"/>
    <w:pPr>
      <w:widowControl/>
      <w:tabs>
        <w:tab w:val="left" w:pos="5669"/>
      </w:tabs>
      <w:spacing w:line="360" w:lineRule="auto"/>
    </w:pPr>
    <w:rPr>
      <w:rFonts w:eastAsiaTheme="minorHAnsi"/>
      <w:i/>
      <w:szCs w:val="22"/>
      <w:lang w:eastAsia="en-US"/>
    </w:rPr>
  </w:style>
  <w:style w:type="paragraph" w:styleId="Footer">
    <w:name w:val="footer"/>
    <w:basedOn w:val="Normal"/>
    <w:link w:val="FooterChar"/>
    <w:rsid w:val="00291C5F"/>
    <w:pPr>
      <w:tabs>
        <w:tab w:val="center" w:pos="4513"/>
        <w:tab w:val="right" w:pos="9026"/>
      </w:tabs>
    </w:pPr>
  </w:style>
  <w:style w:type="character" w:customStyle="1" w:styleId="FooterChar">
    <w:name w:val="Footer Char"/>
    <w:basedOn w:val="DefaultParagraphFont"/>
    <w:link w:val="Footer"/>
    <w:rsid w:val="00291C5F"/>
    <w:rPr>
      <w:sz w:val="24"/>
      <w:lang w:val="ro-RO"/>
    </w:rPr>
  </w:style>
  <w:style w:type="paragraph" w:styleId="BalloonText">
    <w:name w:val="Balloon Text"/>
    <w:basedOn w:val="Normal"/>
    <w:link w:val="BalloonTextChar"/>
    <w:rsid w:val="00291C5F"/>
    <w:rPr>
      <w:rFonts w:ascii="Segoe UI" w:hAnsi="Segoe UI" w:cs="Segoe UI"/>
      <w:sz w:val="18"/>
      <w:szCs w:val="18"/>
    </w:rPr>
  </w:style>
  <w:style w:type="character" w:customStyle="1" w:styleId="BalloonTextChar">
    <w:name w:val="Balloon Text Char"/>
    <w:basedOn w:val="DefaultParagraphFont"/>
    <w:link w:val="BalloonText"/>
    <w:rsid w:val="00291C5F"/>
    <w:rPr>
      <w:rFonts w:ascii="Segoe UI" w:hAnsi="Segoe UI" w:cs="Segoe UI"/>
      <w:sz w:val="18"/>
      <w:szCs w:val="18"/>
      <w:lang w:val="ro-RO"/>
    </w:rPr>
  </w:style>
  <w:style w:type="character" w:styleId="CommentReference">
    <w:name w:val="annotation reference"/>
    <w:basedOn w:val="DefaultParagraphFont"/>
    <w:rsid w:val="00291C5F"/>
    <w:rPr>
      <w:sz w:val="16"/>
      <w:szCs w:val="16"/>
    </w:rPr>
  </w:style>
  <w:style w:type="paragraph" w:styleId="CommentText">
    <w:name w:val="annotation text"/>
    <w:basedOn w:val="Normal"/>
    <w:link w:val="CommentTextChar"/>
    <w:rsid w:val="00291C5F"/>
    <w:rPr>
      <w:sz w:val="20"/>
    </w:rPr>
  </w:style>
  <w:style w:type="character" w:customStyle="1" w:styleId="CommentTextChar">
    <w:name w:val="Comment Text Char"/>
    <w:basedOn w:val="DefaultParagraphFont"/>
    <w:link w:val="CommentText"/>
    <w:rsid w:val="00291C5F"/>
    <w:rPr>
      <w:lang w:val="ro-RO"/>
    </w:rPr>
  </w:style>
  <w:style w:type="paragraph" w:styleId="CommentSubject">
    <w:name w:val="annotation subject"/>
    <w:basedOn w:val="CommentText"/>
    <w:next w:val="CommentText"/>
    <w:link w:val="CommentSubjectChar"/>
    <w:rsid w:val="00291C5F"/>
    <w:rPr>
      <w:b/>
      <w:bCs/>
    </w:rPr>
  </w:style>
  <w:style w:type="character" w:customStyle="1" w:styleId="CommentSubjectChar">
    <w:name w:val="Comment Subject Char"/>
    <w:basedOn w:val="CommentTextChar"/>
    <w:link w:val="CommentSubject"/>
    <w:rsid w:val="00291C5F"/>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10BC0-779D-4A96-A3B7-8E3BD5038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1538</Words>
  <Characters>9206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2025-06-11T12:07:00Z</dcterms:created>
  <dcterms:modified xsi:type="dcterms:W3CDTF">2025-06-11T12:07:00Z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P10_TA(2025)0074_</vt:lpwstr>
  </property>
  <property fmtid="{D5CDD505-2E9C-101B-9397-08002B2CF9AE}" pid="4" name="&lt;Type&gt;">
    <vt:lpwstr>RR</vt:lpwstr>
  </property>
</Properties>
</file>