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EA5" w14:paraId="28791221" w14:textId="77777777" w:rsidTr="0010095E">
        <w:trPr>
          <w:trHeight w:hRule="exact" w:val="1418"/>
        </w:trPr>
        <w:tc>
          <w:tcPr>
            <w:tcW w:w="6804" w:type="dxa"/>
            <w:shd w:val="clear" w:color="auto" w:fill="auto"/>
            <w:vAlign w:val="center"/>
          </w:tcPr>
          <w:p w14:paraId="18D6DF5B" w14:textId="77777777" w:rsidR="00751A4A" w:rsidRPr="00DE7EA5" w:rsidRDefault="000917CD" w:rsidP="0010095E">
            <w:pPr>
              <w:pStyle w:val="EPName"/>
            </w:pPr>
            <w:r w:rsidRPr="00DE7EA5">
              <w:t>Evropski parlament</w:t>
            </w:r>
          </w:p>
          <w:p w14:paraId="06437689" w14:textId="77777777" w:rsidR="00751A4A" w:rsidRPr="00DE7EA5" w:rsidRDefault="005F1B17" w:rsidP="005F1B17">
            <w:pPr>
              <w:pStyle w:val="EPTerm"/>
              <w:rPr>
                <w:rStyle w:val="HideTWBExt"/>
                <w:noProof w:val="0"/>
                <w:vanish w:val="0"/>
                <w:color w:val="auto"/>
              </w:rPr>
            </w:pPr>
            <w:r w:rsidRPr="00DE7EA5">
              <w:t>2024</w:t>
            </w:r>
            <w:r w:rsidR="00817416" w:rsidRPr="00DE7EA5">
              <w:t>-202</w:t>
            </w:r>
            <w:r w:rsidRPr="00DE7EA5">
              <w:t>9</w:t>
            </w:r>
          </w:p>
        </w:tc>
        <w:tc>
          <w:tcPr>
            <w:tcW w:w="2268" w:type="dxa"/>
            <w:shd w:val="clear" w:color="auto" w:fill="auto"/>
          </w:tcPr>
          <w:p w14:paraId="65271C64" w14:textId="77777777" w:rsidR="00751A4A" w:rsidRPr="00DE7EA5" w:rsidRDefault="00187494" w:rsidP="0010095E">
            <w:pPr>
              <w:pStyle w:val="EPLogo"/>
            </w:pPr>
            <w:r w:rsidRPr="00DE7EA5">
              <w:rPr>
                <w:noProof/>
                <w:lang w:val="en-GB"/>
              </w:rPr>
              <w:drawing>
                <wp:inline distT="0" distB="0" distL="0" distR="0" wp14:anchorId="60AB40FF" wp14:editId="24E94E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B941BF" w14:textId="77777777" w:rsidR="00D058B8" w:rsidRPr="00DE7EA5" w:rsidRDefault="00D058B8" w:rsidP="004C5D52">
      <w:pPr>
        <w:pStyle w:val="LineTop"/>
      </w:pPr>
    </w:p>
    <w:p w14:paraId="291C1A59" w14:textId="77777777" w:rsidR="00680577" w:rsidRPr="00DE7EA5" w:rsidRDefault="000917CD" w:rsidP="00680577">
      <w:pPr>
        <w:pStyle w:val="EPBodyTA1"/>
      </w:pPr>
      <w:r w:rsidRPr="00DE7EA5">
        <w:t>SPREJETA BESEDILA</w:t>
      </w:r>
    </w:p>
    <w:p w14:paraId="362B99A1" w14:textId="77777777" w:rsidR="00D058B8" w:rsidRPr="00DE7EA5" w:rsidRDefault="00D058B8" w:rsidP="00D058B8">
      <w:pPr>
        <w:pStyle w:val="LineBottom"/>
      </w:pPr>
    </w:p>
    <w:p w14:paraId="41B19266" w14:textId="27574EED" w:rsidR="000917CD" w:rsidRPr="00DE7EA5" w:rsidRDefault="000917CD" w:rsidP="000917CD">
      <w:pPr>
        <w:pStyle w:val="ATHeading1"/>
      </w:pPr>
      <w:bookmarkStart w:id="0" w:name="TANumber"/>
      <w:r w:rsidRPr="00DE7EA5">
        <w:t>P10_TA(2025)</w:t>
      </w:r>
      <w:bookmarkEnd w:id="0"/>
      <w:r w:rsidR="00F50DC4">
        <w:t>0074</w:t>
      </w:r>
    </w:p>
    <w:p w14:paraId="544A35E2" w14:textId="6326877E" w:rsidR="000917CD" w:rsidRPr="00DE7EA5" w:rsidRDefault="00F50DC4" w:rsidP="00F50DC4">
      <w:pPr>
        <w:pStyle w:val="ATHeading2"/>
      </w:pPr>
      <w:bookmarkStart w:id="1" w:name="title"/>
      <w:r>
        <w:t>Uporaba Evropskega sklada za prilagoditev globalizaciji za presežne delavce: vloga EGF/2024/003 BE/Van Hool – Belgija</w:t>
      </w:r>
      <w:bookmarkEnd w:id="1"/>
    </w:p>
    <w:p w14:paraId="3E020F58" w14:textId="77777777" w:rsidR="000917CD" w:rsidRPr="00DE7EA5" w:rsidRDefault="000917CD" w:rsidP="000917CD">
      <w:pPr>
        <w:rPr>
          <w:i/>
          <w:vanish/>
        </w:rPr>
      </w:pPr>
      <w:r w:rsidRPr="00DE7EA5">
        <w:rPr>
          <w:i/>
        </w:rPr>
        <w:fldChar w:fldCharType="begin"/>
      </w:r>
      <w:r w:rsidRPr="00DE7EA5">
        <w:rPr>
          <w:i/>
        </w:rPr>
        <w:instrText xml:space="preserve"> TC"(</w:instrText>
      </w:r>
      <w:bookmarkStart w:id="2" w:name="DocNumber"/>
      <w:r w:rsidRPr="00DE7EA5">
        <w:rPr>
          <w:i/>
        </w:rPr>
        <w:instrText>A10-0080/2025</w:instrText>
      </w:r>
      <w:bookmarkEnd w:id="2"/>
      <w:r w:rsidRPr="00DE7EA5">
        <w:rPr>
          <w:i/>
        </w:rPr>
        <w:instrText xml:space="preserve"> - Poročevalec: Janusz Lewandowski)"\l3 \n&gt; \* MERGEFORMAT </w:instrText>
      </w:r>
      <w:r w:rsidRPr="00DE7EA5">
        <w:rPr>
          <w:i/>
        </w:rPr>
        <w:fldChar w:fldCharType="end"/>
      </w:r>
    </w:p>
    <w:p w14:paraId="7013808D" w14:textId="77777777" w:rsidR="000917CD" w:rsidRPr="00DE7EA5" w:rsidRDefault="000917CD" w:rsidP="000917CD">
      <w:pPr>
        <w:rPr>
          <w:vanish/>
        </w:rPr>
      </w:pPr>
      <w:bookmarkStart w:id="3" w:name="Commission"/>
      <w:r w:rsidRPr="00DE7EA5">
        <w:rPr>
          <w:vanish/>
        </w:rPr>
        <w:t>Odbor za proračun</w:t>
      </w:r>
      <w:bookmarkEnd w:id="3"/>
    </w:p>
    <w:p w14:paraId="37379C68" w14:textId="77777777" w:rsidR="000917CD" w:rsidRPr="00DE7EA5" w:rsidRDefault="000917CD" w:rsidP="000917CD">
      <w:pPr>
        <w:rPr>
          <w:vanish/>
        </w:rPr>
      </w:pPr>
      <w:bookmarkStart w:id="4" w:name="PE"/>
      <w:r w:rsidRPr="00DE7EA5">
        <w:rPr>
          <w:vanish/>
        </w:rPr>
        <w:t>PE771.884</w:t>
      </w:r>
      <w:bookmarkEnd w:id="4"/>
    </w:p>
    <w:p w14:paraId="6B780CEF" w14:textId="77777777" w:rsidR="000917CD" w:rsidRPr="00DE7EA5" w:rsidRDefault="0009668A" w:rsidP="000917CD">
      <w:pPr>
        <w:pStyle w:val="ATHeading3"/>
      </w:pPr>
      <w:bookmarkStart w:id="5" w:name="Sujet"/>
      <w:r>
        <w:t>Resolucija</w:t>
      </w:r>
      <w:r w:rsidR="000917CD" w:rsidRPr="00DE7EA5">
        <w:t xml:space="preserve"> Evropskega parlamenta z dne </w:t>
      </w:r>
      <w:r>
        <w:t>6. maja</w:t>
      </w:r>
      <w:r w:rsidR="000917CD" w:rsidRPr="00DE7EA5">
        <w:t xml:space="preserve"> 2025 o predlogu sklepa Evropskega parlamenta in Sveta o uporabi Evropskega sklada za prilagoditev globalizaciji za presežne delavce na podlagi vloge Belgije – EGF/2024/003 BE/Van Hool</w:t>
      </w:r>
      <w:bookmarkEnd w:id="5"/>
      <w:r w:rsidR="000917CD" w:rsidRPr="00DE7EA5">
        <w:t xml:space="preserve"> </w:t>
      </w:r>
      <w:bookmarkStart w:id="6" w:name="References"/>
      <w:r w:rsidR="000917CD" w:rsidRPr="00DE7EA5">
        <w:t>(COM(2025)0001 – C10-0056/2025 – 2025/0061(BUD))</w:t>
      </w:r>
      <w:bookmarkEnd w:id="6"/>
    </w:p>
    <w:p w14:paraId="77950DC7" w14:textId="77777777" w:rsidR="003B3D11" w:rsidRPr="00DE7EA5" w:rsidRDefault="003B3D11" w:rsidP="003B3D11">
      <w:pPr>
        <w:pStyle w:val="EPComma"/>
        <w:rPr>
          <w:noProof/>
        </w:rPr>
      </w:pPr>
      <w:r w:rsidRPr="00DE7EA5">
        <w:rPr>
          <w:i/>
        </w:rPr>
        <w:t>Evropski parlament</w:t>
      </w:r>
      <w:r w:rsidRPr="00DE7EA5">
        <w:t>,</w:t>
      </w:r>
    </w:p>
    <w:p w14:paraId="2C3E8D4C" w14:textId="77777777" w:rsidR="003B3D11" w:rsidRPr="00DE7EA5" w:rsidRDefault="003B3D11" w:rsidP="003B3D11">
      <w:pPr>
        <w:pStyle w:val="NormalHanging12a"/>
        <w:rPr>
          <w:noProof/>
        </w:rPr>
      </w:pPr>
      <w:r w:rsidRPr="00DE7EA5">
        <w:t>–</w:t>
      </w:r>
      <w:r w:rsidRPr="00DE7EA5">
        <w:tab/>
        <w:t>ob upoštevanju predloga Komisije Evropskemu parlamentu in Svetu (COM(2025)0001 – C10</w:t>
      </w:r>
      <w:r w:rsidRPr="00DE7EA5">
        <w:noBreakHyphen/>
        <w:t>0056/2025),</w:t>
      </w:r>
    </w:p>
    <w:p w14:paraId="76BF55C7" w14:textId="77777777" w:rsidR="003B3D11" w:rsidRPr="00DE7EA5" w:rsidRDefault="003B3D11" w:rsidP="003B3D11">
      <w:pPr>
        <w:pStyle w:val="NormalHanging12a"/>
        <w:rPr>
          <w:noProof/>
        </w:rPr>
      </w:pPr>
      <w:r w:rsidRPr="00DE7EA5">
        <w:t>–</w:t>
      </w:r>
      <w:r w:rsidRPr="00DE7EA5">
        <w:tab/>
        <w:t>ob upoštevanju Uredbe (EU) 2021/691 Evropskega parlamenta in Sveta z dne 28. aprila 2021 o Evropskem skladu za prilagoditev globalizaciji za presežne delavce (ESPG) in razveljavitvi Uredbe (EU) št. 1309/2013</w:t>
      </w:r>
      <w:r w:rsidRPr="00DE7EA5">
        <w:rPr>
          <w:rStyle w:val="FootnoteReference"/>
          <w:noProof/>
        </w:rPr>
        <w:footnoteReference w:id="1"/>
      </w:r>
      <w:r w:rsidRPr="00DE7EA5">
        <w:t xml:space="preserve"> (v nadaljnjem besedilu: uredba o ESPG),</w:t>
      </w:r>
    </w:p>
    <w:p w14:paraId="254AA3D6" w14:textId="77777777" w:rsidR="003B3D11" w:rsidRPr="00DE7EA5" w:rsidRDefault="003B3D11" w:rsidP="003B3D11">
      <w:pPr>
        <w:pStyle w:val="NormalHanging12a"/>
        <w:rPr>
          <w:noProof/>
        </w:rPr>
      </w:pPr>
      <w:r w:rsidRPr="00DE7EA5">
        <w:t>–</w:t>
      </w:r>
      <w:r w:rsidRPr="00DE7EA5">
        <w:tab/>
        <w:t>ob upoštevanju Uredbe Sveta (EU, Euratom) 2020/2093 z dne 17. decembra 2020 o določitvi večletnega finančnega okvira za obdobje 2021–2027</w:t>
      </w:r>
      <w:r w:rsidRPr="00DE7EA5">
        <w:rPr>
          <w:rStyle w:val="FootnoteReference"/>
          <w:noProof/>
        </w:rPr>
        <w:footnoteReference w:id="2"/>
      </w:r>
      <w:r w:rsidRPr="00DE7EA5">
        <w:t>, kot je bila spremenjena z Uredbo (EU, Euratom) 2024/765</w:t>
      </w:r>
      <w:r w:rsidRPr="00DE7EA5">
        <w:rPr>
          <w:rStyle w:val="FootnoteReference"/>
          <w:bdr w:val="none" w:sz="0" w:space="0" w:color="auto" w:frame="1"/>
        </w:rPr>
        <w:footnoteReference w:id="3"/>
      </w:r>
      <w:r w:rsidRPr="00DE7EA5">
        <w:t>, in zlasti člena 8 Uredbe,</w:t>
      </w:r>
    </w:p>
    <w:p w14:paraId="3B7C1BFD" w14:textId="77777777" w:rsidR="003B3D11" w:rsidRPr="00DE7EA5" w:rsidRDefault="003B3D11" w:rsidP="003B3D11">
      <w:pPr>
        <w:pStyle w:val="NormalHanging12a"/>
        <w:rPr>
          <w:noProof/>
        </w:rPr>
      </w:pPr>
      <w:r w:rsidRPr="00DE7EA5">
        <w:t>–</w:t>
      </w:r>
      <w:r w:rsidRPr="00DE7EA5">
        <w:tab/>
        <w:t>ob upoštevanju Medinstitucionalnega sporazuma z dne 16. decembra 2020 med Evropskim parlamentom, Svetom in Komisijo o proračunski disciplini, sodelovanju v proračunskih zadevah in dobrem finančnem poslovodenju ter novih virih lastnih sredstev, vključno s časovnim načrtom za njihovo uvedbo</w:t>
      </w:r>
      <w:r w:rsidRPr="00DE7EA5">
        <w:rPr>
          <w:rStyle w:val="FootnoteReference"/>
          <w:noProof/>
        </w:rPr>
        <w:footnoteReference w:id="4"/>
      </w:r>
      <w:r w:rsidRPr="00DE7EA5">
        <w:t xml:space="preserve"> in zlasti točke 9,</w:t>
      </w:r>
    </w:p>
    <w:p w14:paraId="234A8B2F" w14:textId="77777777" w:rsidR="003B3D11" w:rsidRPr="00DE7EA5" w:rsidRDefault="003B3D11" w:rsidP="003B3D11">
      <w:pPr>
        <w:pStyle w:val="NormalHanging12a"/>
        <w:rPr>
          <w:noProof/>
        </w:rPr>
      </w:pPr>
      <w:r w:rsidRPr="00DE7EA5">
        <w:t>–</w:t>
      </w:r>
      <w:r w:rsidRPr="00DE7EA5">
        <w:tab/>
        <w:t>ob upoštevanju pisma Odbora za zaposlovanje in socialne zadeve,</w:t>
      </w:r>
    </w:p>
    <w:p w14:paraId="7DCA4E7B" w14:textId="77777777" w:rsidR="003B3D11" w:rsidRPr="00DE7EA5" w:rsidRDefault="003B3D11" w:rsidP="003B3D11">
      <w:pPr>
        <w:pStyle w:val="NormalHanging12a"/>
      </w:pPr>
      <w:r w:rsidRPr="00DE7EA5">
        <w:lastRenderedPageBreak/>
        <w:t>–</w:t>
      </w:r>
      <w:r w:rsidRPr="00DE7EA5">
        <w:tab/>
        <w:t>ob upoštevanju poročila Odbora za proračun (A10</w:t>
      </w:r>
      <w:r w:rsidRPr="00DE7EA5">
        <w:noBreakHyphen/>
        <w:t xml:space="preserve">0080/2025), </w:t>
      </w:r>
    </w:p>
    <w:p w14:paraId="5531BEAA" w14:textId="77777777" w:rsidR="003B3D11" w:rsidRPr="00DE7EA5" w:rsidRDefault="003B3D11" w:rsidP="003B3D11">
      <w:pPr>
        <w:pStyle w:val="NormalHanging12a"/>
        <w:rPr>
          <w:noProof/>
        </w:rPr>
      </w:pPr>
      <w:r w:rsidRPr="00DE7EA5">
        <w:t>A.</w:t>
      </w:r>
      <w:r w:rsidRPr="00DE7EA5">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prek finančne podpore delavcem in podjetjem, za katera so delali;</w:t>
      </w:r>
    </w:p>
    <w:p w14:paraId="706C74DE" w14:textId="77777777" w:rsidR="003B3D11" w:rsidRPr="00DE7EA5" w:rsidRDefault="003B3D11" w:rsidP="003B3D11">
      <w:pPr>
        <w:pStyle w:val="NormalHanging12a"/>
      </w:pPr>
      <w:r w:rsidRPr="00DE7EA5">
        <w:t>B.</w:t>
      </w:r>
      <w:r w:rsidRPr="00DE7EA5">
        <w:tab/>
        <w:t>ker je Belgija vložila vlogo EGF/2024/003 BE/Van Hool za finančni prispevek iz Evropskega sklada za prilagoditev globalizaciji (ESPG) zaradi odpustitve 2411 presežnih delavcev</w:t>
      </w:r>
      <w:r w:rsidRPr="00DE7EA5">
        <w:rPr>
          <w:rStyle w:val="FootnoteReference"/>
        </w:rPr>
        <w:footnoteReference w:id="5"/>
      </w:r>
      <w:r w:rsidRPr="00DE7EA5">
        <w:t xml:space="preserve"> v gospodarskem sektorju, razvrščenem v oddelek 29 NACE po reviziji 2 (proizvodnja motornih vozil, prikolic in polprikolic) v regiji Provincie Antwerpen (BE21) na ravni NUTS 2 v štirimesečnem referenčnem obdobju od 8. aprila 2024 do 8. avgusta 2024;</w:t>
      </w:r>
    </w:p>
    <w:p w14:paraId="0BCC652F" w14:textId="77777777" w:rsidR="003B3D11" w:rsidRPr="00DE7EA5" w:rsidRDefault="003B3D11" w:rsidP="003B3D11">
      <w:pPr>
        <w:pStyle w:val="NormalHanging12a"/>
      </w:pPr>
      <w:r w:rsidRPr="00DE7EA5">
        <w:t>C.</w:t>
      </w:r>
      <w:r w:rsidRPr="00DE7EA5">
        <w:tab/>
        <w:t>ker se vloga nanaša na 2411 delavcev, ki so postali presežni v podjetju Van Hool;</w:t>
      </w:r>
    </w:p>
    <w:p w14:paraId="3B526B5B" w14:textId="77777777" w:rsidR="003B3D11" w:rsidRPr="00DE7EA5" w:rsidRDefault="003B3D11" w:rsidP="003B3D11">
      <w:pPr>
        <w:pStyle w:val="NormalHanging12a"/>
      </w:pPr>
      <w:r w:rsidRPr="00DE7EA5">
        <w:t>D.</w:t>
      </w:r>
      <w:r w:rsidRPr="00DE7EA5">
        <w:tab/>
        <w:t>ker vloga temelji na merilu za pomoč iz člena 4(2), točka (a), uredbe o ESPG, ki zahteva, da delo preneha opravljati vsaj 200 presežnih delavcev ali samozaposlenih oseb v štirimesečnem referenčnem obdobju v podjetju v državi članici, vključno s presežnimi delavci pri dobaviteljih ali proizvajalcih v poproizvodni fazi;</w:t>
      </w:r>
    </w:p>
    <w:p w14:paraId="63ED4D23" w14:textId="77777777" w:rsidR="003B3D11" w:rsidRPr="00DE7EA5" w:rsidRDefault="003B3D11" w:rsidP="003B3D11">
      <w:pPr>
        <w:pStyle w:val="NormalHanging12a"/>
      </w:pPr>
      <w:r w:rsidRPr="00DE7EA5">
        <w:t>E.</w:t>
      </w:r>
      <w:r w:rsidRPr="00DE7EA5">
        <w:tab/>
        <w:t>ker je pandemija covida-19 vplivala na povpraševanje po avtobusih, vojaška agresija Rusije proti Ukrajini pa na stroškovno strukturo;</w:t>
      </w:r>
    </w:p>
    <w:p w14:paraId="21B511B5" w14:textId="77777777" w:rsidR="003B3D11" w:rsidRPr="00DE7EA5" w:rsidRDefault="003B3D11" w:rsidP="003B3D11">
      <w:pPr>
        <w:pStyle w:val="NormalHanging12a"/>
      </w:pPr>
      <w:r w:rsidRPr="00DE7EA5">
        <w:t>F.</w:t>
      </w:r>
      <w:r w:rsidRPr="00DE7EA5">
        <w:tab/>
        <w:t>ker se evropska avtomobilska in dobavna industrija spoprijemata z neprimerljivim pritiskom zaradi zunanjih in notranjih izzivov, kot so izkrivljanje konkurence, zlasti v sektorju električnih vozil zaradi nepoštenih kitajskih subvencij, in visoki stroški energije, ki so nastali zaradi velikih prestrukturiranj;</w:t>
      </w:r>
    </w:p>
    <w:p w14:paraId="3A750600" w14:textId="77777777" w:rsidR="003B3D11" w:rsidRPr="00DE7EA5" w:rsidRDefault="003B3D11" w:rsidP="003B3D11">
      <w:pPr>
        <w:pStyle w:val="NormalHanging12a"/>
        <w:jc w:val="both"/>
      </w:pPr>
      <w:r w:rsidRPr="00DE7EA5">
        <w:t>G.</w:t>
      </w:r>
      <w:r w:rsidRPr="00DE7EA5">
        <w:rPr>
          <w:color w:val="7030A0"/>
        </w:rPr>
        <w:tab/>
      </w:r>
      <w:r w:rsidRPr="00DE7EA5">
        <w:t>ker je bilo podjetje Van Hool specializirano za proizvodnjo avtobusov, trolejbusov in prikolic; ker je vse manjše povpraševanje po avtobusih, ki je posledica vpliva pandemije, povzročilo upad povprečne prodaje za podjetje Van Hool v Evropi in velik padec dobičkonosnosti; ker so naraščajoča inflacija in motnje v dobavnih verigah še povečale pritisk na marže podjetja;</w:t>
      </w:r>
    </w:p>
    <w:p w14:paraId="3673FF26" w14:textId="77777777" w:rsidR="003B3D11" w:rsidRPr="00DE7EA5" w:rsidRDefault="003B3D11" w:rsidP="003B3D11">
      <w:pPr>
        <w:pStyle w:val="NormalHanging12a"/>
        <w:jc w:val="both"/>
      </w:pPr>
      <w:r w:rsidRPr="00DE7EA5">
        <w:t>H.</w:t>
      </w:r>
      <w:r w:rsidRPr="00DE7EA5">
        <w:tab/>
        <w:t>ker je podjetje v skladu z belgijsko zakonodajo upoštevalo obvezni postopek obveščanja predstavnikov delavcev in posvetovanja z njimi; ker se zahteva za ustanovitev enote za zaposlovanje, katere namen je kolektivno odpuščenim delavcem pomagati pri iskanju nadomestne zaposlitve, ne uporablja v primeru stečaja;</w:t>
      </w:r>
    </w:p>
    <w:p w14:paraId="1B1023C8" w14:textId="77777777" w:rsidR="003B3D11" w:rsidRPr="00DE7EA5" w:rsidRDefault="003B3D11" w:rsidP="00F50DC4">
      <w:pPr>
        <w:pStyle w:val="NormalHanging12a"/>
      </w:pPr>
      <w:r w:rsidRPr="00DE7EA5">
        <w:t>I.</w:t>
      </w:r>
      <w:r w:rsidRPr="00DE7EA5">
        <w:tab/>
        <w:t>ker bi morali biti finančni prispevki iz ESPG usmerjeni predvsem v aktivne ukrepe politike trga dela in prilagojene storitve, katerih cilj je hitra ponovna vključitev upravičencev v dostojno in trajnostno zaposlitev v njihovem prvotnem sektorju dejavnosti ali zunaj njega, ob njihovi hkratni pripravi na bolj zeleno in bolj digitalno evropsko gospodarstvo;</w:t>
      </w:r>
    </w:p>
    <w:p w14:paraId="5539745D" w14:textId="77777777" w:rsidR="003B3D11" w:rsidRPr="00DE7EA5" w:rsidRDefault="003B3D11" w:rsidP="00F50DC4">
      <w:pPr>
        <w:pStyle w:val="NormalHanging12a"/>
      </w:pPr>
      <w:r w:rsidRPr="00DE7EA5">
        <w:t>J.</w:t>
      </w:r>
      <w:r w:rsidRPr="00DE7EA5">
        <w:tab/>
        <w:t>ker flamski zavodi za zaposlovanje (VDAB) zagotavljajo nacionalno predhodno financiranje in sofinanciranje ukrepov;</w:t>
      </w:r>
    </w:p>
    <w:p w14:paraId="18320348" w14:textId="77777777" w:rsidR="003B3D11" w:rsidRPr="00DE7EA5" w:rsidRDefault="003B3D11" w:rsidP="00F50DC4">
      <w:pPr>
        <w:widowControl/>
        <w:spacing w:after="240"/>
        <w:ind w:left="567" w:hanging="567"/>
        <w:rPr>
          <w:szCs w:val="24"/>
        </w:rPr>
      </w:pPr>
      <w:r w:rsidRPr="00DE7EA5">
        <w:lastRenderedPageBreak/>
        <w:t>K.</w:t>
      </w:r>
      <w:r w:rsidRPr="00DE7EA5">
        <w:rPr>
          <w:color w:val="7030A0"/>
        </w:rPr>
        <w:tab/>
      </w:r>
      <w:r w:rsidRPr="00DE7EA5">
        <w:t>ker sredstva ESPG ne smejo presegati najvišjega letnega zneska 30 milijonov EUR (v cenah iz leta 2018), kot je določeno v členu 8 Uredbe Sveta (EU, Euratom) 2020/2093,</w:t>
      </w:r>
      <w:r w:rsidRPr="00DE7EA5">
        <w:rPr>
          <w:bdr w:val="none" w:sz="0" w:space="0" w:color="auto" w:frame="1"/>
        </w:rPr>
        <w:t xml:space="preserve"> spremenjene z Uredbo Sveta (EU, Euratom) 2024/765</w:t>
      </w:r>
      <w:r w:rsidRPr="00DE7EA5">
        <w:t>; ker bi bilo treba v skladu z načelom dobrega finančnega poslovodenja neporabljene prispevke vrniti Komisiji;</w:t>
      </w:r>
    </w:p>
    <w:p w14:paraId="1954C9E7" w14:textId="4016B57E" w:rsidR="003B3D11" w:rsidRPr="00DE7EA5" w:rsidRDefault="003B3D11" w:rsidP="00F50DC4">
      <w:pPr>
        <w:pStyle w:val="NormalHanging12a"/>
      </w:pPr>
      <w:r w:rsidRPr="00DE7EA5">
        <w:t>1.</w:t>
      </w:r>
      <w:r w:rsidRPr="00DE7EA5">
        <w:tab/>
        <w:t>se strinja s Komisijo, da so pogoji iz člena 4(2), točka (a), uredbe o ESPG izpolnjeni in da je Belgija na podlagi te uredbe upravičena do finančnega prispevka v znesku 7</w:t>
      </w:r>
      <w:r w:rsidR="0009668A">
        <w:t> </w:t>
      </w:r>
      <w:r w:rsidRPr="00DE7EA5">
        <w:t>999</w:t>
      </w:r>
      <w:r w:rsidR="0009668A">
        <w:t> </w:t>
      </w:r>
      <w:r w:rsidRPr="00DE7EA5">
        <w:t>015 EUR, kar je 85 % skupnih stroškov v znesku 9</w:t>
      </w:r>
      <w:r w:rsidR="0009668A">
        <w:t> </w:t>
      </w:r>
      <w:r w:rsidRPr="00DE7EA5">
        <w:t>410</w:t>
      </w:r>
      <w:r w:rsidR="0009668A">
        <w:t> </w:t>
      </w:r>
      <w:r w:rsidRPr="00DE7EA5">
        <w:t>607 EUR, od česar stroški prilagojenih storitev znašajo 9</w:t>
      </w:r>
      <w:r w:rsidR="0009668A">
        <w:t> </w:t>
      </w:r>
      <w:r w:rsidRPr="00DE7EA5">
        <w:t>034</w:t>
      </w:r>
      <w:r w:rsidR="0009668A">
        <w:t> </w:t>
      </w:r>
      <w:r w:rsidRPr="00DE7EA5">
        <w:t>607 EUR, stroški priprave, upravljanja, informiranja in obveščanja javnosti ter nadzora in poročanja pa 376</w:t>
      </w:r>
      <w:r w:rsidR="0009668A">
        <w:t> </w:t>
      </w:r>
      <w:r w:rsidRPr="00DE7EA5">
        <w:t>000 EUR;</w:t>
      </w:r>
    </w:p>
    <w:p w14:paraId="64D26A53" w14:textId="77777777" w:rsidR="003B3D11" w:rsidRPr="00DE7EA5" w:rsidRDefault="003B3D11" w:rsidP="00F50DC4">
      <w:pPr>
        <w:pStyle w:val="NormalHanging12a"/>
      </w:pPr>
      <w:r w:rsidRPr="00DE7EA5">
        <w:t>2.</w:t>
      </w:r>
      <w:r w:rsidRPr="00DE7EA5">
        <w:tab/>
        <w:t>ugotavlja, da so belgijski organi vlogo predložili 29. oktobra 2024, Komisija pa je na osnovi dodatnih informacij, ki jih je posredovala Belgija, oceno te vloge dokončala 26. marca 2025 in jo še istega dne posredovala Parlamentu;</w:t>
      </w:r>
    </w:p>
    <w:p w14:paraId="7745CFF6" w14:textId="77777777" w:rsidR="003B3D11" w:rsidRPr="00DE7EA5" w:rsidRDefault="003B3D11" w:rsidP="00F50DC4">
      <w:pPr>
        <w:pStyle w:val="NormalHanging12a"/>
      </w:pPr>
      <w:r w:rsidRPr="00DE7EA5">
        <w:t>3.</w:t>
      </w:r>
      <w:r w:rsidRPr="00DE7EA5">
        <w:tab/>
        <w:t>ugotavlja, da se vloga nanaša na 2411 delavcev, ki so postali presežni v podjetju Van Hool; je tudi seznanjen, da bo prejemnikov pomoči skupaj 2397;</w:t>
      </w:r>
    </w:p>
    <w:p w14:paraId="4C47FA17" w14:textId="423D7173" w:rsidR="003B3D11" w:rsidRPr="00DE7EA5" w:rsidRDefault="003B3D11" w:rsidP="00F50DC4">
      <w:pPr>
        <w:pStyle w:val="NormalHanging12a"/>
      </w:pPr>
      <w:r w:rsidRPr="00DE7EA5">
        <w:t>4.</w:t>
      </w:r>
      <w:r w:rsidRPr="00DE7EA5">
        <w:tab/>
        <w:t xml:space="preserve">poudarja, da se po podatkih Združenja belgijskih podjetij (VBO) stanje v industrijskem sektorju trenutno poslabšuje; </w:t>
      </w:r>
      <w:r w:rsidR="0009668A">
        <w:t xml:space="preserve">ugotavlja, da je imel </w:t>
      </w:r>
      <w:r w:rsidRPr="00DE7EA5">
        <w:t>industrijski sektor tradicionalno pomembno vlogo v Lierju, zato upad industrije pomembno vpliva na Lierjev trg dela; poudarja, da se je število delovnih mest v industriji, ki so na voljo v Lierju, leta 2023 zmanjšalo za 13 %;</w:t>
      </w:r>
    </w:p>
    <w:p w14:paraId="00522996" w14:textId="77777777" w:rsidR="003B3D11" w:rsidRPr="00DE7EA5" w:rsidRDefault="003B3D11" w:rsidP="00F50DC4">
      <w:pPr>
        <w:pStyle w:val="NormalHanging12a"/>
      </w:pPr>
      <w:r w:rsidRPr="00DE7EA5">
        <w:t>5.</w:t>
      </w:r>
      <w:r w:rsidRPr="00DE7EA5">
        <w:tab/>
        <w:t>opozarja na profil presežnih delavcev, katerih tretjina je stara 50 let ali več, 80 % pa jih ima srednješolsko izobrazbo ali manj in zastarele spretnosti; poudarja, da bodo delavci, če se upošteva trend zmanjševanja števila prostih delovnih mest in njihove geografske porazdelitve, potrebovali ciljno usmerjeno pomoč, osredotočeno na izpopolnjevanje in preusposabljanje, da bi se povečale njihove možnosti za vrnitev na trg dela; meni, da je socialna odgovornost Unije in držav članic, da prizadetim delavcem omogočijo pridobitev potrebnih kvalifikacij za prihodnjo zaposlitev;</w:t>
      </w:r>
    </w:p>
    <w:p w14:paraId="6B12222D" w14:textId="77777777" w:rsidR="003B3D11" w:rsidRPr="00DE7EA5" w:rsidRDefault="003B3D11" w:rsidP="00F50DC4">
      <w:pPr>
        <w:pStyle w:val="NormalHanging12a"/>
      </w:pPr>
      <w:r w:rsidRPr="00DE7EA5">
        <w:t>6.</w:t>
      </w:r>
      <w:r w:rsidRPr="00DE7EA5">
        <w:tab/>
        <w:t>pozdravlja dejstvo, da prilagojene storitve, ki bodo zagotovljene delavcem, vključujejo naslednje ukrepe: uvedbo svetovalca za socialne ukrepe in registracijo delavcev, iskanje nadomestne zaposlitve, podporo pri iskanju zaposlitve in posredovanje zaposlitve, karierno orientacijo, preusposabljanje in poklicno usposabljanje ter usposabljanje na delovnem mestu; poudarja zlasti storitve v zvezi s ciljno usmerjeno podporo in osebnim preverjanjem ter usposabljanje na področju IKT, ki prispeva k izpopolnjevanju, potrebnem v digitalni industrijski dobi;</w:t>
      </w:r>
    </w:p>
    <w:p w14:paraId="31B60B84" w14:textId="77777777" w:rsidR="003B3D11" w:rsidRPr="00DE7EA5" w:rsidRDefault="003B3D11" w:rsidP="00F50DC4">
      <w:pPr>
        <w:pStyle w:val="NormalHanging12a"/>
      </w:pPr>
      <w:r w:rsidRPr="00DE7EA5">
        <w:t>7.</w:t>
      </w:r>
      <w:r w:rsidRPr="00DE7EA5">
        <w:tab/>
        <w:t>ugotavlja, da je Belgija prilagojene storitve za ciljne upravičence začela izvajati 22. aprila 2024 in da je torej obdobje upravičenosti do finančnega prispevka iz ESPG začelo teči istega dne in se bo končalo 24 mesecev po začetku veljavnosti sklepa o financiranju;</w:t>
      </w:r>
    </w:p>
    <w:p w14:paraId="2FE48FDC" w14:textId="77777777" w:rsidR="003B3D11" w:rsidRPr="00DE7EA5" w:rsidRDefault="003B3D11" w:rsidP="00F50DC4">
      <w:pPr>
        <w:pStyle w:val="NormalHanging12a"/>
        <w:rPr>
          <w:sz w:val="23"/>
          <w:szCs w:val="23"/>
        </w:rPr>
      </w:pPr>
      <w:r w:rsidRPr="00DE7EA5">
        <w:t>8.</w:t>
      </w:r>
      <w:r w:rsidRPr="00DE7EA5">
        <w:tab/>
        <w:t>ugotavlja, da je Belgija prve upravne odhodke za izvajanje ESPG imela 14. marca 2024 in da bodo tovrstni odhodki torej upravičeni do finančnega prispevka iz ESPG od tega datuma do izteka 31 mesecev od datuma začetka veljavnosti sklepa o financiranju;</w:t>
      </w:r>
    </w:p>
    <w:p w14:paraId="6E6FBAA5" w14:textId="77777777" w:rsidR="003B3D11" w:rsidRPr="00DE7EA5" w:rsidRDefault="003B3D11" w:rsidP="00F50DC4">
      <w:pPr>
        <w:pStyle w:val="NormalHanging12a"/>
      </w:pPr>
      <w:r w:rsidRPr="00DE7EA5">
        <w:t>9.</w:t>
      </w:r>
      <w:r w:rsidRPr="00DE7EA5">
        <w:tab/>
        <w:t xml:space="preserve">poudarja, da so belgijski organi potrdili, da bosta pri dostopu do predlaganih ukrepov in njihovem izvajanju spoštovani načeli enake obravnave in nediskriminacije ter da bo </w:t>
      </w:r>
      <w:r w:rsidRPr="00DE7EA5">
        <w:lastRenderedPageBreak/>
        <w:t>preprečeno vsakršno dvojno financiranje;</w:t>
      </w:r>
    </w:p>
    <w:p w14:paraId="4F582FF8" w14:textId="77777777" w:rsidR="003B3D11" w:rsidRPr="00DE7EA5" w:rsidRDefault="003B3D11" w:rsidP="00F50DC4">
      <w:pPr>
        <w:pStyle w:val="NormalHanging12a"/>
      </w:pPr>
      <w:r w:rsidRPr="00DE7EA5">
        <w:t>10.</w:t>
      </w:r>
      <w:r w:rsidRPr="00DE7EA5">
        <w:tab/>
        <w:t>spominja, da bodo belgijski organi poskrbeli, da bosta enakost spolov in vključevanje vidika spola sestavni del izvajanja in bosta promovirana v vseh fazah;</w:t>
      </w:r>
    </w:p>
    <w:p w14:paraId="053529D2" w14:textId="77777777" w:rsidR="003B3D11" w:rsidRPr="00DE7EA5" w:rsidRDefault="003B3D11" w:rsidP="00F50DC4">
      <w:pPr>
        <w:pStyle w:val="NormalHanging12a"/>
      </w:pPr>
      <w:r w:rsidRPr="00DE7EA5">
        <w:t>11.</w:t>
      </w:r>
      <w:r w:rsidRPr="00DE7EA5">
        <w:tab/>
        <w:t>ponavlja, da pomoč iz ESPG ne sme nadomestiti ukrepov, za katere so odgovorna podjetja na podlagi nacionalnega prava ali kolektivnih pogodb;</w:t>
      </w:r>
    </w:p>
    <w:p w14:paraId="6391FFE7" w14:textId="77777777" w:rsidR="003B3D11" w:rsidRPr="00DE7EA5" w:rsidRDefault="003B3D11" w:rsidP="00F50DC4">
      <w:pPr>
        <w:pStyle w:val="NormalHanging12a"/>
      </w:pPr>
      <w:r w:rsidRPr="00DE7EA5">
        <w:t>12.</w:t>
      </w:r>
      <w:r w:rsidRPr="00DE7EA5">
        <w:tab/>
        <w:t>opominja, da bodo belgijski organi poskrbeli, da bo izvor pomoči jasen in da bo financiranje Unije prepoznavno, ter da bodo poudarili dodano vrednost Unije, ki jo ima ta ukrep, in sicer s skladnimi, učinkovitimi in ciljno usmerjenimi informacijami različnim skupinam, vključno s ciljno usmerjenimi informacijami za upravičence, lokalne in regionalne organe, socialne partnerje, medije in javnost;</w:t>
      </w:r>
    </w:p>
    <w:p w14:paraId="73133DF8" w14:textId="77777777" w:rsidR="003B3D11" w:rsidRPr="00DE7EA5" w:rsidRDefault="003B3D11" w:rsidP="00F50DC4">
      <w:pPr>
        <w:pStyle w:val="NormalHanging12a"/>
      </w:pPr>
      <w:r w:rsidRPr="00DE7EA5">
        <w:t>13.</w:t>
      </w:r>
      <w:r w:rsidRPr="00DE7EA5">
        <w:tab/>
        <w:t>odobri sklep, priložen tej resoluciji;</w:t>
      </w:r>
    </w:p>
    <w:p w14:paraId="443D595E" w14:textId="77777777" w:rsidR="003B3D11" w:rsidRPr="00DE7EA5" w:rsidRDefault="003B3D11" w:rsidP="00F50DC4">
      <w:pPr>
        <w:pStyle w:val="NormalHanging12a"/>
      </w:pPr>
      <w:r w:rsidRPr="00DE7EA5">
        <w:t>14.</w:t>
      </w:r>
      <w:r w:rsidRPr="00DE7EA5">
        <w:tab/>
        <w:t xml:space="preserve">naroči svoji predsednici, da podpiše ta sklep skupaj s predsedujočim Svetu ter poskrbi za njegovo objavo v </w:t>
      </w:r>
      <w:r w:rsidRPr="00DE7EA5">
        <w:rPr>
          <w:i/>
        </w:rPr>
        <w:t>Uradnem listu Evropske unije</w:t>
      </w:r>
      <w:r w:rsidRPr="00DE7EA5">
        <w:t>;</w:t>
      </w:r>
    </w:p>
    <w:p w14:paraId="009A31CF" w14:textId="77777777" w:rsidR="003B3D11" w:rsidRDefault="003B3D11" w:rsidP="0009668A">
      <w:pPr>
        <w:pStyle w:val="NormalHanging12a"/>
      </w:pPr>
      <w:r w:rsidRPr="00DE7EA5">
        <w:t>15.</w:t>
      </w:r>
      <w:r w:rsidRPr="00DE7EA5">
        <w:tab/>
        <w:t>naroči svoji predsednici, naj resolucijo skupaj s prilogo posreduje Svetu in Komisiji.</w:t>
      </w:r>
    </w:p>
    <w:p w14:paraId="367590B1" w14:textId="77777777" w:rsidR="0009668A" w:rsidRDefault="0009668A" w:rsidP="0009668A">
      <w:pPr>
        <w:pStyle w:val="NormalHanging12a"/>
      </w:pPr>
    </w:p>
    <w:p w14:paraId="573C9C82" w14:textId="77777777" w:rsidR="0009668A" w:rsidRPr="00DE7EA5" w:rsidRDefault="0009668A" w:rsidP="0009668A">
      <w:pPr>
        <w:pStyle w:val="NormalHanging12a"/>
        <w:sectPr w:rsidR="0009668A" w:rsidRPr="00DE7EA5" w:rsidSect="00DE7E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8B0A428" w14:textId="77777777" w:rsidR="0023000D" w:rsidRDefault="0023000D" w:rsidP="003B3D11">
      <w:pPr>
        <w:pStyle w:val="PageHeading"/>
        <w:rPr>
          <w:rFonts w:ascii="Times New Roman" w:hAnsi="Times New Roman" w:cs="Times New Roman"/>
        </w:rPr>
      </w:pPr>
      <w:bookmarkStart w:id="7" w:name="_Toc197329770"/>
      <w:r>
        <w:rPr>
          <w:rFonts w:ascii="Times New Roman" w:hAnsi="Times New Roman" w:cs="Times New Roman"/>
        </w:rPr>
        <w:t>PRILOGA</w:t>
      </w:r>
    </w:p>
    <w:p w14:paraId="4B4D1419" w14:textId="1799F74B" w:rsidR="003B3D11" w:rsidRPr="0009668A" w:rsidRDefault="003B3D11" w:rsidP="003B3D11">
      <w:pPr>
        <w:pStyle w:val="PageHeading"/>
        <w:rPr>
          <w:rFonts w:ascii="Times New Roman" w:hAnsi="Times New Roman" w:cs="Times New Roman"/>
          <w:noProof/>
        </w:rPr>
      </w:pPr>
      <w:r w:rsidRPr="0009668A">
        <w:rPr>
          <w:rFonts w:ascii="Times New Roman" w:hAnsi="Times New Roman" w:cs="Times New Roman"/>
        </w:rPr>
        <w:t>SKLEP EVROPSKEGA PARLAMENTA IN SVETA</w:t>
      </w:r>
      <w:bookmarkEnd w:id="7"/>
    </w:p>
    <w:p w14:paraId="6708D9FF" w14:textId="0131727A" w:rsidR="003B3D11" w:rsidRDefault="003B3D11" w:rsidP="0023000D">
      <w:pPr>
        <w:pStyle w:val="NormalBold24a"/>
        <w:jc w:val="center"/>
      </w:pPr>
      <w:r w:rsidRPr="0009668A">
        <w:t>o uporabi Evropskega sklada za prilagoditev globalizaciji za presežne delavce na podlagi vloge Belgije </w:t>
      </w:r>
      <w:r w:rsidR="0009668A" w:rsidRPr="0009668A">
        <w:t>(EGF/2024/003 BE/Van Hool)</w:t>
      </w:r>
    </w:p>
    <w:p w14:paraId="61016BCA" w14:textId="5E3DD417" w:rsidR="0023000D" w:rsidRPr="0009668A" w:rsidRDefault="0023000D" w:rsidP="0023000D">
      <w:pPr>
        <w:spacing w:before="120" w:after="120"/>
      </w:pPr>
      <w:r w:rsidRPr="0023000D">
        <w:rPr>
          <w:i/>
        </w:rPr>
        <w:t>(Besedilo te priloge tukaj ni navedeno, s</w:t>
      </w:r>
      <w:bookmarkStart w:id="8" w:name="_GoBack"/>
      <w:bookmarkEnd w:id="8"/>
      <w:r w:rsidRPr="0023000D">
        <w:rPr>
          <w:i/>
        </w:rPr>
        <w:t>aj je enako končnemu aktu, Sklepu (EU) 2025/</w:t>
      </w:r>
      <w:r w:rsidRPr="0023000D">
        <w:rPr>
          <w:i/>
        </w:rPr>
        <w:t>1018</w:t>
      </w:r>
      <w:r w:rsidRPr="0023000D">
        <w:rPr>
          <w:i/>
        </w:rPr>
        <w:t>.)</w:t>
      </w:r>
    </w:p>
    <w:sectPr w:rsidR="0023000D" w:rsidRPr="0009668A" w:rsidSect="00DE7E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5E45B" w14:textId="77777777" w:rsidR="000917CD" w:rsidRPr="00DE7EA5" w:rsidRDefault="000917CD">
      <w:r w:rsidRPr="00DE7EA5">
        <w:separator/>
      </w:r>
    </w:p>
  </w:endnote>
  <w:endnote w:type="continuationSeparator" w:id="0">
    <w:p w14:paraId="0090086B" w14:textId="77777777" w:rsidR="000917CD" w:rsidRPr="00DE7EA5" w:rsidRDefault="000917CD">
      <w:r w:rsidRPr="00DE7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D503D" w14:textId="77777777" w:rsidR="003B3D11" w:rsidRPr="00DE7EA5" w:rsidRDefault="003B3D11" w:rsidP="00681B98">
    <w:pPr>
      <w:pStyle w:val="EPFooter"/>
    </w:pPr>
    <w:r w:rsidRPr="00DE7EA5">
      <w:t>PE</w:t>
    </w:r>
    <w:r w:rsidRPr="00DE7EA5">
      <w:rPr>
        <w:rStyle w:val="HideTWBExt"/>
      </w:rPr>
      <w:t>&lt;NoPE&gt;</w:t>
    </w:r>
    <w:r w:rsidRPr="00DE7EA5">
      <w:t>771.884</w:t>
    </w:r>
    <w:r w:rsidRPr="00DE7EA5">
      <w:rPr>
        <w:rStyle w:val="HideTWBExt"/>
      </w:rPr>
      <w:t>&lt;/NoPE&gt;&lt;Version&gt;</w:t>
    </w:r>
    <w:r w:rsidRPr="00DE7EA5">
      <w:t>v03-00</w:t>
    </w:r>
    <w:r w:rsidRPr="00DE7EA5">
      <w:rPr>
        <w:rStyle w:val="HideTWBExt"/>
      </w:rPr>
      <w:t>&lt;/Version&gt;</w:t>
    </w:r>
    <w:r w:rsidRPr="00DE7EA5">
      <w:tab/>
    </w:r>
    <w:r w:rsidRPr="00DE7EA5">
      <w:fldChar w:fldCharType="begin"/>
    </w:r>
    <w:r w:rsidRPr="00DE7EA5">
      <w:instrText xml:space="preserve"> PAGE  \* MERGEFORMAT </w:instrText>
    </w:r>
    <w:r w:rsidRPr="00DE7EA5">
      <w:fldChar w:fldCharType="separate"/>
    </w:r>
    <w:r w:rsidR="00DE7EA5" w:rsidRPr="00DE7EA5">
      <w:rPr>
        <w:noProof/>
      </w:rPr>
      <w:t>2</w:t>
    </w:r>
    <w:r w:rsidRPr="00DE7EA5">
      <w:fldChar w:fldCharType="end"/>
    </w:r>
    <w:r w:rsidRPr="00DE7EA5">
      <w:t>/</w:t>
    </w:r>
    <w:r w:rsidR="0023000D">
      <w:fldChar w:fldCharType="begin"/>
    </w:r>
    <w:r w:rsidR="0023000D">
      <w:instrText xml:space="preserve"> NUMPAGES  \* MERGEFORMAT </w:instrText>
    </w:r>
    <w:r w:rsidR="0023000D">
      <w:fldChar w:fldCharType="separate"/>
    </w:r>
    <w:r w:rsidR="00DE7EA5" w:rsidRPr="00DE7EA5">
      <w:rPr>
        <w:noProof/>
      </w:rPr>
      <w:t>8</w:t>
    </w:r>
    <w:r w:rsidR="0023000D">
      <w:rPr>
        <w:noProof/>
      </w:rPr>
      <w:fldChar w:fldCharType="end"/>
    </w:r>
    <w:r w:rsidRPr="00DE7EA5">
      <w:tab/>
    </w:r>
    <w:r w:rsidRPr="00DE7EA5">
      <w:rPr>
        <w:rStyle w:val="HideTWBExt"/>
      </w:rPr>
      <w:t>&lt;PathFdR&gt;</w:t>
    </w:r>
    <w:r w:rsidRPr="00DE7EA5">
      <w:t>RR\1320028SL.docx</w:t>
    </w:r>
    <w:r w:rsidRPr="00DE7EA5">
      <w:rPr>
        <w:rStyle w:val="HideTWBExt"/>
      </w:rPr>
      <w:t>&lt;/PathFdR&gt;</w:t>
    </w:r>
  </w:p>
  <w:p w14:paraId="728C023C" w14:textId="77777777" w:rsidR="003B3D11" w:rsidRPr="00DE7EA5" w:rsidRDefault="003B3D11" w:rsidP="00681B98">
    <w:pPr>
      <w:pStyle w:val="EPFooter2"/>
    </w:pPr>
    <w:r w:rsidRPr="00DE7EA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9A1C" w14:textId="77777777" w:rsidR="003B3D11" w:rsidRPr="00DE7EA5" w:rsidRDefault="003B3D11" w:rsidP="00681B9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E760" w14:textId="77777777" w:rsidR="003B3D11" w:rsidRPr="00DE7EA5" w:rsidRDefault="003B3D11" w:rsidP="00681B98">
    <w:pPr>
      <w:pStyle w:val="EPFooter"/>
    </w:pPr>
    <w:r w:rsidRPr="00DE7EA5">
      <w:rPr>
        <w:rStyle w:val="HideTWBExt"/>
      </w:rPr>
      <w:t>&lt;PathFdR&gt;</w:t>
    </w:r>
    <w:r w:rsidRPr="00DE7EA5">
      <w:t>RR\1320028SL.docx</w:t>
    </w:r>
    <w:r w:rsidRPr="00DE7EA5">
      <w:rPr>
        <w:rStyle w:val="HideTWBExt"/>
      </w:rPr>
      <w:t>&lt;/PathFdR&gt;</w:t>
    </w:r>
    <w:r w:rsidRPr="00DE7EA5">
      <w:tab/>
    </w:r>
    <w:r w:rsidRPr="00DE7EA5">
      <w:tab/>
      <w:t>PE</w:t>
    </w:r>
    <w:r w:rsidRPr="00DE7EA5">
      <w:rPr>
        <w:rStyle w:val="HideTWBExt"/>
      </w:rPr>
      <w:t>&lt;NoPE&gt;</w:t>
    </w:r>
    <w:r w:rsidRPr="00DE7EA5">
      <w:t>771.884</w:t>
    </w:r>
    <w:r w:rsidRPr="00DE7EA5">
      <w:rPr>
        <w:rStyle w:val="HideTWBExt"/>
      </w:rPr>
      <w:t>&lt;/NoPE&gt;&lt;Version&gt;</w:t>
    </w:r>
    <w:r w:rsidRPr="00DE7EA5">
      <w:t>v03-00</w:t>
    </w:r>
    <w:r w:rsidRPr="00DE7EA5">
      <w:rPr>
        <w:rStyle w:val="HideTWBExt"/>
      </w:rPr>
      <w:t>&lt;/Version&gt;</w:t>
    </w:r>
  </w:p>
  <w:p w14:paraId="3437289D" w14:textId="77777777" w:rsidR="003B3D11" w:rsidRPr="00DE7EA5" w:rsidRDefault="003B3D11" w:rsidP="00681B98">
    <w:pPr>
      <w:pStyle w:val="EPFooter2"/>
    </w:pPr>
    <w:r w:rsidRPr="00DE7EA5">
      <w:t>SL</w:t>
    </w:r>
    <w:r w:rsidRPr="00DE7EA5">
      <w:tab/>
    </w:r>
    <w:r w:rsidRPr="00DE7EA5">
      <w:rPr>
        <w:b w:val="0"/>
        <w:i/>
        <w:color w:val="C0C0C0"/>
        <w:sz w:val="22"/>
      </w:rPr>
      <w:t>Združena v raznolikosti</w:t>
    </w:r>
    <w:r w:rsidRPr="00DE7EA5">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69AF8" w14:textId="77777777" w:rsidR="00064002" w:rsidRPr="00DE7E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6EC16" w14:textId="77777777" w:rsidR="00064002" w:rsidRPr="00DE7EA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17556" w14:textId="77777777" w:rsidR="00064002" w:rsidRPr="00DE7E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8B106" w14:textId="77777777" w:rsidR="000917CD" w:rsidRPr="00DE7EA5" w:rsidRDefault="000917CD">
      <w:r w:rsidRPr="00DE7EA5">
        <w:separator/>
      </w:r>
    </w:p>
  </w:footnote>
  <w:footnote w:type="continuationSeparator" w:id="0">
    <w:p w14:paraId="343A39C4" w14:textId="77777777" w:rsidR="000917CD" w:rsidRPr="00DE7EA5" w:rsidRDefault="000917CD">
      <w:r w:rsidRPr="00DE7EA5">
        <w:continuationSeparator/>
      </w:r>
    </w:p>
  </w:footnote>
  <w:footnote w:id="1">
    <w:p w14:paraId="1FBF9124" w14:textId="51EC713B" w:rsidR="003B3D11" w:rsidRPr="0009668A" w:rsidRDefault="003B3D11" w:rsidP="00DE7EA5">
      <w:pPr>
        <w:pStyle w:val="FootnoteText"/>
        <w:ind w:left="567" w:hanging="567"/>
        <w:rPr>
          <w:sz w:val="24"/>
          <w:lang w:val="sl-SI"/>
        </w:rPr>
      </w:pPr>
      <w:r w:rsidRPr="0009668A">
        <w:rPr>
          <w:rStyle w:val="FootnoteReference"/>
          <w:sz w:val="24"/>
          <w:lang w:val="sl-SI"/>
        </w:rPr>
        <w:footnoteRef/>
      </w:r>
      <w:r w:rsidR="00DE7EA5" w:rsidRPr="0009668A">
        <w:rPr>
          <w:sz w:val="24"/>
          <w:lang w:val="sl-SI"/>
        </w:rPr>
        <w:t xml:space="preserve"> </w:t>
      </w:r>
      <w:r w:rsidR="00DE7EA5" w:rsidRPr="0009668A">
        <w:rPr>
          <w:sz w:val="24"/>
          <w:lang w:val="sl-SI"/>
        </w:rPr>
        <w:tab/>
      </w:r>
      <w:r w:rsidRPr="0009668A">
        <w:rPr>
          <w:sz w:val="24"/>
          <w:lang w:val="sl-SI"/>
        </w:rPr>
        <w:t xml:space="preserve">UL L 153, 3.5.2021, str. 48, </w:t>
      </w:r>
      <w:r w:rsidR="0009668A" w:rsidRPr="00F50DC4">
        <w:rPr>
          <w:sz w:val="24"/>
          <w:lang w:val="pl-PL"/>
        </w:rPr>
        <w:t xml:space="preserve">ELI: </w:t>
      </w:r>
      <w:hyperlink r:id="rId1" w:history="1">
        <w:r w:rsidR="0009668A" w:rsidRPr="00F50DC4">
          <w:rPr>
            <w:rStyle w:val="Hyperlink"/>
            <w:sz w:val="24"/>
            <w:lang w:val="pl-PL"/>
          </w:rPr>
          <w:t>http://data.europa.eu/eli/reg/2021/691/oj</w:t>
        </w:r>
      </w:hyperlink>
      <w:r w:rsidRPr="0009668A">
        <w:rPr>
          <w:sz w:val="24"/>
          <w:lang w:val="sl-SI"/>
        </w:rPr>
        <w:t>.</w:t>
      </w:r>
    </w:p>
  </w:footnote>
  <w:footnote w:id="2">
    <w:p w14:paraId="132FE46D" w14:textId="76C0D74C" w:rsidR="003B3D11" w:rsidRPr="0009668A" w:rsidRDefault="003B3D11" w:rsidP="00DE7EA5">
      <w:pPr>
        <w:pStyle w:val="FootnoteText"/>
        <w:ind w:left="567" w:hanging="567"/>
        <w:rPr>
          <w:sz w:val="24"/>
          <w:lang w:val="sl-SI"/>
        </w:rPr>
      </w:pPr>
      <w:r w:rsidRPr="0009668A">
        <w:rPr>
          <w:rStyle w:val="FootnoteReference"/>
          <w:sz w:val="24"/>
          <w:lang w:val="sl-SI"/>
        </w:rPr>
        <w:footnoteRef/>
      </w:r>
      <w:r w:rsidR="00DE7EA5" w:rsidRPr="0009668A">
        <w:rPr>
          <w:sz w:val="24"/>
          <w:lang w:val="sl-SI"/>
        </w:rPr>
        <w:t xml:space="preserve"> </w:t>
      </w:r>
      <w:r w:rsidR="00DE7EA5" w:rsidRPr="0009668A">
        <w:rPr>
          <w:sz w:val="24"/>
          <w:lang w:val="sl-SI"/>
        </w:rPr>
        <w:tab/>
      </w:r>
      <w:r w:rsidRPr="0009668A">
        <w:rPr>
          <w:sz w:val="24"/>
          <w:lang w:val="sl-SI"/>
        </w:rPr>
        <w:t xml:space="preserve">UL L 433 I, 22.12.2020, str. 11, </w:t>
      </w:r>
      <w:r w:rsidR="0009668A" w:rsidRPr="00F50DC4">
        <w:rPr>
          <w:sz w:val="24"/>
          <w:lang w:val="pl-PL"/>
        </w:rPr>
        <w:t xml:space="preserve">ELI: </w:t>
      </w:r>
      <w:hyperlink r:id="rId2" w:history="1">
        <w:r w:rsidR="0009668A" w:rsidRPr="00F50DC4">
          <w:rPr>
            <w:rStyle w:val="Hyperlink"/>
            <w:sz w:val="24"/>
            <w:lang w:val="pl-PL"/>
          </w:rPr>
          <w:t>http://data.europa.eu/eli/reg/2020/2093/oj</w:t>
        </w:r>
      </w:hyperlink>
      <w:r w:rsidRPr="0009668A">
        <w:rPr>
          <w:sz w:val="24"/>
          <w:lang w:val="sl-SI"/>
        </w:rPr>
        <w:t>.</w:t>
      </w:r>
    </w:p>
  </w:footnote>
  <w:footnote w:id="3">
    <w:p w14:paraId="2F5AF4FA" w14:textId="13BBC752" w:rsidR="003B3D11" w:rsidRPr="0009668A" w:rsidRDefault="003B3D11" w:rsidP="00DE7EA5">
      <w:pPr>
        <w:pStyle w:val="FootnoteText"/>
        <w:ind w:left="567" w:hanging="567"/>
        <w:rPr>
          <w:sz w:val="24"/>
          <w:lang w:val="sl-SI"/>
        </w:rPr>
      </w:pPr>
      <w:r w:rsidRPr="0009668A">
        <w:rPr>
          <w:rStyle w:val="FootnoteReference"/>
          <w:sz w:val="24"/>
          <w:lang w:val="sl-SI"/>
        </w:rPr>
        <w:footnoteRef/>
      </w:r>
      <w:r w:rsidR="00DE7EA5" w:rsidRPr="0009668A">
        <w:rPr>
          <w:sz w:val="24"/>
          <w:shd w:val="clear" w:color="auto" w:fill="FFFFFF"/>
          <w:lang w:val="sl-SI"/>
        </w:rPr>
        <w:t xml:space="preserve"> </w:t>
      </w:r>
      <w:r w:rsidR="00DE7EA5" w:rsidRPr="0009668A">
        <w:rPr>
          <w:sz w:val="24"/>
          <w:shd w:val="clear" w:color="auto" w:fill="FFFFFF"/>
          <w:lang w:val="sl-SI"/>
        </w:rPr>
        <w:tab/>
      </w:r>
      <w:r w:rsidRPr="0009668A">
        <w:rPr>
          <w:sz w:val="24"/>
          <w:shd w:val="clear" w:color="auto" w:fill="FFFFFF"/>
          <w:lang w:val="sl-SI"/>
        </w:rPr>
        <w:t>Uredba Sveta (EU, Euratom) 2024/765 z dne 29. februarja 2024 o spremembi Uredbe (EU, Euratom) 2020/2093 o določitvi večletnega finančnega okvira za obdobje 2021–2027 (</w:t>
      </w:r>
      <w:r w:rsidRPr="0009668A">
        <w:rPr>
          <w:sz w:val="24"/>
          <w:lang w:val="sl-SI"/>
        </w:rPr>
        <w:t xml:space="preserve">UL L, 2024/765, 29.2.2024, </w:t>
      </w:r>
      <w:r w:rsidR="0009668A" w:rsidRPr="00F50DC4">
        <w:rPr>
          <w:rStyle w:val="Emphasis"/>
          <w:i w:val="0"/>
          <w:sz w:val="24"/>
          <w:shd w:val="clear" w:color="auto" w:fill="FFFFFF"/>
          <w:lang w:val="sl-SI"/>
        </w:rPr>
        <w:t>ELI:</w:t>
      </w:r>
      <w:r w:rsidR="0009668A" w:rsidRPr="00F50DC4">
        <w:rPr>
          <w:rStyle w:val="Emphasis"/>
          <w:sz w:val="24"/>
          <w:shd w:val="clear" w:color="auto" w:fill="FFFFFF"/>
          <w:lang w:val="sl-SI"/>
        </w:rPr>
        <w:t xml:space="preserve"> </w:t>
      </w:r>
      <w:hyperlink r:id="rId3" w:history="1">
        <w:r w:rsidR="0009668A" w:rsidRPr="00F50DC4">
          <w:rPr>
            <w:rStyle w:val="Hyperlink"/>
            <w:sz w:val="24"/>
            <w:shd w:val="clear" w:color="auto" w:fill="FFFFFF"/>
            <w:lang w:val="sl-SI"/>
          </w:rPr>
          <w:t>http://data.europa.eu/eli/reg/2024/765/oj</w:t>
        </w:r>
      </w:hyperlink>
      <w:r w:rsidRPr="00F50DC4">
        <w:rPr>
          <w:rStyle w:val="Emphasis"/>
          <w:i w:val="0"/>
          <w:sz w:val="24"/>
          <w:shd w:val="clear" w:color="auto" w:fill="FFFFFF"/>
          <w:lang w:val="sl-SI"/>
        </w:rPr>
        <w:t>)</w:t>
      </w:r>
      <w:r w:rsidRPr="0009668A">
        <w:rPr>
          <w:rStyle w:val="Emphasis"/>
          <w:sz w:val="24"/>
          <w:shd w:val="clear" w:color="auto" w:fill="FFFFFF"/>
          <w:lang w:val="sl-SI"/>
        </w:rPr>
        <w:t>.</w:t>
      </w:r>
    </w:p>
  </w:footnote>
  <w:footnote w:id="4">
    <w:p w14:paraId="4F74EA52" w14:textId="25DA46B1" w:rsidR="003B3D11" w:rsidRPr="0009668A" w:rsidRDefault="003B3D11" w:rsidP="00DE7EA5">
      <w:pPr>
        <w:pStyle w:val="FootnoteText"/>
        <w:ind w:left="567" w:hanging="567"/>
        <w:rPr>
          <w:sz w:val="24"/>
          <w:lang w:val="sl-SI"/>
        </w:rPr>
      </w:pPr>
      <w:r w:rsidRPr="0009668A">
        <w:rPr>
          <w:rStyle w:val="FootnoteReference"/>
          <w:sz w:val="24"/>
          <w:lang w:val="sl-SI"/>
        </w:rPr>
        <w:footnoteRef/>
      </w:r>
      <w:r w:rsidR="00DE7EA5" w:rsidRPr="0009668A">
        <w:rPr>
          <w:sz w:val="24"/>
          <w:lang w:val="sl-SI"/>
        </w:rPr>
        <w:t xml:space="preserve"> </w:t>
      </w:r>
      <w:r w:rsidR="00DE7EA5" w:rsidRPr="0009668A">
        <w:rPr>
          <w:sz w:val="24"/>
          <w:lang w:val="sl-SI"/>
        </w:rPr>
        <w:tab/>
      </w:r>
      <w:r w:rsidRPr="0009668A">
        <w:rPr>
          <w:sz w:val="24"/>
          <w:lang w:val="sl-SI"/>
        </w:rPr>
        <w:t xml:space="preserve">UL L 433 I, 22.12.2020, str. 28, ELI: </w:t>
      </w:r>
      <w:hyperlink r:id="rId4" w:history="1">
        <w:r w:rsidR="0009668A" w:rsidRPr="00F50DC4">
          <w:rPr>
            <w:rStyle w:val="Hyperlink"/>
            <w:sz w:val="24"/>
            <w:lang w:val="pl-PL"/>
          </w:rPr>
          <w:t>http://data.europa.eu/eli/agree_interinstit/2020/1222/oj</w:t>
        </w:r>
      </w:hyperlink>
      <w:r w:rsidRPr="0009668A">
        <w:rPr>
          <w:sz w:val="24"/>
          <w:lang w:val="sl-SI"/>
        </w:rPr>
        <w:t>.</w:t>
      </w:r>
    </w:p>
  </w:footnote>
  <w:footnote w:id="5">
    <w:p w14:paraId="534E1AEA" w14:textId="77777777" w:rsidR="003B3D11" w:rsidRPr="0009668A" w:rsidRDefault="003B3D11" w:rsidP="00DE7EA5">
      <w:pPr>
        <w:pStyle w:val="FootnoteText"/>
        <w:ind w:left="567" w:hanging="567"/>
        <w:rPr>
          <w:sz w:val="24"/>
          <w:lang w:val="sl-SI"/>
        </w:rPr>
      </w:pPr>
      <w:r w:rsidRPr="0009668A">
        <w:rPr>
          <w:rStyle w:val="FootnoteReference"/>
          <w:sz w:val="24"/>
          <w:lang w:val="sl-SI"/>
        </w:rPr>
        <w:footnoteRef/>
      </w:r>
      <w:r w:rsidR="00DE7EA5" w:rsidRPr="0009668A">
        <w:rPr>
          <w:sz w:val="24"/>
          <w:lang w:val="sl-SI"/>
        </w:rPr>
        <w:t xml:space="preserve"> </w:t>
      </w:r>
      <w:r w:rsidR="00DE7EA5" w:rsidRPr="0009668A">
        <w:rPr>
          <w:sz w:val="24"/>
          <w:lang w:val="sl-SI"/>
        </w:rPr>
        <w:tab/>
      </w:r>
      <w:r w:rsidRPr="0009668A">
        <w:rPr>
          <w:sz w:val="24"/>
          <w:lang w:val="sl-SI"/>
        </w:rPr>
        <w:t>V smislu člena 3 uredbe o ESPG.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33A73" w14:textId="77777777" w:rsidR="003B3D11" w:rsidRPr="00DE7EA5" w:rsidRDefault="003B3D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F808" w14:textId="77777777" w:rsidR="003B3D11" w:rsidRPr="00DE7EA5" w:rsidRDefault="003B3D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0200B" w14:textId="77777777" w:rsidR="003B3D11" w:rsidRPr="00DE7EA5" w:rsidRDefault="003B3D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ACD3E" w14:textId="77777777" w:rsidR="00064002" w:rsidRPr="00DE7EA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07487" w14:textId="77777777" w:rsidR="00064002" w:rsidRPr="00DE7EA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575F8" w14:textId="77777777" w:rsidR="00064002" w:rsidRPr="00DE7E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SL"/>
    <w:docVar w:name="dvnumam" w:val="0"/>
    <w:docVar w:name="dvpe" w:val="771.884"/>
    <w:docVar w:name="dvrapporteur" w:val="Poročevalec: "/>
    <w:docVar w:name="dvtitre" w:val="Sklep Evropskega parlamenta z dne … 2025 o predlogu sklepa Evropskega parlamenta in Sveta o uporabi Evropskega sklada za prilagoditev globalizaciji za presežne delavce na podlagi vloge Belgije – EGF/2024/003 BE/Van Hool(COM(2025)0001 – C10-0056/2025 – 2025/0061(BUD))"/>
  </w:docVars>
  <w:rsids>
    <w:rsidRoot w:val="000917CD"/>
    <w:rsid w:val="00002272"/>
    <w:rsid w:val="00064002"/>
    <w:rsid w:val="000677B9"/>
    <w:rsid w:val="000831BA"/>
    <w:rsid w:val="000917CD"/>
    <w:rsid w:val="0009668A"/>
    <w:rsid w:val="000A42CC"/>
    <w:rsid w:val="000E7DD9"/>
    <w:rsid w:val="0010095E"/>
    <w:rsid w:val="00125B37"/>
    <w:rsid w:val="00187494"/>
    <w:rsid w:val="001F32AE"/>
    <w:rsid w:val="0023000D"/>
    <w:rsid w:val="002767FF"/>
    <w:rsid w:val="002B18FE"/>
    <w:rsid w:val="002B5493"/>
    <w:rsid w:val="00343214"/>
    <w:rsid w:val="00361C00"/>
    <w:rsid w:val="00395FA1"/>
    <w:rsid w:val="003B3D1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EA5"/>
    <w:rsid w:val="00E365E1"/>
    <w:rsid w:val="00E820A4"/>
    <w:rsid w:val="00EB006A"/>
    <w:rsid w:val="00EB4772"/>
    <w:rsid w:val="00ED169E"/>
    <w:rsid w:val="00ED4235"/>
    <w:rsid w:val="00F04346"/>
    <w:rsid w:val="00F075DC"/>
    <w:rsid w:val="00F149E9"/>
    <w:rsid w:val="00F50DC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FC976"/>
  <w15:chartTrackingRefBased/>
  <w15:docId w15:val="{66D7F558-0A35-49E0-BCE2-0B206D2B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3D1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B3D11"/>
    <w:pPr>
      <w:keepNext/>
      <w:spacing w:after="480"/>
      <w:jc w:val="center"/>
    </w:pPr>
    <w:rPr>
      <w:rFonts w:ascii="Arial" w:hAnsi="Arial" w:cs="Arial"/>
      <w:b/>
    </w:rPr>
  </w:style>
  <w:style w:type="paragraph" w:customStyle="1" w:styleId="NormalHanging12a">
    <w:name w:val="NormalHanging12a"/>
    <w:basedOn w:val="Normal"/>
    <w:link w:val="NormalHanging12aChar"/>
    <w:rsid w:val="003B3D11"/>
    <w:pPr>
      <w:spacing w:after="240"/>
      <w:ind w:left="567" w:hanging="567"/>
    </w:pPr>
  </w:style>
  <w:style w:type="paragraph" w:styleId="Header">
    <w:name w:val="header"/>
    <w:basedOn w:val="Normal"/>
    <w:link w:val="HeaderChar"/>
    <w:rsid w:val="003B3D11"/>
    <w:pPr>
      <w:tabs>
        <w:tab w:val="center" w:pos="4513"/>
        <w:tab w:val="right" w:pos="9026"/>
      </w:tabs>
    </w:pPr>
  </w:style>
  <w:style w:type="character" w:customStyle="1" w:styleId="HeaderChar">
    <w:name w:val="Header Char"/>
    <w:basedOn w:val="DefaultParagraphFont"/>
    <w:link w:val="Header"/>
    <w:rsid w:val="003B3D11"/>
    <w:rPr>
      <w:sz w:val="24"/>
      <w:lang w:val="sl-SI"/>
    </w:rPr>
  </w:style>
  <w:style w:type="paragraph" w:customStyle="1" w:styleId="NormalBold24a">
    <w:name w:val="NormalBold24a"/>
    <w:basedOn w:val="Normal"/>
    <w:rsid w:val="003B3D11"/>
    <w:pPr>
      <w:spacing w:after="480"/>
    </w:pPr>
    <w:rPr>
      <w:b/>
      <w:bCs/>
    </w:rPr>
  </w:style>
  <w:style w:type="paragraph" w:customStyle="1" w:styleId="EPFooter">
    <w:name w:val="EPFooter"/>
    <w:basedOn w:val="Normal"/>
    <w:rsid w:val="003B3D11"/>
    <w:pPr>
      <w:tabs>
        <w:tab w:val="center" w:pos="4535"/>
        <w:tab w:val="right" w:pos="9071"/>
      </w:tabs>
      <w:spacing w:before="240" w:after="240"/>
    </w:pPr>
    <w:rPr>
      <w:color w:val="010000"/>
      <w:sz w:val="22"/>
    </w:rPr>
  </w:style>
  <w:style w:type="paragraph" w:customStyle="1" w:styleId="EPComma">
    <w:name w:val="EPComma"/>
    <w:basedOn w:val="Normal"/>
    <w:rsid w:val="003B3D11"/>
    <w:pPr>
      <w:spacing w:before="480" w:after="240"/>
    </w:pPr>
  </w:style>
  <w:style w:type="character" w:customStyle="1" w:styleId="NormalHanging12aChar">
    <w:name w:val="NormalHanging12a Char"/>
    <w:basedOn w:val="DefaultParagraphFont"/>
    <w:link w:val="NormalHanging12a"/>
    <w:locked/>
    <w:rsid w:val="003B3D11"/>
    <w:rPr>
      <w:sz w:val="24"/>
      <w:lang w:val="sl-SI"/>
    </w:rPr>
  </w:style>
  <w:style w:type="character" w:styleId="Emphasis">
    <w:name w:val="Emphasis"/>
    <w:basedOn w:val="DefaultParagraphFont"/>
    <w:uiPriority w:val="20"/>
    <w:qFormat/>
    <w:rsid w:val="003B3D11"/>
    <w:rPr>
      <w:i/>
      <w:iCs/>
    </w:rPr>
  </w:style>
  <w:style w:type="paragraph" w:customStyle="1" w:styleId="Institutionquiagit">
    <w:name w:val="Institution qui agit"/>
    <w:basedOn w:val="Normal"/>
    <w:next w:val="Normal"/>
    <w:rsid w:val="003B3D1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B3D11"/>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3B3D1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B3D1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B3D1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B3D11"/>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3B3D11"/>
    <w:rPr>
      <w:color w:val="0563C1" w:themeColor="hyperlink"/>
      <w:u w:val="single"/>
    </w:rPr>
  </w:style>
  <w:style w:type="character" w:customStyle="1" w:styleId="PageHeadingChar">
    <w:name w:val="PageHeading Char"/>
    <w:basedOn w:val="DefaultParagraphFont"/>
    <w:link w:val="PageHeading"/>
    <w:rsid w:val="003B3D11"/>
    <w:rPr>
      <w:rFonts w:ascii="Arial" w:hAnsi="Arial" w:cs="Arial"/>
      <w:b/>
      <w:sz w:val="24"/>
      <w:lang w:val="sl-SI"/>
    </w:rPr>
  </w:style>
  <w:style w:type="paragraph" w:styleId="BalloonText">
    <w:name w:val="Balloon Text"/>
    <w:basedOn w:val="Normal"/>
    <w:link w:val="BalloonTextChar"/>
    <w:rsid w:val="0009668A"/>
    <w:rPr>
      <w:rFonts w:ascii="Segoe UI" w:hAnsi="Segoe UI" w:cs="Segoe UI"/>
      <w:sz w:val="18"/>
      <w:szCs w:val="18"/>
    </w:rPr>
  </w:style>
  <w:style w:type="character" w:customStyle="1" w:styleId="BalloonTextChar">
    <w:name w:val="Balloon Text Char"/>
    <w:basedOn w:val="DefaultParagraphFont"/>
    <w:link w:val="BalloonText"/>
    <w:rsid w:val="0009668A"/>
    <w:rPr>
      <w:rFonts w:ascii="Segoe UI" w:hAnsi="Segoe UI" w:cs="Segoe UI"/>
      <w:sz w:val="18"/>
      <w:szCs w:val="18"/>
      <w:lang w:val="sl-SI"/>
    </w:rPr>
  </w:style>
  <w:style w:type="character" w:styleId="CommentReference">
    <w:name w:val="annotation reference"/>
    <w:basedOn w:val="DefaultParagraphFont"/>
    <w:rsid w:val="0009668A"/>
    <w:rPr>
      <w:sz w:val="16"/>
      <w:szCs w:val="16"/>
    </w:rPr>
  </w:style>
  <w:style w:type="paragraph" w:styleId="CommentText">
    <w:name w:val="annotation text"/>
    <w:basedOn w:val="Normal"/>
    <w:link w:val="CommentTextChar"/>
    <w:rsid w:val="0009668A"/>
    <w:rPr>
      <w:sz w:val="20"/>
    </w:rPr>
  </w:style>
  <w:style w:type="character" w:customStyle="1" w:styleId="CommentTextChar">
    <w:name w:val="Comment Text Char"/>
    <w:basedOn w:val="DefaultParagraphFont"/>
    <w:link w:val="CommentText"/>
    <w:rsid w:val="0009668A"/>
    <w:rPr>
      <w:lang w:val="sl-SI"/>
    </w:rPr>
  </w:style>
  <w:style w:type="paragraph" w:styleId="CommentSubject">
    <w:name w:val="annotation subject"/>
    <w:basedOn w:val="CommentText"/>
    <w:next w:val="CommentText"/>
    <w:link w:val="CommentSubjectChar"/>
    <w:rsid w:val="0009668A"/>
    <w:rPr>
      <w:b/>
      <w:bCs/>
    </w:rPr>
  </w:style>
  <w:style w:type="character" w:customStyle="1" w:styleId="CommentSubjectChar">
    <w:name w:val="Comment Subject Char"/>
    <w:basedOn w:val="CommentTextChar"/>
    <w:link w:val="CommentSubject"/>
    <w:rsid w:val="0009668A"/>
    <w:rPr>
      <w:b/>
      <w:bCs/>
      <w:lang w:val="sl-SI"/>
    </w:rPr>
  </w:style>
  <w:style w:type="paragraph" w:styleId="Revision">
    <w:name w:val="Revision"/>
    <w:hidden/>
    <w:uiPriority w:val="99"/>
    <w:semiHidden/>
    <w:rsid w:val="0009668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B4F72-C499-4287-AD66-C93A8443F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1305</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2025-06-11T08:49:00Z</dcterms:created>
  <dcterms:modified xsi:type="dcterms:W3CDTF">2025-06-11T08:49:00Z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P10_TA(2025)0074_</vt:lpwstr>
  </property>
  <property fmtid="{D5CDD505-2E9C-101B-9397-08002B2CF9AE}" pid="4" name="&lt;Type&gt;">
    <vt:lpwstr>RR</vt:lpwstr>
  </property>
</Properties>
</file>