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7525" w14:paraId="60075F44" w14:textId="77777777" w:rsidTr="0010095E">
        <w:trPr>
          <w:trHeight w:hRule="exact" w:val="1418"/>
        </w:trPr>
        <w:tc>
          <w:tcPr>
            <w:tcW w:w="6804" w:type="dxa"/>
            <w:shd w:val="clear" w:color="auto" w:fill="auto"/>
            <w:vAlign w:val="center"/>
          </w:tcPr>
          <w:p w14:paraId="600B3BDC" w14:textId="77777777" w:rsidR="00751A4A" w:rsidRPr="00527525" w:rsidRDefault="002E17D4" w:rsidP="0010095E">
            <w:pPr>
              <w:pStyle w:val="EPName"/>
            </w:pPr>
            <w:r w:rsidRPr="00527525">
              <w:t>Europaparlamentet</w:t>
            </w:r>
          </w:p>
          <w:p w14:paraId="2A044CE7" w14:textId="77777777" w:rsidR="00751A4A" w:rsidRPr="00527525" w:rsidRDefault="005F1B17" w:rsidP="005F1B17">
            <w:pPr>
              <w:pStyle w:val="EPTerm"/>
              <w:rPr>
                <w:rStyle w:val="HideTWBExt"/>
                <w:noProof w:val="0"/>
                <w:vanish w:val="0"/>
                <w:color w:val="auto"/>
              </w:rPr>
            </w:pPr>
            <w:r w:rsidRPr="00527525">
              <w:t>2024</w:t>
            </w:r>
            <w:r w:rsidR="00817416" w:rsidRPr="00527525">
              <w:t>-202</w:t>
            </w:r>
            <w:r w:rsidRPr="00527525">
              <w:t>9</w:t>
            </w:r>
          </w:p>
        </w:tc>
        <w:tc>
          <w:tcPr>
            <w:tcW w:w="2268" w:type="dxa"/>
            <w:shd w:val="clear" w:color="auto" w:fill="auto"/>
          </w:tcPr>
          <w:p w14:paraId="0206F591" w14:textId="77777777" w:rsidR="00751A4A" w:rsidRPr="00527525" w:rsidRDefault="00187494" w:rsidP="0010095E">
            <w:pPr>
              <w:pStyle w:val="EPLogo"/>
            </w:pPr>
            <w:r w:rsidRPr="00527525">
              <w:rPr>
                <w:noProof/>
                <w:lang w:val="en-GB"/>
              </w:rPr>
              <w:drawing>
                <wp:inline distT="0" distB="0" distL="0" distR="0" wp14:anchorId="18624A41" wp14:editId="0DC75D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DE9843" w14:textId="77777777" w:rsidR="00D058B8" w:rsidRPr="00527525" w:rsidRDefault="00D058B8" w:rsidP="004C5D52">
      <w:pPr>
        <w:pStyle w:val="LineTop"/>
      </w:pPr>
    </w:p>
    <w:p w14:paraId="178403AE" w14:textId="77777777" w:rsidR="00680577" w:rsidRPr="00527525" w:rsidRDefault="002E17D4" w:rsidP="00680577">
      <w:pPr>
        <w:pStyle w:val="EPBodyTA1"/>
      </w:pPr>
      <w:r w:rsidRPr="00527525">
        <w:t>ANTAGNA TEXTER</w:t>
      </w:r>
    </w:p>
    <w:p w14:paraId="3E8DECAC" w14:textId="77777777" w:rsidR="00D058B8" w:rsidRPr="00527525" w:rsidRDefault="00D058B8" w:rsidP="00D058B8">
      <w:pPr>
        <w:pStyle w:val="LineBottom"/>
      </w:pPr>
    </w:p>
    <w:p w14:paraId="65BD60BE" w14:textId="1B4562ED" w:rsidR="002E17D4" w:rsidRPr="00527525" w:rsidRDefault="002E17D4" w:rsidP="002E17D4">
      <w:pPr>
        <w:pStyle w:val="ATHeading1"/>
      </w:pPr>
      <w:bookmarkStart w:id="0" w:name="TANumber"/>
      <w:r w:rsidRPr="00527525">
        <w:t>P10_TA(2025)00</w:t>
      </w:r>
      <w:bookmarkEnd w:id="0"/>
      <w:r w:rsidR="00527525" w:rsidRPr="00527525">
        <w:t>74</w:t>
      </w:r>
    </w:p>
    <w:p w14:paraId="2D354632" w14:textId="77777777" w:rsidR="002E17D4" w:rsidRPr="00527525" w:rsidRDefault="002E17D4" w:rsidP="002E17D4">
      <w:pPr>
        <w:pStyle w:val="ATHeading2"/>
      </w:pPr>
      <w:bookmarkStart w:id="1" w:name="title"/>
      <w:r w:rsidRPr="00527525">
        <w:t xml:space="preserve">Utnyttjande av Europeiska fonden för justering för globaliseringseffekter för uppsagda arbetstagare – EGF/2024/003 BE/Van </w:t>
      </w:r>
      <w:proofErr w:type="spellStart"/>
      <w:r w:rsidRPr="00527525">
        <w:t>Hool</w:t>
      </w:r>
      <w:proofErr w:type="spellEnd"/>
      <w:r w:rsidRPr="00527525">
        <w:t xml:space="preserve"> – Belgien</w:t>
      </w:r>
      <w:bookmarkEnd w:id="1"/>
    </w:p>
    <w:p w14:paraId="6FD2B897" w14:textId="77777777" w:rsidR="002E17D4" w:rsidRPr="00527525" w:rsidRDefault="002E17D4" w:rsidP="002E17D4">
      <w:pPr>
        <w:rPr>
          <w:i/>
          <w:vanish/>
        </w:rPr>
      </w:pPr>
      <w:r w:rsidRPr="00527525">
        <w:rPr>
          <w:i/>
        </w:rPr>
        <w:fldChar w:fldCharType="begin"/>
      </w:r>
      <w:r w:rsidRPr="00527525">
        <w:rPr>
          <w:i/>
        </w:rPr>
        <w:instrText xml:space="preserve"> TC"(</w:instrText>
      </w:r>
      <w:bookmarkStart w:id="2" w:name="DocNumber"/>
      <w:r w:rsidRPr="00527525">
        <w:rPr>
          <w:i/>
        </w:rPr>
        <w:instrText>A10-0080/2025</w:instrText>
      </w:r>
      <w:bookmarkEnd w:id="2"/>
      <w:r w:rsidRPr="00527525">
        <w:rPr>
          <w:i/>
        </w:rPr>
        <w:instrText xml:space="preserve"> - Föredragande: Janusz </w:instrText>
      </w:r>
      <w:proofErr w:type="spellStart"/>
      <w:r w:rsidRPr="00527525">
        <w:rPr>
          <w:i/>
        </w:rPr>
        <w:instrText>Lewandowski</w:instrText>
      </w:r>
      <w:proofErr w:type="spellEnd"/>
      <w:r w:rsidRPr="00527525">
        <w:rPr>
          <w:i/>
        </w:rPr>
        <w:instrText xml:space="preserve">)"\l3 \n&gt; \* MERGEFORMAT </w:instrText>
      </w:r>
      <w:r w:rsidRPr="00527525">
        <w:rPr>
          <w:i/>
        </w:rPr>
        <w:fldChar w:fldCharType="end"/>
      </w:r>
    </w:p>
    <w:p w14:paraId="02005D30" w14:textId="77777777" w:rsidR="002E17D4" w:rsidRPr="00527525" w:rsidRDefault="002E17D4" w:rsidP="002E17D4">
      <w:pPr>
        <w:rPr>
          <w:vanish/>
        </w:rPr>
      </w:pPr>
      <w:bookmarkStart w:id="3" w:name="Commission"/>
      <w:r w:rsidRPr="00527525">
        <w:rPr>
          <w:vanish/>
        </w:rPr>
        <w:t>Budgetutskottet</w:t>
      </w:r>
      <w:bookmarkEnd w:id="3"/>
    </w:p>
    <w:p w14:paraId="6303B64E" w14:textId="77777777" w:rsidR="002E17D4" w:rsidRPr="00527525" w:rsidRDefault="002E17D4" w:rsidP="002E17D4">
      <w:pPr>
        <w:rPr>
          <w:vanish/>
        </w:rPr>
      </w:pPr>
      <w:bookmarkStart w:id="4" w:name="PE"/>
      <w:r w:rsidRPr="00527525">
        <w:rPr>
          <w:vanish/>
        </w:rPr>
        <w:t>PE771.884</w:t>
      </w:r>
      <w:bookmarkEnd w:id="4"/>
    </w:p>
    <w:p w14:paraId="2075AD33" w14:textId="77777777" w:rsidR="002E17D4" w:rsidRPr="00527525" w:rsidRDefault="00FA4568" w:rsidP="002E17D4">
      <w:pPr>
        <w:pStyle w:val="ATHeading3"/>
      </w:pPr>
      <w:bookmarkStart w:id="5" w:name="Sujet"/>
      <w:r w:rsidRPr="00527525">
        <w:t>Europap</w:t>
      </w:r>
      <w:r w:rsidR="006F79A8" w:rsidRPr="00527525">
        <w:t>arlamentets resolution av den 6</w:t>
      </w:r>
      <w:r w:rsidRPr="00527525">
        <w:t xml:space="preserve"> maj</w:t>
      </w:r>
      <w:r w:rsidR="002E17D4" w:rsidRPr="00527525">
        <w:t xml:space="preserve"> 2025 om förslaget till Europaparlamentets och rådets beslut om utnyttjande av Europeiska fonden för justering för globaliseringseffekter för uppsagda arbetstagare efter en ansökan från Belgien – EGF/2024/003 BE/Van </w:t>
      </w:r>
      <w:proofErr w:type="spellStart"/>
      <w:r w:rsidR="002E17D4" w:rsidRPr="00527525">
        <w:t>Hool</w:t>
      </w:r>
      <w:bookmarkEnd w:id="5"/>
      <w:proofErr w:type="spellEnd"/>
      <w:r w:rsidR="002E17D4" w:rsidRPr="00527525">
        <w:t xml:space="preserve"> </w:t>
      </w:r>
      <w:bookmarkStart w:id="6" w:name="References"/>
      <w:r w:rsidR="002E17D4" w:rsidRPr="00527525">
        <w:t>(COM(2025)0001 – C10-0056/2025 – 2025/0061(BUD))</w:t>
      </w:r>
      <w:bookmarkEnd w:id="6"/>
    </w:p>
    <w:p w14:paraId="5D82465B" w14:textId="77777777" w:rsidR="003F5DEB" w:rsidRPr="00527525" w:rsidRDefault="003F5DEB" w:rsidP="003F5DEB">
      <w:pPr>
        <w:pStyle w:val="EPComma"/>
      </w:pPr>
      <w:r w:rsidRPr="00527525">
        <w:rPr>
          <w:i/>
        </w:rPr>
        <w:t>Europaparlamentet utfärdar denna resolution</w:t>
      </w:r>
    </w:p>
    <w:p w14:paraId="69D2002D" w14:textId="77777777" w:rsidR="003F5DEB" w:rsidRPr="00527525" w:rsidRDefault="003F5DEB" w:rsidP="003F5DEB">
      <w:pPr>
        <w:pStyle w:val="NormalHanging12a"/>
      </w:pPr>
      <w:r w:rsidRPr="00527525">
        <w:t>–</w:t>
      </w:r>
      <w:r w:rsidRPr="00527525">
        <w:tab/>
        <w:t>med beaktande av kommissionens förslag till Europaparlamentet och rådet (COM(2025)0001 – C10</w:t>
      </w:r>
      <w:r w:rsidRPr="00527525">
        <w:noBreakHyphen/>
        <w:t>0056/2025),</w:t>
      </w:r>
    </w:p>
    <w:p w14:paraId="385DA680" w14:textId="77777777" w:rsidR="003F5DEB" w:rsidRPr="00527525" w:rsidRDefault="003F5DEB" w:rsidP="003F5DEB">
      <w:pPr>
        <w:pStyle w:val="NormalHanging12a"/>
      </w:pPr>
      <w:r w:rsidRPr="00527525">
        <w:t>–</w:t>
      </w:r>
      <w:r w:rsidRPr="00527525">
        <w:tab/>
        <w:t>med beaktande av Europaparlamentets och rådets förordning (EU) 2021/691 av den 28 april 2021 om Europeiska fonden för justering för globaliseringseffekter för uppsagda arbetstagare (EGF) och om upphävande av förordning (EU) nr 1309/2013</w:t>
      </w:r>
      <w:r w:rsidRPr="00527525">
        <w:rPr>
          <w:rStyle w:val="FootnoteReference"/>
        </w:rPr>
        <w:footnoteReference w:id="1"/>
      </w:r>
      <w:r w:rsidRPr="00527525">
        <w:t xml:space="preserve"> (</w:t>
      </w:r>
      <w:r w:rsidRPr="00527525">
        <w:rPr>
          <w:i/>
        </w:rPr>
        <w:t>EGF-förordningen</w:t>
      </w:r>
      <w:r w:rsidRPr="00527525">
        <w:t>),</w:t>
      </w:r>
    </w:p>
    <w:p w14:paraId="7BC94268" w14:textId="77777777" w:rsidR="003F5DEB" w:rsidRPr="00527525" w:rsidRDefault="003F5DEB" w:rsidP="003F5DEB">
      <w:pPr>
        <w:pStyle w:val="NormalHanging12a"/>
      </w:pPr>
      <w:r w:rsidRPr="00527525">
        <w:t>–</w:t>
      </w:r>
      <w:r w:rsidRPr="00527525">
        <w:tab/>
        <w:t>med beaktande av rådets förordning (EU, Euratom) 2020/2093 av den 17 december 2020 om den fleråriga budgetramen för 2021–2027</w:t>
      </w:r>
      <w:r w:rsidRPr="00527525">
        <w:rPr>
          <w:rStyle w:val="FootnoteReference"/>
        </w:rPr>
        <w:footnoteReference w:id="2"/>
      </w:r>
      <w:r w:rsidRPr="00527525">
        <w:t xml:space="preserve"> ändrad genom förordning (EU, Euratom) 2024/765</w:t>
      </w:r>
      <w:r w:rsidRPr="00527525">
        <w:rPr>
          <w:rStyle w:val="FootnoteReference"/>
          <w:bdr w:val="none" w:sz="0" w:space="0" w:color="auto" w:frame="1"/>
        </w:rPr>
        <w:footnoteReference w:id="3"/>
      </w:r>
      <w:r w:rsidRPr="00527525">
        <w:t>, särskilt artikel 8,</w:t>
      </w:r>
    </w:p>
    <w:p w14:paraId="73057BAD" w14:textId="77777777" w:rsidR="003F5DEB" w:rsidRPr="00527525" w:rsidRDefault="003F5DEB" w:rsidP="003F5DEB">
      <w:pPr>
        <w:pStyle w:val="NormalHanging12a"/>
      </w:pPr>
      <w:r w:rsidRPr="00527525">
        <w:t>–</w:t>
      </w:r>
      <w:r w:rsidRPr="00527525">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527525">
        <w:rPr>
          <w:rStyle w:val="FootnoteReference"/>
        </w:rPr>
        <w:footnoteReference w:id="4"/>
      </w:r>
      <w:r w:rsidRPr="00527525">
        <w:t>, särskilt punkt 9,</w:t>
      </w:r>
    </w:p>
    <w:p w14:paraId="34668B44" w14:textId="77777777" w:rsidR="003F5DEB" w:rsidRPr="00527525" w:rsidRDefault="003F5DEB" w:rsidP="003F5DEB">
      <w:pPr>
        <w:pStyle w:val="NormalHanging12a"/>
      </w:pPr>
      <w:r w:rsidRPr="00527525">
        <w:t>–</w:t>
      </w:r>
      <w:r w:rsidRPr="00527525">
        <w:tab/>
        <w:t>med beaktande av skrivelsen från utskottet för sysselsättning och sociala frågor,</w:t>
      </w:r>
    </w:p>
    <w:p w14:paraId="5CF98D70" w14:textId="77777777" w:rsidR="003F5DEB" w:rsidRPr="00527525" w:rsidRDefault="003F5DEB" w:rsidP="003F5DEB">
      <w:pPr>
        <w:pStyle w:val="NormalHanging12a"/>
      </w:pPr>
      <w:r w:rsidRPr="00527525">
        <w:lastRenderedPageBreak/>
        <w:t>–</w:t>
      </w:r>
      <w:r w:rsidRPr="00527525">
        <w:tab/>
        <w:t xml:space="preserve">med beaktande av betänkandet från budgetutskottet (A10-0080/2025), och av följande skäl: </w:t>
      </w:r>
    </w:p>
    <w:p w14:paraId="6CB3E471" w14:textId="77777777" w:rsidR="003F5DEB" w:rsidRPr="00527525" w:rsidRDefault="003F5DEB" w:rsidP="003F5DEB">
      <w:pPr>
        <w:pStyle w:val="NormalHanging12a"/>
      </w:pPr>
      <w:r w:rsidRPr="00527525">
        <w:t>A.</w:t>
      </w:r>
      <w:r w:rsidRPr="00527525">
        <w:tab/>
        <w:t>Unionen har inrättat lagstiftnings- och budgetinstrument för att kunna ge kompletterande stöd till arbetstagare som drabbas av konsekvenserna av genomgripande strukturförändringar inom världshandeln eller av den globala finansiella och ekonomiska krisen, och för att underlätta deras återinträde på arbetsmarknaden. Detta stöd ges i form av ekonomiskt stöd till arbetstagare och till de företag som de har arbetat för.</w:t>
      </w:r>
    </w:p>
    <w:p w14:paraId="4C4FAC53" w14:textId="12ED9959" w:rsidR="003F5DEB" w:rsidRPr="00527525" w:rsidRDefault="003F5DEB" w:rsidP="003F5DEB">
      <w:pPr>
        <w:pStyle w:val="NormalHanging12a"/>
      </w:pPr>
      <w:r w:rsidRPr="00527525">
        <w:t>B.</w:t>
      </w:r>
      <w:r w:rsidRPr="00527525">
        <w:tab/>
        <w:t xml:space="preserve">Belgien har lämnat in ansökan EGF/2024/003 BE/Van </w:t>
      </w:r>
      <w:proofErr w:type="spellStart"/>
      <w:r w:rsidRPr="00527525">
        <w:t>Hool</w:t>
      </w:r>
      <w:proofErr w:type="spellEnd"/>
      <w:r w:rsidRPr="00527525">
        <w:t xml:space="preserve"> om ekonomiskt bidrag från Europeiska fonden för justering för globaliseringseffekter (EGF), efter uppsägningar av 2 411 arbetstagare</w:t>
      </w:r>
      <w:r w:rsidRPr="00527525">
        <w:rPr>
          <w:rStyle w:val="FootnoteReference"/>
        </w:rPr>
        <w:footnoteReference w:id="5"/>
      </w:r>
      <w:r w:rsidRPr="00527525">
        <w:t xml:space="preserve"> inom den ekonomiska sektor som ingår i huvudgrupp 29 i </w:t>
      </w:r>
      <w:proofErr w:type="spellStart"/>
      <w:r w:rsidRPr="00527525">
        <w:t>Nace</w:t>
      </w:r>
      <w:proofErr w:type="spellEnd"/>
      <w:r w:rsidRPr="00527525">
        <w:t xml:space="preserve"> Rev. 2 (Tillverkning av motorfordon, släpfordon och påhängsvagnar) i </w:t>
      </w:r>
      <w:proofErr w:type="spellStart"/>
      <w:r w:rsidRPr="00527525">
        <w:t>Nuts</w:t>
      </w:r>
      <w:proofErr w:type="spellEnd"/>
      <w:r w:rsidRPr="00527525">
        <w:t xml:space="preserve"> 2-regionen </w:t>
      </w:r>
      <w:proofErr w:type="spellStart"/>
      <w:r w:rsidRPr="00527525">
        <w:t>Provincie</w:t>
      </w:r>
      <w:proofErr w:type="spellEnd"/>
      <w:r w:rsidRPr="00527525">
        <w:t xml:space="preserve"> Antwerpen (BE21), inom en referensperiod på fyra månader för ansökan från den 8 april 2024 till den 8 augusti 2024. </w:t>
      </w:r>
    </w:p>
    <w:p w14:paraId="2792CDF0" w14:textId="4020A840" w:rsidR="003F5DEB" w:rsidRPr="00527525" w:rsidRDefault="003F5DEB" w:rsidP="003F5DEB">
      <w:pPr>
        <w:pStyle w:val="NormalHanging12a"/>
      </w:pPr>
      <w:r w:rsidRPr="00527525">
        <w:t>C.</w:t>
      </w:r>
      <w:r w:rsidRPr="00527525">
        <w:tab/>
        <w:t xml:space="preserve">Ansökan gäller 2 411 arbetstagare som blivit uppsagda vid företaget Van </w:t>
      </w:r>
      <w:proofErr w:type="spellStart"/>
      <w:r w:rsidRPr="00527525">
        <w:t>Hool</w:t>
      </w:r>
      <w:proofErr w:type="spellEnd"/>
      <w:r w:rsidRPr="00527525">
        <w:t>.</w:t>
      </w:r>
    </w:p>
    <w:p w14:paraId="45F3253D" w14:textId="3FE36C94" w:rsidR="003F5DEB" w:rsidRPr="00527525" w:rsidRDefault="003F5DEB" w:rsidP="003F5DEB">
      <w:pPr>
        <w:pStyle w:val="NormalHanging12a"/>
      </w:pPr>
      <w:r w:rsidRPr="00527525">
        <w:t>D.</w:t>
      </w:r>
      <w:r w:rsidRPr="00527525">
        <w:tab/>
        <w:t>Ansökan baseras på insatskriteriet i artikel 4.2 a i EGF-förordningen, som föreskriver att verksamheten för minst 200 uppsagda arbetstagare eller egenföretagare ska ha upphört under en referensperiod på fyra månader i ett företag i en medlemsstat, inbegripet arbetstagare som har blivit uppsagda hos underleverantörer eller producenter i efterföljande produktionsled.</w:t>
      </w:r>
    </w:p>
    <w:p w14:paraId="1BE85FB7" w14:textId="12C92EA1" w:rsidR="003F5DEB" w:rsidRPr="00527525" w:rsidRDefault="003F5DEB" w:rsidP="003F5DEB">
      <w:pPr>
        <w:pStyle w:val="NormalHanging12a"/>
      </w:pPr>
      <w:r w:rsidRPr="00527525">
        <w:t>E.</w:t>
      </w:r>
      <w:r w:rsidRPr="00527525">
        <w:tab/>
        <w:t>Covid-19-pandemin påverkade efterfrågan på bussar, och Rysslands anfallskrig mot Ukraina har påverkat kostnadsstrukturen.</w:t>
      </w:r>
    </w:p>
    <w:p w14:paraId="3CACBF0E" w14:textId="4B0E8731" w:rsidR="003F5DEB" w:rsidRPr="00527525" w:rsidRDefault="003F5DEB" w:rsidP="003F5DEB">
      <w:pPr>
        <w:pStyle w:val="NormalHanging12a"/>
      </w:pPr>
      <w:r w:rsidRPr="00527525">
        <w:t>F.</w:t>
      </w:r>
      <w:r w:rsidRPr="00527525">
        <w:tab/>
        <w:t>Den europeiska fordons- och underleverantörsindustrin står inför ett aldrig tidigare skådat tryck från både externa och interna utmaningar, såsom snedvridning av konkurrensen, särskilt inom elfordonssektorn på grund av orättvis subventionering från Kinas sida och höga energikostnader på grund av stora omstruktureringar.</w:t>
      </w:r>
    </w:p>
    <w:p w14:paraId="4A2A522E" w14:textId="77777777" w:rsidR="003F5DEB" w:rsidRPr="00527525" w:rsidRDefault="003F5DEB" w:rsidP="003F5DEB">
      <w:pPr>
        <w:pStyle w:val="NormalHanging12a"/>
        <w:jc w:val="both"/>
      </w:pPr>
      <w:r w:rsidRPr="00527525">
        <w:t>G.</w:t>
      </w:r>
      <w:r w:rsidRPr="00527525">
        <w:rPr>
          <w:color w:val="7030A0"/>
        </w:rPr>
        <w:tab/>
      </w:r>
      <w:r w:rsidRPr="00527525">
        <w:t xml:space="preserve">Van </w:t>
      </w:r>
      <w:proofErr w:type="spellStart"/>
      <w:r w:rsidRPr="00527525">
        <w:t>Hool</w:t>
      </w:r>
      <w:proofErr w:type="spellEnd"/>
      <w:r w:rsidRPr="00527525">
        <w:t xml:space="preserve"> var specialiserat på tillverkning av bussar, långfärdsbussar, trådbussar och släpvagnar. Den sjunkande efterfrågan på bussar till följd av pandemins effekter har lett till en minskning av den genomsnittliga försäljningen för Van </w:t>
      </w:r>
      <w:proofErr w:type="spellStart"/>
      <w:r w:rsidRPr="00527525">
        <w:t>Hool</w:t>
      </w:r>
      <w:proofErr w:type="spellEnd"/>
      <w:r w:rsidRPr="00527525">
        <w:t xml:space="preserve"> i Europa och en kraftig minskning av lönsamheten. Stigande inflation och störningar i leveranskedjorna ökade trycket på företagets marginaler ytterligare. </w:t>
      </w:r>
    </w:p>
    <w:p w14:paraId="549F7D3C" w14:textId="77777777" w:rsidR="003F5DEB" w:rsidRPr="00527525" w:rsidRDefault="003F5DEB" w:rsidP="003F5DEB">
      <w:pPr>
        <w:pStyle w:val="NormalHanging12a"/>
        <w:jc w:val="both"/>
      </w:pPr>
      <w:r w:rsidRPr="00527525">
        <w:t>H.</w:t>
      </w:r>
      <w:r w:rsidRPr="00527525">
        <w:tab/>
        <w:t xml:space="preserve">Företaget följde, i enlighet med belgisk lagstiftning, det obligatoriska förfarandet för information till och samråd med arbetstagarrepresentanter. Kravet på att inrätta en särskild sysselsättningsenhet, vars uppgift är att erbjuda arbetstagare som har sagts upp i samband med kollektiva uppsägningar omställningstjänster, gäller inte vid konkurs. </w:t>
      </w:r>
    </w:p>
    <w:p w14:paraId="05944E6D" w14:textId="77777777" w:rsidR="003F5DEB" w:rsidRPr="00527525" w:rsidRDefault="003F5DEB" w:rsidP="003F5DEB">
      <w:pPr>
        <w:pStyle w:val="NormalHanging12a"/>
        <w:jc w:val="both"/>
      </w:pPr>
      <w:r w:rsidRPr="00527525">
        <w:t>I.</w:t>
      </w:r>
      <w:r w:rsidRPr="00527525">
        <w:tab/>
        <w:t>Ekonomiskt stöd från EGF bör i första hand inriktas på aktiva arbetsmarknadsåtgärder och individanpassade tjänster som syftar till att snabbt återintegrera stödmottagarna i en anständig och hållbar anställning inom eller utanför deras ursprungliga verksamhetssektor, samtidigt som de förbereder sig för en grönare och mer digital europeisk ekonomi.</w:t>
      </w:r>
    </w:p>
    <w:p w14:paraId="25916718" w14:textId="77777777" w:rsidR="003F5DEB" w:rsidRPr="00527525" w:rsidRDefault="003F5DEB" w:rsidP="003F5DEB">
      <w:pPr>
        <w:pStyle w:val="NormalHanging12a"/>
        <w:jc w:val="both"/>
      </w:pPr>
      <w:r w:rsidRPr="00527525">
        <w:lastRenderedPageBreak/>
        <w:t>J.</w:t>
      </w:r>
      <w:r w:rsidRPr="00527525">
        <w:tab/>
        <w:t>Den flamländska arbetsförmedlingen (VDAB) tillhandahåller nationell förfinansiering och samfinansiering av åtgärderna.</w:t>
      </w:r>
    </w:p>
    <w:p w14:paraId="562CBFBC" w14:textId="77777777" w:rsidR="003F5DEB" w:rsidRPr="00527525" w:rsidRDefault="003F5DEB" w:rsidP="003F5DEB">
      <w:pPr>
        <w:widowControl/>
        <w:ind w:left="567" w:hanging="567"/>
        <w:rPr>
          <w:szCs w:val="24"/>
        </w:rPr>
      </w:pPr>
      <w:r w:rsidRPr="00527525">
        <w:t>K.</w:t>
      </w:r>
      <w:r w:rsidRPr="00527525">
        <w:rPr>
          <w:color w:val="7030A0"/>
        </w:rPr>
        <w:tab/>
      </w:r>
      <w:r w:rsidRPr="00527525">
        <w:t>Enligt artikel 8 i rådets förordning (EU, Euratom) 2020/2093, i dess ändrade lydelse enligt rådets förordning (EU, Euratom) 2024/765, får EGF inte överstiga ett årligt maximibelopp på 30 miljoner EUR (i 2018 års priser). I enlighet med principen om sund ekonomisk förvaltning bör outnyttjade bidrag betalas tillbaka till kommissionen.</w:t>
      </w:r>
    </w:p>
    <w:p w14:paraId="0DC47C19" w14:textId="77777777" w:rsidR="003F5DEB" w:rsidRPr="00527525" w:rsidRDefault="003F5DEB" w:rsidP="003F5DEB">
      <w:pPr>
        <w:widowControl/>
        <w:ind w:left="567" w:hanging="567"/>
        <w:rPr>
          <w:szCs w:val="24"/>
        </w:rPr>
      </w:pPr>
    </w:p>
    <w:p w14:paraId="45D974AB" w14:textId="77777777" w:rsidR="003F5DEB" w:rsidRPr="00527525" w:rsidRDefault="003F5DEB" w:rsidP="003F5DEB">
      <w:pPr>
        <w:pStyle w:val="NormalHanging12a"/>
        <w:jc w:val="both"/>
      </w:pPr>
      <w:r w:rsidRPr="00527525">
        <w:t>1.</w:t>
      </w:r>
      <w:r w:rsidRPr="00527525">
        <w:tab/>
        <w:t>Europaparlamentet delar kommissionens åsikt att villkoren i artikel 4.2 a i EGF-förordningen är uppfyllda och att Belgien är berättigat till ekonomiskt stöd på 7 999 015 EUR enligt den förordningen, vilket utgör 85 % av de totala kostnaderna på 9 410 607 EUR, bestående av utgifter för individanpassade tjänster på 9 034 607 EUR och utgifter för förberedande åtgärder samt för förvaltning, information och marknadsföring, kontroll och rapportering på 376 000 EUR.</w:t>
      </w:r>
    </w:p>
    <w:p w14:paraId="425D96B1" w14:textId="77777777" w:rsidR="003F5DEB" w:rsidRPr="00527525" w:rsidRDefault="003F5DEB" w:rsidP="003F5DEB">
      <w:pPr>
        <w:pStyle w:val="NormalHanging12a"/>
        <w:jc w:val="both"/>
      </w:pPr>
      <w:r w:rsidRPr="00527525">
        <w:t xml:space="preserve">2. </w:t>
      </w:r>
      <w:r w:rsidRPr="00527525">
        <w:tab/>
        <w:t xml:space="preserve">Europaparlamentet noterar att de belgiska myndigheterna lämnade in ansökan den 29 oktober 2024 och att kommissionen, utifrån den ytterligare information som Belgien lämnade, slutförde sin bedömning den 26 mars 2025 och underrättade parlamentet samma dag. </w:t>
      </w:r>
    </w:p>
    <w:p w14:paraId="1B6AE496" w14:textId="77777777" w:rsidR="003F5DEB" w:rsidRPr="00527525" w:rsidRDefault="003F5DEB" w:rsidP="003F5DEB">
      <w:pPr>
        <w:pStyle w:val="NormalHanging12a"/>
        <w:jc w:val="both"/>
      </w:pPr>
      <w:r w:rsidRPr="00527525">
        <w:t>3.</w:t>
      </w:r>
      <w:r w:rsidRPr="00527525">
        <w:tab/>
        <w:t xml:space="preserve">Europaparlamentet noterar att ansökan gäller 2 411 arbetstagare som blivit uppsagda av företaget Van </w:t>
      </w:r>
      <w:proofErr w:type="spellStart"/>
      <w:r w:rsidRPr="00527525">
        <w:t>Hool</w:t>
      </w:r>
      <w:proofErr w:type="spellEnd"/>
      <w:r w:rsidRPr="00527525">
        <w:t>. Parlamentet noterar vidare att det kommer att röra sig om totalt 2 397 arbetstagare som blir berörda bidragsmottagare.</w:t>
      </w:r>
    </w:p>
    <w:p w14:paraId="6ED011A0" w14:textId="79CC4DEB" w:rsidR="003F5DEB" w:rsidRPr="00527525" w:rsidRDefault="003F5DEB" w:rsidP="003F5DEB">
      <w:pPr>
        <w:pStyle w:val="NormalHanging12a"/>
        <w:jc w:val="both"/>
      </w:pPr>
      <w:r w:rsidRPr="00527525">
        <w:t>4.</w:t>
      </w:r>
      <w:r w:rsidRPr="00527525">
        <w:tab/>
        <w:t xml:space="preserve">Europaparlamentet understryker att industrisektorn för närvarande håller på att minska i Belgien enligt det belgiska företagsförbundet (VBO). </w:t>
      </w:r>
      <w:r w:rsidR="00EF3D3F" w:rsidRPr="00527525">
        <w:t>P</w:t>
      </w:r>
      <w:r w:rsidR="0081175C" w:rsidRPr="00527525">
        <w:t>arlamentet noterar att i</w:t>
      </w:r>
      <w:r w:rsidRPr="00527525">
        <w:t xml:space="preserve">ndustrisektorn traditionellt sett </w:t>
      </w:r>
      <w:r w:rsidR="0081175C" w:rsidRPr="00527525">
        <w:t xml:space="preserve">har </w:t>
      </w:r>
      <w:r w:rsidRPr="00527525">
        <w:t xml:space="preserve">spelat en viktig roll i </w:t>
      </w:r>
      <w:proofErr w:type="spellStart"/>
      <w:r w:rsidRPr="00527525">
        <w:t>Lier</w:t>
      </w:r>
      <w:proofErr w:type="spellEnd"/>
      <w:r w:rsidRPr="00527525">
        <w:t xml:space="preserve"> och därför påverkas </w:t>
      </w:r>
      <w:proofErr w:type="spellStart"/>
      <w:r w:rsidRPr="00527525">
        <w:t>Liers</w:t>
      </w:r>
      <w:proofErr w:type="spellEnd"/>
      <w:r w:rsidRPr="00527525">
        <w:t xml:space="preserve"> arbetsmarknad i betydande grad av att industrin är på tillbakagång. Parlamentet uppmärksammar att antalet tillgängliga arbetstillfällen inom industrin i </w:t>
      </w:r>
      <w:proofErr w:type="spellStart"/>
      <w:r w:rsidRPr="00527525">
        <w:t>Lier</w:t>
      </w:r>
      <w:proofErr w:type="spellEnd"/>
      <w:r w:rsidRPr="00527525">
        <w:t xml:space="preserve"> minskade med 13 % 2023.</w:t>
      </w:r>
    </w:p>
    <w:p w14:paraId="3F411DBD" w14:textId="77777777" w:rsidR="003F5DEB" w:rsidRPr="00527525" w:rsidRDefault="003F5DEB" w:rsidP="003F5DEB">
      <w:pPr>
        <w:pStyle w:val="NormalHanging12a"/>
        <w:jc w:val="both"/>
      </w:pPr>
      <w:r w:rsidRPr="00527525">
        <w:t>5.</w:t>
      </w:r>
      <w:r w:rsidRPr="00527525">
        <w:tab/>
        <w:t>Europaparlamentet påpekar att en tredjedel av de uppsagda arbetstagarna är 50 år eller äldre och att 80 % har högst gymnasieutbildning och föråldrade färdigheter. Parlamentet betonar att med tanke på den nedåtgående trenden när det gäller antalet lediga tjänster och den geografiska spridningen kommer arbetstagarna att behöva riktat stöd med fokus på kompetenshöjning och omskolning för att öka sina möjligheter att återgå i arbete. Parlamentet anser att det är ett socialt ansvar för unionen och medlemsstaterna att ge de berörda arbetstagarna möjlighet att förvärva de kvalifikationer som krävs för en framtida anställning.</w:t>
      </w:r>
    </w:p>
    <w:p w14:paraId="401EA3D1" w14:textId="77777777" w:rsidR="003F5DEB" w:rsidRPr="00527525" w:rsidRDefault="003F5DEB" w:rsidP="003F5DEB">
      <w:pPr>
        <w:pStyle w:val="NormalHanging12a"/>
        <w:jc w:val="both"/>
      </w:pPr>
      <w:r w:rsidRPr="00527525">
        <w:t>6.</w:t>
      </w:r>
      <w:r w:rsidRPr="00527525">
        <w:tab/>
        <w:t>Europaparlamentet välkomnar att de individanpassade tjänster som kommer att erbjudas arbetstagare består av följande åtgärder: rådgivare för sociala insatser och registrering av arbetstagare, omställning, stöd i arbetssökandet och arbetsförmedling, yrkesvägledning, omskolning och yrkesutbildning samt utbildning på arbetsplatsen. Parlamentet framhåller särskilt tjänster som rör riktat stöd och personlig bedömning samt IKT-utbildning som bidrar till den kompetenshöjning som krävs i den digitala industriella tidsåldern.</w:t>
      </w:r>
    </w:p>
    <w:p w14:paraId="727F5FB1" w14:textId="77777777" w:rsidR="003F5DEB" w:rsidRPr="00527525" w:rsidRDefault="003F5DEB" w:rsidP="003F5DEB">
      <w:pPr>
        <w:pStyle w:val="NormalHanging12a"/>
        <w:jc w:val="both"/>
      </w:pPr>
      <w:r w:rsidRPr="00527525">
        <w:t>7.</w:t>
      </w:r>
      <w:r w:rsidRPr="00527525">
        <w:tab/>
        <w:t>Europarlamentet noterar att Belgien började tillhandahålla individanpassade tjänster till de berörda stödmottagarna den 22 april 2024 och att perioden för berättigande till ekonomiskt bidrag från EGF därför kommer att löpa från och med detta datum till och med 24 månader efter den dag då finansieringsbeslutet träder i kraft.</w:t>
      </w:r>
    </w:p>
    <w:p w14:paraId="1B86F02E" w14:textId="77777777" w:rsidR="003F5DEB" w:rsidRPr="00527525" w:rsidRDefault="003F5DEB" w:rsidP="003F5DEB">
      <w:pPr>
        <w:pStyle w:val="NormalHanging12a"/>
        <w:jc w:val="both"/>
        <w:rPr>
          <w:sz w:val="23"/>
          <w:szCs w:val="23"/>
        </w:rPr>
      </w:pPr>
      <w:r w:rsidRPr="00527525">
        <w:t>8.</w:t>
      </w:r>
      <w:r w:rsidRPr="00527525">
        <w:tab/>
        <w:t>Europaparlamentet noterar att Belgien började ådra sig administrativa kostnader för att genomföra EGF den 14 mars 2024, och att dessa utgifter därför ska berättiga till ekonomiskt bidrag från EGF från och med detta datum och till och med 31 månader efter den dag då beslutet om det ekonomiska bidraget träder i kraft.</w:t>
      </w:r>
    </w:p>
    <w:p w14:paraId="22B8D753" w14:textId="77777777" w:rsidR="003F5DEB" w:rsidRPr="00527525" w:rsidRDefault="003F5DEB" w:rsidP="003F5DEB">
      <w:pPr>
        <w:pStyle w:val="NormalHanging12a"/>
        <w:jc w:val="both"/>
      </w:pPr>
      <w:r w:rsidRPr="00527525">
        <w:t>9.</w:t>
      </w:r>
      <w:r w:rsidRPr="00527525">
        <w:tab/>
        <w:t>Europaparlamentet betonar att de belgiska myndigheterna har bekräftat att principerna om likabehandling och icke-diskriminering kommer att respekteras när det gäller tillgången till de föreslagna åtgärderna och deras genomförande och att dubbelfinansiering kommer att förhindras.</w:t>
      </w:r>
    </w:p>
    <w:p w14:paraId="282950FD" w14:textId="77777777" w:rsidR="003F5DEB" w:rsidRPr="00527525" w:rsidRDefault="003F5DEB" w:rsidP="003F5DEB">
      <w:pPr>
        <w:pStyle w:val="NormalHanging12a"/>
        <w:jc w:val="both"/>
      </w:pPr>
      <w:r w:rsidRPr="00527525">
        <w:t>10.</w:t>
      </w:r>
      <w:r w:rsidRPr="00527525">
        <w:tab/>
        <w:t>Europaparlamentet påminner om att de belgiska myndigheterna ska se till att jämställdhet och integrering av jämställdhetsperspektivet är en integrerad del av och främjas under hela genomförandeperioden.</w:t>
      </w:r>
    </w:p>
    <w:p w14:paraId="5414B879" w14:textId="77777777" w:rsidR="003F5DEB" w:rsidRPr="00527525" w:rsidRDefault="003F5DEB" w:rsidP="003F5DEB">
      <w:pPr>
        <w:pStyle w:val="NormalHanging12a"/>
        <w:widowControl/>
        <w:jc w:val="both"/>
      </w:pPr>
      <w:r w:rsidRPr="00527525">
        <w:t>11.</w:t>
      </w:r>
      <w:r w:rsidRPr="00527525">
        <w:tab/>
        <w:t>Europaparlamentet påminner om att bidrag från EGF inte får ersätta åtgärder som åligger företagen enligt nationell rätt eller kollektivavtal.</w:t>
      </w:r>
    </w:p>
    <w:p w14:paraId="39F5ED7F" w14:textId="77777777" w:rsidR="003F5DEB" w:rsidRPr="00527525" w:rsidRDefault="003F5DEB" w:rsidP="003F5DEB">
      <w:pPr>
        <w:pStyle w:val="NormalHanging12a"/>
        <w:jc w:val="both"/>
      </w:pPr>
      <w:r w:rsidRPr="00527525">
        <w:t>12.</w:t>
      </w:r>
      <w:r w:rsidRPr="00527525">
        <w:tab/>
        <w:t>Europaparlamentet påminner om att de belgiska myndigheterna ska framhålla unionsfinansieringens ursprung och säkerställa dess synlighet samt belysa mervärdet med unionens insats genom att tillhandahålla enhetlig, ändamålsenlig och riktad information till olika målgrupper, däribland stödmottagare, lokala och regionala myndigheter, arbetsmarknadens parter, medier och allmänheten.</w:t>
      </w:r>
    </w:p>
    <w:p w14:paraId="2AA4FE6D" w14:textId="77777777" w:rsidR="003F5DEB" w:rsidRPr="00527525" w:rsidRDefault="003F5DEB" w:rsidP="003F5DEB">
      <w:pPr>
        <w:pStyle w:val="NormalHanging12a"/>
        <w:jc w:val="both"/>
      </w:pPr>
      <w:r w:rsidRPr="00527525">
        <w:t>13.</w:t>
      </w:r>
      <w:r w:rsidRPr="00527525">
        <w:tab/>
        <w:t>Europaparlamentet godkänner det bifogade beslutet.</w:t>
      </w:r>
    </w:p>
    <w:p w14:paraId="16C1548C" w14:textId="77777777" w:rsidR="003F5DEB" w:rsidRPr="00527525" w:rsidRDefault="003F5DEB" w:rsidP="003F5DEB">
      <w:pPr>
        <w:pStyle w:val="NormalHanging12a"/>
        <w:jc w:val="both"/>
      </w:pPr>
      <w:r w:rsidRPr="00527525">
        <w:t>14.</w:t>
      </w:r>
      <w:r w:rsidRPr="00527525">
        <w:tab/>
        <w:t xml:space="preserve">Europaparlamentet uppdrar åt talmannen att tillsammans med rådets ordförande underteckna beslutet och se till att det offentliggörs i </w:t>
      </w:r>
      <w:r w:rsidRPr="00527525">
        <w:rPr>
          <w:i/>
        </w:rPr>
        <w:t>Europeiska unionens officiella tidning</w:t>
      </w:r>
      <w:r w:rsidRPr="00527525">
        <w:t>.</w:t>
      </w:r>
    </w:p>
    <w:p w14:paraId="11D53423" w14:textId="77777777" w:rsidR="003F5DEB" w:rsidRPr="00527525" w:rsidRDefault="003F5DEB" w:rsidP="003F5DEB">
      <w:pPr>
        <w:pStyle w:val="NormalHanging12a"/>
        <w:sectPr w:rsidR="003F5DEB" w:rsidRPr="00527525" w:rsidSect="00BD62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527525">
        <w:t>15.</w:t>
      </w:r>
      <w:r w:rsidRPr="00527525">
        <w:tab/>
        <w:t>Europaparlamentet uppdrar åt talmannen att översända denna resolution med bilaga till rådet och kommissionen.</w:t>
      </w:r>
    </w:p>
    <w:p w14:paraId="77558478" w14:textId="77777777" w:rsidR="0034559B" w:rsidRDefault="003F5DEB" w:rsidP="0034559B">
      <w:pPr>
        <w:pStyle w:val="PageHeading"/>
        <w:spacing w:after="240"/>
        <w:rPr>
          <w:rFonts w:ascii="Times New Roman" w:hAnsi="Times New Roman" w:cs="Times New Roman"/>
        </w:rPr>
      </w:pPr>
      <w:bookmarkStart w:id="7" w:name="_Toc196480260"/>
      <w:bookmarkStart w:id="8" w:name="_Toc197352255"/>
      <w:r w:rsidRPr="0034559B">
        <w:rPr>
          <w:rFonts w:ascii="Times New Roman" w:hAnsi="Times New Roman" w:cs="Times New Roman"/>
        </w:rPr>
        <w:t>BILAGA</w:t>
      </w:r>
    </w:p>
    <w:p w14:paraId="3B3DDBD0" w14:textId="21D4AF4B" w:rsidR="003F5DEB" w:rsidRPr="0034559B" w:rsidRDefault="003F5DEB" w:rsidP="0034559B">
      <w:pPr>
        <w:pStyle w:val="PageHeading"/>
        <w:spacing w:after="240"/>
        <w:rPr>
          <w:rFonts w:ascii="Times New Roman" w:hAnsi="Times New Roman" w:cs="Times New Roman"/>
        </w:rPr>
      </w:pPr>
      <w:r w:rsidRPr="0034559B">
        <w:rPr>
          <w:rFonts w:ascii="Times New Roman" w:hAnsi="Times New Roman" w:cs="Times New Roman"/>
        </w:rPr>
        <w:t>EUROPAPARLAMENTETS OCH RÅDETS BESLUT</w:t>
      </w:r>
      <w:bookmarkEnd w:id="7"/>
      <w:bookmarkEnd w:id="8"/>
    </w:p>
    <w:p w14:paraId="4F267DC6" w14:textId="77777777" w:rsidR="003F5DEB" w:rsidRPr="00527525" w:rsidRDefault="003F5DEB" w:rsidP="0034559B">
      <w:pPr>
        <w:pStyle w:val="NormalBold24a"/>
        <w:spacing w:before="360" w:after="360"/>
        <w:jc w:val="center"/>
      </w:pPr>
      <w:r w:rsidRPr="00527525">
        <w:t xml:space="preserve">om utnyttjande av Europeiska fonden för justering för globaliseringseffekter för uppsagda arbetstagare efter en ansökan från Belgien – EGF/2024/003 BE/Van </w:t>
      </w:r>
      <w:proofErr w:type="spellStart"/>
      <w:r w:rsidRPr="00527525">
        <w:t>Hool</w:t>
      </w:r>
      <w:proofErr w:type="spellEnd"/>
    </w:p>
    <w:p w14:paraId="776C3E88" w14:textId="46CA0753" w:rsidR="00E365E1" w:rsidRPr="0034559B" w:rsidRDefault="0034559B" w:rsidP="002E17D4">
      <w:pPr>
        <w:rPr>
          <w:i/>
        </w:rPr>
      </w:pPr>
      <w:r w:rsidRPr="0034559B">
        <w:rPr>
          <w:i/>
        </w:rPr>
        <w:t>(Texten till denna bilaga återges inte här eftersom den motsvaras av den slutliga rättsakten, beslut (EU) 2025/1018.)</w:t>
      </w:r>
      <w:bookmarkStart w:id="9" w:name="_GoBack"/>
      <w:bookmarkEnd w:id="9"/>
    </w:p>
    <w:sectPr w:rsidR="00E365E1" w:rsidRPr="0034559B" w:rsidSect="00BD622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133CA" w14:textId="77777777" w:rsidR="002E17D4" w:rsidRPr="00BD622D" w:rsidRDefault="002E17D4">
      <w:r w:rsidRPr="00BD622D">
        <w:separator/>
      </w:r>
    </w:p>
  </w:endnote>
  <w:endnote w:type="continuationSeparator" w:id="0">
    <w:p w14:paraId="46D247DD" w14:textId="77777777" w:rsidR="002E17D4" w:rsidRPr="00BD622D" w:rsidRDefault="002E17D4">
      <w:r w:rsidRPr="00BD62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F7B9E" w14:textId="77777777" w:rsidR="003F5DEB" w:rsidRPr="00BD622D" w:rsidRDefault="003F5DEB" w:rsidP="0031236F">
    <w:pPr>
      <w:pStyle w:val="EPFooter"/>
    </w:pPr>
    <w:r w:rsidRPr="00BD622D">
      <w:t>PE</w:t>
    </w:r>
    <w:r w:rsidRPr="00BD622D">
      <w:rPr>
        <w:rStyle w:val="HideTWBExt"/>
      </w:rPr>
      <w:t>&lt;</w:t>
    </w:r>
    <w:proofErr w:type="spellStart"/>
    <w:r w:rsidRPr="00BD622D">
      <w:rPr>
        <w:rStyle w:val="HideTWBExt"/>
      </w:rPr>
      <w:t>NoPE</w:t>
    </w:r>
    <w:proofErr w:type="spellEnd"/>
    <w:r w:rsidRPr="00BD622D">
      <w:rPr>
        <w:rStyle w:val="HideTWBExt"/>
      </w:rPr>
      <w:t>&gt;</w:t>
    </w:r>
    <w:r w:rsidRPr="00BD622D">
      <w:t>771.884</w:t>
    </w:r>
    <w:r w:rsidRPr="00BD622D">
      <w:rPr>
        <w:rStyle w:val="HideTWBExt"/>
      </w:rPr>
      <w:t>&lt;/</w:t>
    </w:r>
    <w:proofErr w:type="spellStart"/>
    <w:r w:rsidRPr="00BD622D">
      <w:rPr>
        <w:rStyle w:val="HideTWBExt"/>
      </w:rPr>
      <w:t>NoPE</w:t>
    </w:r>
    <w:proofErr w:type="spellEnd"/>
    <w:r w:rsidRPr="00BD622D">
      <w:rPr>
        <w:rStyle w:val="HideTWBExt"/>
      </w:rPr>
      <w:t>&gt;&lt;Version&gt;</w:t>
    </w:r>
    <w:r w:rsidRPr="00BD622D">
      <w:t>v03-00</w:t>
    </w:r>
    <w:r w:rsidRPr="00BD622D">
      <w:rPr>
        <w:rStyle w:val="HideTWBExt"/>
      </w:rPr>
      <w:t>&lt;/Version&gt;</w:t>
    </w:r>
    <w:r w:rsidRPr="00BD622D">
      <w:tab/>
    </w:r>
    <w:r w:rsidRPr="00BD622D">
      <w:fldChar w:fldCharType="begin"/>
    </w:r>
    <w:r w:rsidRPr="00BD622D">
      <w:instrText xml:space="preserve"> PAGE  \* MERGEFORMAT </w:instrText>
    </w:r>
    <w:r w:rsidRPr="00BD622D">
      <w:fldChar w:fldCharType="separate"/>
    </w:r>
    <w:r w:rsidR="00BD622D" w:rsidRPr="00BD622D">
      <w:rPr>
        <w:noProof/>
      </w:rPr>
      <w:t>2</w:t>
    </w:r>
    <w:r w:rsidRPr="00BD622D">
      <w:fldChar w:fldCharType="end"/>
    </w:r>
    <w:r w:rsidRPr="00BD622D">
      <w:t>/</w:t>
    </w:r>
    <w:fldSimple w:instr=" NUMPAGES  \* MERGEFORMAT ">
      <w:r w:rsidR="00BD622D" w:rsidRPr="00BD622D">
        <w:rPr>
          <w:noProof/>
        </w:rPr>
        <w:t>8</w:t>
      </w:r>
    </w:fldSimple>
    <w:r w:rsidRPr="00BD622D">
      <w:tab/>
    </w:r>
    <w:r w:rsidRPr="00BD622D">
      <w:rPr>
        <w:rStyle w:val="HideTWBExt"/>
      </w:rPr>
      <w:t>&lt;PathFdR&gt;</w:t>
    </w:r>
    <w:r w:rsidRPr="00BD622D">
      <w:t>RR\1320028SV.docx</w:t>
    </w:r>
    <w:r w:rsidRPr="00BD622D">
      <w:rPr>
        <w:rStyle w:val="HideTWBExt"/>
      </w:rPr>
      <w:t>&lt;/</w:t>
    </w:r>
    <w:proofErr w:type="spellStart"/>
    <w:r w:rsidRPr="00BD622D">
      <w:rPr>
        <w:rStyle w:val="HideTWBExt"/>
      </w:rPr>
      <w:t>PathFdR</w:t>
    </w:r>
    <w:proofErr w:type="spellEnd"/>
    <w:r w:rsidRPr="00BD622D">
      <w:rPr>
        <w:rStyle w:val="HideTWBExt"/>
      </w:rPr>
      <w:t>&gt;</w:t>
    </w:r>
  </w:p>
  <w:p w14:paraId="121634AB" w14:textId="77777777" w:rsidR="003F5DEB" w:rsidRPr="00BD622D" w:rsidRDefault="003F5DEB" w:rsidP="0031236F">
    <w:pPr>
      <w:pStyle w:val="EPFooter2"/>
    </w:pPr>
    <w:r w:rsidRPr="00BD622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44848" w14:textId="77777777" w:rsidR="003F5DEB" w:rsidRPr="00BD622D" w:rsidRDefault="003F5DEB" w:rsidP="0031236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76DD8" w14:textId="77777777" w:rsidR="003F5DEB" w:rsidRPr="00BD622D" w:rsidRDefault="003F5DEB" w:rsidP="0031236F">
    <w:pPr>
      <w:pStyle w:val="EPFooter"/>
    </w:pPr>
    <w:r w:rsidRPr="00BD622D">
      <w:rPr>
        <w:rStyle w:val="HideTWBExt"/>
      </w:rPr>
      <w:t>&lt;PathFdR&gt;</w:t>
    </w:r>
    <w:r w:rsidRPr="00BD622D">
      <w:t>RR\1320028SV.docx</w:t>
    </w:r>
    <w:r w:rsidRPr="00BD622D">
      <w:rPr>
        <w:rStyle w:val="HideTWBExt"/>
      </w:rPr>
      <w:t>&lt;/</w:t>
    </w:r>
    <w:proofErr w:type="spellStart"/>
    <w:r w:rsidRPr="00BD622D">
      <w:rPr>
        <w:rStyle w:val="HideTWBExt"/>
      </w:rPr>
      <w:t>PathFdR</w:t>
    </w:r>
    <w:proofErr w:type="spellEnd"/>
    <w:r w:rsidRPr="00BD622D">
      <w:rPr>
        <w:rStyle w:val="HideTWBExt"/>
      </w:rPr>
      <w:t>&gt;</w:t>
    </w:r>
    <w:r w:rsidRPr="00BD622D">
      <w:tab/>
    </w:r>
    <w:r w:rsidRPr="00BD622D">
      <w:tab/>
      <w:t>PE</w:t>
    </w:r>
    <w:r w:rsidRPr="00BD622D">
      <w:rPr>
        <w:rStyle w:val="HideTWBExt"/>
      </w:rPr>
      <w:t>&lt;</w:t>
    </w:r>
    <w:proofErr w:type="spellStart"/>
    <w:r w:rsidRPr="00BD622D">
      <w:rPr>
        <w:rStyle w:val="HideTWBExt"/>
      </w:rPr>
      <w:t>NoPE</w:t>
    </w:r>
    <w:proofErr w:type="spellEnd"/>
    <w:r w:rsidRPr="00BD622D">
      <w:rPr>
        <w:rStyle w:val="HideTWBExt"/>
      </w:rPr>
      <w:t>&gt;</w:t>
    </w:r>
    <w:r w:rsidRPr="00BD622D">
      <w:t>771.884</w:t>
    </w:r>
    <w:r w:rsidRPr="00BD622D">
      <w:rPr>
        <w:rStyle w:val="HideTWBExt"/>
      </w:rPr>
      <w:t>&lt;/</w:t>
    </w:r>
    <w:proofErr w:type="spellStart"/>
    <w:r w:rsidRPr="00BD622D">
      <w:rPr>
        <w:rStyle w:val="HideTWBExt"/>
      </w:rPr>
      <w:t>NoPE</w:t>
    </w:r>
    <w:proofErr w:type="spellEnd"/>
    <w:r w:rsidRPr="00BD622D">
      <w:rPr>
        <w:rStyle w:val="HideTWBExt"/>
      </w:rPr>
      <w:t>&gt;&lt;Version&gt;</w:t>
    </w:r>
    <w:r w:rsidRPr="00BD622D">
      <w:t>v03-00</w:t>
    </w:r>
    <w:r w:rsidRPr="00BD622D">
      <w:rPr>
        <w:rStyle w:val="HideTWBExt"/>
      </w:rPr>
      <w:t>&lt;/Version&gt;</w:t>
    </w:r>
  </w:p>
  <w:p w14:paraId="01BDF308" w14:textId="77777777" w:rsidR="003F5DEB" w:rsidRPr="00BD622D" w:rsidRDefault="003F5DEB" w:rsidP="0031236F">
    <w:pPr>
      <w:pStyle w:val="EPFooter2"/>
    </w:pPr>
    <w:r w:rsidRPr="00BD622D">
      <w:t>SV</w:t>
    </w:r>
    <w:r w:rsidRPr="00BD622D">
      <w:tab/>
    </w:r>
    <w:r w:rsidRPr="00BD622D">
      <w:rPr>
        <w:b w:val="0"/>
        <w:i/>
        <w:color w:val="C0C0C0"/>
        <w:sz w:val="22"/>
      </w:rPr>
      <w:t>Förenade i mångfalden</w:t>
    </w:r>
    <w:r w:rsidRPr="00BD622D">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2FD3" w14:textId="77777777" w:rsidR="00064002" w:rsidRPr="00BD622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12C3D" w14:textId="77777777" w:rsidR="00064002" w:rsidRPr="00BD622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1432A" w14:textId="77777777" w:rsidR="00064002" w:rsidRPr="00BD62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255C4" w14:textId="77777777" w:rsidR="002E17D4" w:rsidRPr="00BD622D" w:rsidRDefault="002E17D4">
      <w:r w:rsidRPr="00BD622D">
        <w:separator/>
      </w:r>
    </w:p>
  </w:footnote>
  <w:footnote w:type="continuationSeparator" w:id="0">
    <w:p w14:paraId="4B042AF6" w14:textId="77777777" w:rsidR="002E17D4" w:rsidRPr="00BD622D" w:rsidRDefault="002E17D4">
      <w:r w:rsidRPr="00BD622D">
        <w:continuationSeparator/>
      </w:r>
    </w:p>
  </w:footnote>
  <w:footnote w:id="1">
    <w:p w14:paraId="50F11336" w14:textId="77777777" w:rsidR="003F5DEB" w:rsidRPr="00527525" w:rsidRDefault="003F5DEB" w:rsidP="00BD622D">
      <w:pPr>
        <w:pStyle w:val="FootnoteText"/>
        <w:ind w:left="567" w:hanging="567"/>
        <w:rPr>
          <w:color w:val="000000" w:themeColor="text1"/>
          <w:sz w:val="24"/>
          <w:lang w:val="fi-FI"/>
        </w:rPr>
      </w:pPr>
      <w:r w:rsidRPr="00527525">
        <w:rPr>
          <w:rStyle w:val="FootnoteReference"/>
          <w:color w:val="000000" w:themeColor="text1"/>
          <w:sz w:val="24"/>
          <w:lang w:val="sv-SE"/>
        </w:rPr>
        <w:footnoteRef/>
      </w:r>
      <w:r w:rsidR="00BD622D" w:rsidRPr="00527525">
        <w:rPr>
          <w:color w:val="000000" w:themeColor="text1"/>
          <w:sz w:val="24"/>
          <w:lang w:val="fi-FI"/>
        </w:rPr>
        <w:t xml:space="preserve"> </w:t>
      </w:r>
      <w:r w:rsidR="00BD622D" w:rsidRPr="00527525">
        <w:rPr>
          <w:color w:val="000000" w:themeColor="text1"/>
          <w:sz w:val="24"/>
          <w:lang w:val="fi-FI"/>
        </w:rPr>
        <w:tab/>
      </w:r>
      <w:r w:rsidRPr="00527525">
        <w:rPr>
          <w:color w:val="000000" w:themeColor="text1"/>
          <w:sz w:val="24"/>
          <w:lang w:val="fi-FI"/>
        </w:rPr>
        <w:t xml:space="preserve">EUT L 153, 3.5.2021, s. 48, ELI: </w:t>
      </w:r>
      <w:hyperlink r:id="rId1" w:history="1">
        <w:r w:rsidRPr="00527525">
          <w:rPr>
            <w:rStyle w:val="Hyperlink"/>
            <w:color w:val="000000" w:themeColor="text1"/>
            <w:sz w:val="24"/>
            <w:u w:val="none"/>
            <w:lang w:val="fi-FI"/>
          </w:rPr>
          <w:t>http://data.europa.eu/eli/reg/2021/691/oj</w:t>
        </w:r>
      </w:hyperlink>
      <w:r w:rsidRPr="00527525">
        <w:rPr>
          <w:color w:val="000000" w:themeColor="text1"/>
          <w:sz w:val="24"/>
          <w:lang w:val="fi-FI"/>
        </w:rPr>
        <w:t>.</w:t>
      </w:r>
    </w:p>
  </w:footnote>
  <w:footnote w:id="2">
    <w:p w14:paraId="4B7ADE4D" w14:textId="77777777" w:rsidR="003F5DEB" w:rsidRPr="00527525" w:rsidRDefault="003F5DEB" w:rsidP="00BD622D">
      <w:pPr>
        <w:pStyle w:val="FootnoteText"/>
        <w:ind w:left="567" w:hanging="567"/>
        <w:rPr>
          <w:color w:val="000000" w:themeColor="text1"/>
          <w:sz w:val="24"/>
          <w:lang w:val="fi-FI"/>
        </w:rPr>
      </w:pPr>
      <w:r w:rsidRPr="00527525">
        <w:rPr>
          <w:rStyle w:val="FootnoteReference"/>
          <w:color w:val="000000" w:themeColor="text1"/>
          <w:sz w:val="24"/>
          <w:lang w:val="sv-SE"/>
        </w:rPr>
        <w:footnoteRef/>
      </w:r>
      <w:r w:rsidR="00BD622D" w:rsidRPr="00527525">
        <w:rPr>
          <w:color w:val="000000" w:themeColor="text1"/>
          <w:sz w:val="24"/>
          <w:lang w:val="fi-FI"/>
        </w:rPr>
        <w:t xml:space="preserve"> </w:t>
      </w:r>
      <w:r w:rsidR="00BD622D" w:rsidRPr="00527525">
        <w:rPr>
          <w:color w:val="000000" w:themeColor="text1"/>
          <w:sz w:val="24"/>
          <w:lang w:val="fi-FI"/>
        </w:rPr>
        <w:tab/>
      </w:r>
      <w:r w:rsidRPr="00527525">
        <w:rPr>
          <w:color w:val="000000" w:themeColor="text1"/>
          <w:sz w:val="24"/>
          <w:lang w:val="fi-FI"/>
        </w:rPr>
        <w:t xml:space="preserve">EUT L 433 I, 22.12.2020, s. 11, ELI: </w:t>
      </w:r>
      <w:hyperlink r:id="rId2" w:history="1">
        <w:r w:rsidRPr="00527525">
          <w:rPr>
            <w:rStyle w:val="Hyperlink"/>
            <w:color w:val="000000" w:themeColor="text1"/>
            <w:sz w:val="24"/>
            <w:lang w:val="fi-FI"/>
          </w:rPr>
          <w:t>http://data.europa.eu/eli/reg/2020/2093/oj</w:t>
        </w:r>
      </w:hyperlink>
      <w:r w:rsidRPr="00527525">
        <w:rPr>
          <w:color w:val="000000" w:themeColor="text1"/>
          <w:sz w:val="24"/>
          <w:lang w:val="fi-FI"/>
        </w:rPr>
        <w:t>.</w:t>
      </w:r>
    </w:p>
  </w:footnote>
  <w:footnote w:id="3">
    <w:p w14:paraId="43AF1F17" w14:textId="77777777" w:rsidR="003F5DEB" w:rsidRPr="00527525" w:rsidRDefault="003F5DEB" w:rsidP="00BD622D">
      <w:pPr>
        <w:pStyle w:val="FootnoteText"/>
        <w:ind w:left="567" w:hanging="567"/>
        <w:rPr>
          <w:color w:val="000000" w:themeColor="text1"/>
          <w:sz w:val="24"/>
          <w:lang w:val="sv-SE"/>
        </w:rPr>
      </w:pPr>
      <w:r w:rsidRPr="00527525">
        <w:rPr>
          <w:rStyle w:val="FootnoteReference"/>
          <w:color w:val="000000" w:themeColor="text1"/>
          <w:sz w:val="24"/>
          <w:lang w:val="sv-SE"/>
        </w:rPr>
        <w:footnoteRef/>
      </w:r>
      <w:r w:rsidR="00BD622D" w:rsidRPr="00527525">
        <w:rPr>
          <w:color w:val="000000" w:themeColor="text1"/>
          <w:sz w:val="24"/>
          <w:shd w:val="clear" w:color="auto" w:fill="FFFFFF"/>
          <w:lang w:val="sv-SE"/>
        </w:rPr>
        <w:t xml:space="preserve"> </w:t>
      </w:r>
      <w:r w:rsidR="00BD622D" w:rsidRPr="00527525">
        <w:rPr>
          <w:color w:val="000000" w:themeColor="text1"/>
          <w:sz w:val="24"/>
          <w:shd w:val="clear" w:color="auto" w:fill="FFFFFF"/>
          <w:lang w:val="sv-SE"/>
        </w:rPr>
        <w:tab/>
      </w:r>
      <w:r w:rsidRPr="00527525">
        <w:rPr>
          <w:color w:val="000000" w:themeColor="text1"/>
          <w:sz w:val="24"/>
          <w:shd w:val="clear" w:color="auto" w:fill="FFFFFF"/>
          <w:lang w:val="sv-SE"/>
        </w:rPr>
        <w:t>Rådets förordning (EU, Euratom) 2024/765 av den 29 februari 2024 om ändring av förordning (EU, Euratom) 2020/2093 om den fleråriga budgetramen 2021–2027</w:t>
      </w:r>
      <w:r w:rsidRPr="00527525">
        <w:rPr>
          <w:color w:val="000000" w:themeColor="text1"/>
          <w:sz w:val="24"/>
          <w:lang w:val="sv-SE"/>
        </w:rPr>
        <w:t xml:space="preserve"> (EUT L, 2024/765, 29.2.2024, </w:t>
      </w:r>
      <w:r w:rsidRPr="00527525">
        <w:rPr>
          <w:rStyle w:val="Emphasis"/>
          <w:i w:val="0"/>
          <w:color w:val="000000" w:themeColor="text1"/>
          <w:sz w:val="24"/>
          <w:shd w:val="clear" w:color="auto" w:fill="FFFFFF"/>
          <w:lang w:val="sv-SE"/>
        </w:rPr>
        <w:t>ELI</w:t>
      </w:r>
      <w:r w:rsidRPr="00527525">
        <w:rPr>
          <w:i/>
          <w:color w:val="000000" w:themeColor="text1"/>
          <w:sz w:val="24"/>
          <w:lang w:val="sv-SE"/>
        </w:rPr>
        <w:t>:</w:t>
      </w:r>
      <w:r w:rsidRPr="00527525">
        <w:rPr>
          <w:rStyle w:val="Emphasis"/>
          <w:i w:val="0"/>
          <w:color w:val="000000" w:themeColor="text1"/>
          <w:sz w:val="24"/>
          <w:shd w:val="clear" w:color="auto" w:fill="FFFFFF"/>
          <w:lang w:val="sv-SE"/>
        </w:rPr>
        <w:t xml:space="preserve"> </w:t>
      </w:r>
      <w:hyperlink r:id="rId3" w:history="1">
        <w:r w:rsidRPr="00527525">
          <w:rPr>
            <w:rStyle w:val="Hyperlink"/>
            <w:color w:val="000000" w:themeColor="text1"/>
            <w:lang w:val="sv-SE"/>
          </w:rPr>
          <w:t>http://data.europa.eu/eli/reg/2024/765/oj</w:t>
        </w:r>
      </w:hyperlink>
      <w:r w:rsidRPr="00527525">
        <w:rPr>
          <w:rStyle w:val="Emphasis"/>
          <w:i w:val="0"/>
          <w:color w:val="000000" w:themeColor="text1"/>
          <w:sz w:val="24"/>
          <w:shd w:val="clear" w:color="auto" w:fill="FFFFFF"/>
          <w:lang w:val="sv-SE"/>
        </w:rPr>
        <w:t>).</w:t>
      </w:r>
    </w:p>
  </w:footnote>
  <w:footnote w:id="4">
    <w:p w14:paraId="30489D82" w14:textId="77777777" w:rsidR="003F5DEB" w:rsidRPr="00527525" w:rsidRDefault="003F5DEB" w:rsidP="00BD622D">
      <w:pPr>
        <w:pStyle w:val="FootnoteText"/>
        <w:ind w:left="567" w:hanging="567"/>
        <w:rPr>
          <w:color w:val="000000" w:themeColor="text1"/>
          <w:sz w:val="24"/>
          <w:lang w:val="sv-SE"/>
        </w:rPr>
      </w:pPr>
      <w:r w:rsidRPr="00527525">
        <w:rPr>
          <w:rStyle w:val="FootnoteReference"/>
          <w:color w:val="000000" w:themeColor="text1"/>
          <w:sz w:val="24"/>
          <w:lang w:val="sv-SE"/>
        </w:rPr>
        <w:footnoteRef/>
      </w:r>
      <w:r w:rsidR="00BD622D" w:rsidRPr="00527525">
        <w:rPr>
          <w:color w:val="000000" w:themeColor="text1"/>
          <w:sz w:val="24"/>
          <w:lang w:val="sv-SE"/>
        </w:rPr>
        <w:t xml:space="preserve"> </w:t>
      </w:r>
      <w:r w:rsidR="00BD622D" w:rsidRPr="00527525">
        <w:rPr>
          <w:color w:val="000000" w:themeColor="text1"/>
          <w:sz w:val="24"/>
          <w:lang w:val="sv-SE"/>
        </w:rPr>
        <w:tab/>
      </w:r>
      <w:r w:rsidRPr="00527525">
        <w:rPr>
          <w:color w:val="000000" w:themeColor="text1"/>
          <w:sz w:val="24"/>
          <w:lang w:val="sv-SE"/>
        </w:rPr>
        <w:t xml:space="preserve">EUT L 433 I, 22.12.2020, s. 28, ELI: </w:t>
      </w:r>
      <w:r w:rsidRPr="00527525">
        <w:rPr>
          <w:color w:val="000000" w:themeColor="text1"/>
          <w:sz w:val="24"/>
          <w:u w:val="single"/>
          <w:lang w:val="sv-SE"/>
        </w:rPr>
        <w:t>h</w:t>
      </w:r>
      <w:hyperlink r:id="rId4" w:history="1">
        <w:r w:rsidRPr="00527525">
          <w:rPr>
            <w:rStyle w:val="Hyperlink"/>
            <w:color w:val="000000" w:themeColor="text1"/>
            <w:sz w:val="24"/>
            <w:lang w:val="sv-SE"/>
          </w:rPr>
          <w:t>ttp://data.europa.eu/eli/agree_interinstit/2020</w:t>
        </w:r>
        <w:r w:rsidR="006F79A8" w:rsidRPr="00527525">
          <w:rPr>
            <w:rStyle w:val="Hyperlink"/>
            <w:color w:val="000000" w:themeColor="text1"/>
            <w:sz w:val="24"/>
            <w:lang w:val="sv-SE"/>
          </w:rPr>
          <w:br/>
        </w:r>
        <w:r w:rsidRPr="00527525">
          <w:rPr>
            <w:rStyle w:val="Hyperlink"/>
            <w:color w:val="000000" w:themeColor="text1"/>
            <w:sz w:val="24"/>
            <w:lang w:val="sv-SE"/>
          </w:rPr>
          <w:t>/1222/oj</w:t>
        </w:r>
      </w:hyperlink>
      <w:r w:rsidRPr="00527525">
        <w:rPr>
          <w:color w:val="000000" w:themeColor="text1"/>
          <w:sz w:val="24"/>
          <w:lang w:val="sv-SE"/>
        </w:rPr>
        <w:t>.</w:t>
      </w:r>
    </w:p>
  </w:footnote>
  <w:footnote w:id="5">
    <w:p w14:paraId="6CCF4A22" w14:textId="77777777" w:rsidR="003F5DEB" w:rsidRPr="00527525" w:rsidRDefault="003F5DEB" w:rsidP="00BD622D">
      <w:pPr>
        <w:pStyle w:val="FootnoteText"/>
        <w:ind w:left="567" w:hanging="567"/>
        <w:rPr>
          <w:color w:val="000000" w:themeColor="text1"/>
          <w:sz w:val="24"/>
          <w:lang w:val="sv-SE"/>
        </w:rPr>
      </w:pPr>
      <w:r w:rsidRPr="00527525">
        <w:rPr>
          <w:rStyle w:val="FootnoteReference"/>
          <w:color w:val="000000" w:themeColor="text1"/>
          <w:sz w:val="24"/>
          <w:lang w:val="sv-SE"/>
        </w:rPr>
        <w:footnoteRef/>
      </w:r>
      <w:r w:rsidR="00BD622D" w:rsidRPr="00527525">
        <w:rPr>
          <w:color w:val="000000" w:themeColor="text1"/>
          <w:sz w:val="24"/>
          <w:lang w:val="sv-SE"/>
        </w:rPr>
        <w:t xml:space="preserve"> </w:t>
      </w:r>
      <w:r w:rsidR="00BD622D" w:rsidRPr="00527525">
        <w:rPr>
          <w:color w:val="000000" w:themeColor="text1"/>
          <w:sz w:val="24"/>
          <w:lang w:val="sv-SE"/>
        </w:rPr>
        <w:tab/>
      </w:r>
      <w:r w:rsidRPr="00527525">
        <w:rPr>
          <w:color w:val="000000" w:themeColor="text1"/>
          <w:sz w:val="24"/>
          <w:lang w:val="sv-SE"/>
        </w:rPr>
        <w:t>I den mening som avses i artikel 3 i EGF-förordningen.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C947C" w14:textId="77777777" w:rsidR="003F5DEB" w:rsidRPr="00BD622D" w:rsidRDefault="003F5D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E1D1B" w14:textId="77777777" w:rsidR="003F5DEB" w:rsidRPr="00BD622D" w:rsidRDefault="003F5D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645A4" w14:textId="77777777" w:rsidR="003F5DEB" w:rsidRPr="00BD622D" w:rsidRDefault="003F5D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F3992" w14:textId="77777777" w:rsidR="00064002" w:rsidRPr="00BD622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F359D" w14:textId="77777777" w:rsidR="00064002" w:rsidRPr="00BD622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E6ECB" w14:textId="77777777" w:rsidR="00064002" w:rsidRPr="00BD62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SV"/>
    <w:docVar w:name="dvnumam" w:val="0"/>
    <w:docVar w:name="dvpe" w:val="771.884"/>
    <w:docVar w:name="dvrapporteur" w:val="Föredragande: "/>
    <w:docVar w:name="dvtitre" w:val="Europaparlamentets lagstiftningsresolution av den xx xx 2025 om förslaget till Europaparlamentets och rådets beslut om utnyttjande av Europeiska fonden för justering för globaliseringseffekter för uppsagda arbetstagare efter en ansökan från Belgien – EGF/2024/003 BE/Van Hool(COM(2025)0001 – C10-0056/2025 – 2025/0061(BUD))"/>
  </w:docVars>
  <w:rsids>
    <w:rsidRoot w:val="002E17D4"/>
    <w:rsid w:val="00002272"/>
    <w:rsid w:val="00064002"/>
    <w:rsid w:val="000677B9"/>
    <w:rsid w:val="000831BA"/>
    <w:rsid w:val="000A42CC"/>
    <w:rsid w:val="000E7DD9"/>
    <w:rsid w:val="0010095E"/>
    <w:rsid w:val="00125B37"/>
    <w:rsid w:val="00187494"/>
    <w:rsid w:val="001F32AE"/>
    <w:rsid w:val="002767FF"/>
    <w:rsid w:val="002B18FE"/>
    <w:rsid w:val="002B5493"/>
    <w:rsid w:val="002E17D4"/>
    <w:rsid w:val="00343214"/>
    <w:rsid w:val="0034559B"/>
    <w:rsid w:val="00361C00"/>
    <w:rsid w:val="00395FA1"/>
    <w:rsid w:val="003E15D4"/>
    <w:rsid w:val="003F5DEB"/>
    <w:rsid w:val="00411CCE"/>
    <w:rsid w:val="0041666E"/>
    <w:rsid w:val="00421060"/>
    <w:rsid w:val="00471C19"/>
    <w:rsid w:val="004867E3"/>
    <w:rsid w:val="00494A28"/>
    <w:rsid w:val="004C0004"/>
    <w:rsid w:val="004C5D52"/>
    <w:rsid w:val="0050519A"/>
    <w:rsid w:val="005072A1"/>
    <w:rsid w:val="00514517"/>
    <w:rsid w:val="00527525"/>
    <w:rsid w:val="00545827"/>
    <w:rsid w:val="00560270"/>
    <w:rsid w:val="005C2568"/>
    <w:rsid w:val="005F1B17"/>
    <w:rsid w:val="005F412D"/>
    <w:rsid w:val="006037C0"/>
    <w:rsid w:val="006631B6"/>
    <w:rsid w:val="00680577"/>
    <w:rsid w:val="006F74FA"/>
    <w:rsid w:val="006F79A8"/>
    <w:rsid w:val="00731ADD"/>
    <w:rsid w:val="00734777"/>
    <w:rsid w:val="00747932"/>
    <w:rsid w:val="00751A4A"/>
    <w:rsid w:val="00754860"/>
    <w:rsid w:val="00756632"/>
    <w:rsid w:val="00762C74"/>
    <w:rsid w:val="00786EC0"/>
    <w:rsid w:val="007D1690"/>
    <w:rsid w:val="007E22AD"/>
    <w:rsid w:val="0081175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22D"/>
    <w:rsid w:val="00BD7BD8"/>
    <w:rsid w:val="00BE6ADC"/>
    <w:rsid w:val="00C05BFE"/>
    <w:rsid w:val="00C23CD4"/>
    <w:rsid w:val="00C61C0C"/>
    <w:rsid w:val="00C941CB"/>
    <w:rsid w:val="00CC2357"/>
    <w:rsid w:val="00CF071A"/>
    <w:rsid w:val="00D058B8"/>
    <w:rsid w:val="00D56C11"/>
    <w:rsid w:val="00D61118"/>
    <w:rsid w:val="00D834A0"/>
    <w:rsid w:val="00D872DF"/>
    <w:rsid w:val="00D91E21"/>
    <w:rsid w:val="00DA7FCD"/>
    <w:rsid w:val="00E04BF5"/>
    <w:rsid w:val="00E365E1"/>
    <w:rsid w:val="00E820A4"/>
    <w:rsid w:val="00EB006A"/>
    <w:rsid w:val="00EB4772"/>
    <w:rsid w:val="00ED169E"/>
    <w:rsid w:val="00ED4235"/>
    <w:rsid w:val="00EF3D3F"/>
    <w:rsid w:val="00F04346"/>
    <w:rsid w:val="00F075DC"/>
    <w:rsid w:val="00F149E9"/>
    <w:rsid w:val="00F5134D"/>
    <w:rsid w:val="00F74202"/>
    <w:rsid w:val="00F87713"/>
    <w:rsid w:val="00F9347C"/>
    <w:rsid w:val="00FA456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EBBF1"/>
  <w15:chartTrackingRefBased/>
  <w15:docId w15:val="{D6D3A42F-C60C-4399-BE1D-48273CE6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F5DE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F5DEB"/>
    <w:pPr>
      <w:keepNext/>
      <w:spacing w:after="480"/>
      <w:jc w:val="center"/>
    </w:pPr>
    <w:rPr>
      <w:rFonts w:ascii="Arial" w:hAnsi="Arial" w:cs="Arial"/>
      <w:b/>
    </w:rPr>
  </w:style>
  <w:style w:type="paragraph" w:customStyle="1" w:styleId="NormalBold">
    <w:name w:val="NormalBold"/>
    <w:basedOn w:val="Normal"/>
    <w:rsid w:val="003F5DEB"/>
    <w:rPr>
      <w:b/>
    </w:rPr>
  </w:style>
  <w:style w:type="paragraph" w:customStyle="1" w:styleId="NormalHanging12a">
    <w:name w:val="NormalHanging12a"/>
    <w:basedOn w:val="Normal"/>
    <w:link w:val="NormalHanging12aChar"/>
    <w:rsid w:val="003F5DEB"/>
    <w:pPr>
      <w:spacing w:after="240"/>
      <w:ind w:left="567" w:hanging="567"/>
    </w:pPr>
  </w:style>
  <w:style w:type="paragraph" w:styleId="Header">
    <w:name w:val="header"/>
    <w:basedOn w:val="Normal"/>
    <w:link w:val="HeaderChar"/>
    <w:rsid w:val="003F5DEB"/>
    <w:pPr>
      <w:tabs>
        <w:tab w:val="center" w:pos="4513"/>
        <w:tab w:val="right" w:pos="9026"/>
      </w:tabs>
    </w:pPr>
  </w:style>
  <w:style w:type="character" w:customStyle="1" w:styleId="HeaderChar">
    <w:name w:val="Header Char"/>
    <w:basedOn w:val="DefaultParagraphFont"/>
    <w:link w:val="Header"/>
    <w:rsid w:val="003F5DEB"/>
    <w:rPr>
      <w:sz w:val="24"/>
      <w:lang w:val="sv-SE"/>
    </w:rPr>
  </w:style>
  <w:style w:type="paragraph" w:customStyle="1" w:styleId="NormalBold24a">
    <w:name w:val="NormalBold24a"/>
    <w:basedOn w:val="Normal"/>
    <w:rsid w:val="003F5DEB"/>
    <w:pPr>
      <w:spacing w:after="480"/>
    </w:pPr>
    <w:rPr>
      <w:b/>
      <w:bCs/>
    </w:rPr>
  </w:style>
  <w:style w:type="paragraph" w:customStyle="1" w:styleId="EPFooter">
    <w:name w:val="EPFooter"/>
    <w:basedOn w:val="Normal"/>
    <w:rsid w:val="003F5DEB"/>
    <w:pPr>
      <w:tabs>
        <w:tab w:val="center" w:pos="4535"/>
        <w:tab w:val="right" w:pos="9071"/>
      </w:tabs>
      <w:spacing w:before="240" w:after="240"/>
    </w:pPr>
    <w:rPr>
      <w:color w:val="010000"/>
      <w:sz w:val="22"/>
    </w:rPr>
  </w:style>
  <w:style w:type="paragraph" w:customStyle="1" w:styleId="EPComma">
    <w:name w:val="EPComma"/>
    <w:basedOn w:val="Normal"/>
    <w:rsid w:val="003F5DEB"/>
    <w:pPr>
      <w:spacing w:before="480" w:after="240"/>
    </w:pPr>
  </w:style>
  <w:style w:type="character" w:customStyle="1" w:styleId="NormalHanging12aChar">
    <w:name w:val="NormalHanging12a Char"/>
    <w:basedOn w:val="DefaultParagraphFont"/>
    <w:link w:val="NormalHanging12a"/>
    <w:locked/>
    <w:rsid w:val="003F5DEB"/>
    <w:rPr>
      <w:sz w:val="24"/>
      <w:lang w:val="sv-SE"/>
    </w:rPr>
  </w:style>
  <w:style w:type="character" w:styleId="Emphasis">
    <w:name w:val="Emphasis"/>
    <w:basedOn w:val="DefaultParagraphFont"/>
    <w:uiPriority w:val="20"/>
    <w:qFormat/>
    <w:rsid w:val="003F5DEB"/>
    <w:rPr>
      <w:i/>
      <w:iCs/>
    </w:rPr>
  </w:style>
  <w:style w:type="paragraph" w:customStyle="1" w:styleId="Institutionquiagit">
    <w:name w:val="Institution qui agit"/>
    <w:basedOn w:val="Normal"/>
    <w:next w:val="Normal"/>
    <w:rsid w:val="003F5DE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F5DEB"/>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3F5DE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F5DE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F5DE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F5DEB"/>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3F5DEB"/>
    <w:rPr>
      <w:color w:val="0563C1" w:themeColor="hyperlink"/>
      <w:u w:val="single"/>
    </w:rPr>
  </w:style>
  <w:style w:type="character" w:customStyle="1" w:styleId="PageHeadingChar">
    <w:name w:val="PageHeading Char"/>
    <w:basedOn w:val="DefaultParagraphFont"/>
    <w:link w:val="PageHeading"/>
    <w:rsid w:val="003F5DEB"/>
    <w:rPr>
      <w:rFonts w:ascii="Arial" w:hAnsi="Arial" w:cs="Arial"/>
      <w:b/>
      <w:sz w:val="24"/>
      <w:lang w:val="sv-SE"/>
    </w:rPr>
  </w:style>
  <w:style w:type="paragraph" w:styleId="BalloonText">
    <w:name w:val="Balloon Text"/>
    <w:basedOn w:val="Normal"/>
    <w:link w:val="BalloonTextChar"/>
    <w:rsid w:val="006F79A8"/>
    <w:rPr>
      <w:rFonts w:ascii="Segoe UI" w:hAnsi="Segoe UI" w:cs="Segoe UI"/>
      <w:sz w:val="18"/>
      <w:szCs w:val="18"/>
    </w:rPr>
  </w:style>
  <w:style w:type="character" w:customStyle="1" w:styleId="BalloonTextChar">
    <w:name w:val="Balloon Text Char"/>
    <w:basedOn w:val="DefaultParagraphFont"/>
    <w:link w:val="BalloonText"/>
    <w:rsid w:val="006F79A8"/>
    <w:rPr>
      <w:rFonts w:ascii="Segoe UI" w:hAnsi="Segoe UI" w:cs="Segoe UI"/>
      <w:sz w:val="18"/>
      <w:szCs w:val="18"/>
      <w:lang w:val="sv-SE"/>
    </w:rPr>
  </w:style>
  <w:style w:type="character" w:styleId="CommentReference">
    <w:name w:val="annotation reference"/>
    <w:basedOn w:val="DefaultParagraphFont"/>
    <w:rsid w:val="00754860"/>
    <w:rPr>
      <w:sz w:val="16"/>
      <w:szCs w:val="16"/>
    </w:rPr>
  </w:style>
  <w:style w:type="paragraph" w:styleId="CommentText">
    <w:name w:val="annotation text"/>
    <w:basedOn w:val="Normal"/>
    <w:link w:val="CommentTextChar"/>
    <w:rsid w:val="00754860"/>
    <w:rPr>
      <w:sz w:val="20"/>
    </w:rPr>
  </w:style>
  <w:style w:type="character" w:customStyle="1" w:styleId="CommentTextChar">
    <w:name w:val="Comment Text Char"/>
    <w:basedOn w:val="DefaultParagraphFont"/>
    <w:link w:val="CommentText"/>
    <w:rsid w:val="00754860"/>
    <w:rPr>
      <w:lang w:val="sv-SE"/>
    </w:rPr>
  </w:style>
  <w:style w:type="paragraph" w:styleId="CommentSubject">
    <w:name w:val="annotation subject"/>
    <w:basedOn w:val="CommentText"/>
    <w:next w:val="CommentText"/>
    <w:link w:val="CommentSubjectChar"/>
    <w:rsid w:val="00754860"/>
    <w:rPr>
      <w:b/>
      <w:bCs/>
    </w:rPr>
  </w:style>
  <w:style w:type="character" w:customStyle="1" w:styleId="CommentSubjectChar">
    <w:name w:val="Comment Subject Char"/>
    <w:basedOn w:val="CommentTextChar"/>
    <w:link w:val="CommentSubject"/>
    <w:rsid w:val="0075486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B30D7-E310-4BF6-AE0B-8D4F795A0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1334</Words>
  <Characters>8655</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2025-06-16T14:22:00Z</dcterms:created>
  <dcterms:modified xsi:type="dcterms:W3CDTF">2025-06-16T14:22:00Z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P10_TA(2025)0074_</vt:lpwstr>
  </property>
  <property fmtid="{D5CDD505-2E9C-101B-9397-08002B2CF9AE}" pid="4" name="&lt;Type&gt;">
    <vt:lpwstr>RR</vt:lpwstr>
  </property>
</Properties>
</file>