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1D0A" w:rsidTr="0010095E">
        <w:trPr>
          <w:trHeight w:hRule="exact" w:val="1418"/>
        </w:trPr>
        <w:tc>
          <w:tcPr>
            <w:tcW w:w="6804" w:type="dxa"/>
            <w:shd w:val="clear" w:color="auto" w:fill="auto"/>
            <w:vAlign w:val="center"/>
          </w:tcPr>
          <w:p w:rsidR="00751A4A" w:rsidRPr="00EE1D0A" w:rsidRDefault="009E4946" w:rsidP="0010095E">
            <w:pPr>
              <w:pStyle w:val="EPName"/>
              <w:rPr>
                <w:lang w:val="br-FR"/>
              </w:rPr>
            </w:pPr>
            <w:r w:rsidRPr="00EE1D0A">
              <w:rPr>
                <w:lang w:val="br-FR"/>
              </w:rPr>
              <w:t>Европейски</w:t>
            </w:r>
            <w:r w:rsidR="00BC793A" w:rsidRPr="00EE1D0A">
              <w:rPr>
                <w:lang w:val="br-FR"/>
              </w:rPr>
              <w:t xml:space="preserve"> парламент</w:t>
            </w:r>
          </w:p>
          <w:p w:rsidR="00751A4A" w:rsidRPr="00EE1D0A" w:rsidRDefault="005F1B17" w:rsidP="005F1B17">
            <w:pPr>
              <w:pStyle w:val="EPTerm"/>
              <w:rPr>
                <w:rStyle w:val="HideTWBExt"/>
                <w:noProof w:val="0"/>
                <w:vanish w:val="0"/>
                <w:color w:val="auto"/>
                <w:lang w:val="br-FR"/>
              </w:rPr>
            </w:pPr>
            <w:r w:rsidRPr="00EE1D0A">
              <w:rPr>
                <w:lang w:val="br-FR"/>
              </w:rPr>
              <w:t>2024</w:t>
            </w:r>
            <w:r w:rsidR="009E4946" w:rsidRPr="00EE1D0A">
              <w:rPr>
                <w:lang w:val="br-FR"/>
              </w:rPr>
              <w:t> – </w:t>
            </w:r>
            <w:r w:rsidR="00817416" w:rsidRPr="00EE1D0A">
              <w:rPr>
                <w:lang w:val="br-FR"/>
              </w:rPr>
              <w:t>202</w:t>
            </w:r>
            <w:r w:rsidRPr="00EE1D0A">
              <w:rPr>
                <w:lang w:val="br-FR"/>
              </w:rPr>
              <w:t>9</w:t>
            </w:r>
          </w:p>
        </w:tc>
        <w:tc>
          <w:tcPr>
            <w:tcW w:w="2268" w:type="dxa"/>
            <w:shd w:val="clear" w:color="auto" w:fill="auto"/>
          </w:tcPr>
          <w:p w:rsidR="00751A4A" w:rsidRPr="00EE1D0A" w:rsidRDefault="00187494" w:rsidP="0010095E">
            <w:pPr>
              <w:pStyle w:val="EPLogo"/>
              <w:rPr>
                <w:lang w:val="br-FR"/>
              </w:rPr>
            </w:pPr>
            <w:r w:rsidRPr="00EE1D0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1D0A" w:rsidRDefault="00D058B8" w:rsidP="004C5D52">
      <w:pPr>
        <w:pStyle w:val="LineTop"/>
        <w:rPr>
          <w:lang w:val="br-FR"/>
        </w:rPr>
      </w:pPr>
    </w:p>
    <w:p w:rsidR="00680577" w:rsidRPr="00EE1D0A" w:rsidRDefault="00BC793A" w:rsidP="00680577">
      <w:pPr>
        <w:pStyle w:val="EPBodyTA1"/>
        <w:rPr>
          <w:lang w:val="br-FR"/>
        </w:rPr>
      </w:pPr>
      <w:r w:rsidRPr="00EE1D0A">
        <w:rPr>
          <w:lang w:val="br-FR"/>
        </w:rPr>
        <w:t>ПРИЕТИ ТЕКСТОВЕ</w:t>
      </w:r>
    </w:p>
    <w:p w:rsidR="00D058B8" w:rsidRPr="00EE1D0A" w:rsidRDefault="00D058B8" w:rsidP="00D058B8">
      <w:pPr>
        <w:pStyle w:val="LineBottom"/>
        <w:rPr>
          <w:lang w:val="br-FR"/>
        </w:rPr>
      </w:pPr>
    </w:p>
    <w:p w:rsidR="00BC793A" w:rsidRPr="00EE1D0A" w:rsidRDefault="00BC793A" w:rsidP="00BC793A">
      <w:pPr>
        <w:pStyle w:val="ATHeading1"/>
        <w:rPr>
          <w:lang w:val="br-FR"/>
        </w:rPr>
      </w:pPr>
      <w:bookmarkStart w:id="0" w:name="TANumber"/>
      <w:r w:rsidRPr="00EE1D0A">
        <w:rPr>
          <w:lang w:val="br-FR"/>
        </w:rPr>
        <w:t>P10_TA(2025)00</w:t>
      </w:r>
      <w:r w:rsidR="00CB6FEE">
        <w:t>76</w:t>
      </w:r>
      <w:bookmarkEnd w:id="0"/>
    </w:p>
    <w:p w:rsidR="00BC793A" w:rsidRPr="00EE1D0A" w:rsidRDefault="00BC793A" w:rsidP="00BC793A">
      <w:pPr>
        <w:pStyle w:val="ATHeading2"/>
        <w:rPr>
          <w:lang w:val="br-FR"/>
        </w:rPr>
      </w:pPr>
      <w:bookmarkStart w:id="1" w:name="title"/>
      <w:r w:rsidRPr="00EE1D0A">
        <w:rPr>
          <w:lang w:val="br-FR"/>
        </w:rPr>
        <w:t>Контрол на финансовите дейности на Европейската инвестиционна банка – годишен доклад за 2023 г.</w:t>
      </w:r>
      <w:bookmarkEnd w:id="1"/>
    </w:p>
    <w:p w:rsidR="00BC793A" w:rsidRPr="00EE1D0A" w:rsidRDefault="00BC793A" w:rsidP="00BC793A">
      <w:pPr>
        <w:rPr>
          <w:i/>
          <w:vanish/>
          <w:lang w:val="br-FR"/>
        </w:rPr>
      </w:pPr>
      <w:r w:rsidRPr="00EE1D0A">
        <w:rPr>
          <w:i/>
          <w:lang w:val="br-FR"/>
        </w:rPr>
        <w:fldChar w:fldCharType="begin"/>
      </w:r>
      <w:r w:rsidRPr="00EE1D0A">
        <w:rPr>
          <w:i/>
          <w:lang w:val="br-FR"/>
        </w:rPr>
        <w:instrText xml:space="preserve"> TC"(</w:instrText>
      </w:r>
      <w:bookmarkStart w:id="2" w:name="DocNumber"/>
      <w:r w:rsidRPr="00EE1D0A">
        <w:rPr>
          <w:i/>
          <w:lang w:val="br-FR"/>
        </w:rPr>
        <w:instrText>A10-0068/2025</w:instrText>
      </w:r>
      <w:bookmarkEnd w:id="2"/>
      <w:r w:rsidRPr="00EE1D0A">
        <w:rPr>
          <w:i/>
          <w:lang w:val="br-FR"/>
        </w:rPr>
        <w:instrText xml:space="preserve"> - Докладчик: Ондржей Кнотек)"\l3 \n&gt; \* MERGEFORMAT </w:instrText>
      </w:r>
      <w:r w:rsidRPr="00EE1D0A">
        <w:rPr>
          <w:i/>
          <w:lang w:val="br-FR"/>
        </w:rPr>
        <w:fldChar w:fldCharType="end"/>
      </w:r>
    </w:p>
    <w:p w:rsidR="00BC793A" w:rsidRPr="00EE1D0A" w:rsidRDefault="00BC793A" w:rsidP="00BC793A">
      <w:pPr>
        <w:rPr>
          <w:vanish/>
          <w:lang w:val="br-FR"/>
        </w:rPr>
      </w:pPr>
      <w:bookmarkStart w:id="3" w:name="Commission"/>
      <w:r w:rsidRPr="00EE1D0A">
        <w:rPr>
          <w:vanish/>
          <w:lang w:val="br-FR"/>
        </w:rPr>
        <w:t>Комисия по бюджетен контрол</w:t>
      </w:r>
      <w:bookmarkEnd w:id="3"/>
    </w:p>
    <w:p w:rsidR="00BC793A" w:rsidRPr="00EE1D0A" w:rsidRDefault="00BC793A" w:rsidP="00BC793A">
      <w:pPr>
        <w:rPr>
          <w:vanish/>
          <w:lang w:val="br-FR"/>
        </w:rPr>
      </w:pPr>
      <w:bookmarkStart w:id="4" w:name="PE"/>
      <w:r w:rsidRPr="00EE1D0A">
        <w:rPr>
          <w:vanish/>
          <w:lang w:val="br-FR"/>
        </w:rPr>
        <w:t>PE769.944</w:t>
      </w:r>
      <w:bookmarkEnd w:id="4"/>
    </w:p>
    <w:p w:rsidR="00BC793A" w:rsidRPr="00EE1D0A" w:rsidRDefault="00BC793A" w:rsidP="00BC793A">
      <w:pPr>
        <w:pStyle w:val="ATHeading3"/>
        <w:rPr>
          <w:lang w:val="br-FR"/>
        </w:rPr>
      </w:pPr>
      <w:bookmarkStart w:id="5" w:name="Sujet"/>
      <w:r w:rsidRPr="00EE1D0A">
        <w:rPr>
          <w:lang w:val="br-FR"/>
        </w:rPr>
        <w:t xml:space="preserve">Резолюция на Европейския парламент от </w:t>
      </w:r>
      <w:r w:rsidR="009E4946" w:rsidRPr="00EE1D0A">
        <w:rPr>
          <w:lang w:val="br-FR"/>
        </w:rPr>
        <w:t>6 май</w:t>
      </w:r>
      <w:r w:rsidRPr="00EE1D0A">
        <w:rPr>
          <w:lang w:val="br-FR"/>
        </w:rPr>
        <w:t xml:space="preserve"> 2025 г. относно контрола на финансовите дейности на Европейската инвестиционна банка – годишен доклад за 2023 г.</w:t>
      </w:r>
      <w:bookmarkEnd w:id="5"/>
      <w:r w:rsidRPr="00EE1D0A">
        <w:rPr>
          <w:lang w:val="br-FR"/>
        </w:rPr>
        <w:t xml:space="preserve"> </w:t>
      </w:r>
      <w:bookmarkStart w:id="6" w:name="References"/>
      <w:r w:rsidRPr="00EE1D0A">
        <w:rPr>
          <w:lang w:val="br-FR"/>
        </w:rPr>
        <w:t>(2024/2052(INI))</w:t>
      </w:r>
      <w:bookmarkEnd w:id="6"/>
    </w:p>
    <w:p w:rsidR="007B605D" w:rsidRPr="00EE1D0A" w:rsidRDefault="007B605D" w:rsidP="007B605D">
      <w:pPr>
        <w:pStyle w:val="EPComma"/>
        <w:rPr>
          <w:lang w:val="br-FR"/>
        </w:rPr>
      </w:pPr>
      <w:r w:rsidRPr="00EE1D0A">
        <w:rPr>
          <w:rStyle w:val="Italic"/>
          <w:lang w:val="br-FR"/>
        </w:rPr>
        <w:t>Европейският парламент</w:t>
      </w:r>
      <w:r w:rsidRPr="00EE1D0A">
        <w:rPr>
          <w:lang w:val="br-FR"/>
        </w:rPr>
        <w:t>,</w:t>
      </w:r>
    </w:p>
    <w:p w:rsidR="009E4946" w:rsidRPr="00EE1D0A" w:rsidRDefault="007B605D" w:rsidP="007B605D">
      <w:pPr>
        <w:pStyle w:val="NormalHanging12a"/>
        <w:rPr>
          <w:lang w:val="br-FR"/>
        </w:rPr>
      </w:pPr>
      <w:r w:rsidRPr="00EE1D0A">
        <w:rPr>
          <w:lang w:val="br-FR"/>
        </w:rPr>
        <w:t>–</w:t>
      </w:r>
      <w:r w:rsidRPr="00EE1D0A">
        <w:rPr>
          <w:lang w:val="br-FR"/>
        </w:rPr>
        <w:tab/>
        <w:t>като взе предвид доклада за дейността на групата на Европейската инвестиционна банка („групата на ЕИБ“) за 2023 г. от 1 февруари 2024 г., озаглавен A Blueprint for Sustainable Living („План за устойчив начин на живот“), и документа на групата на ЕИБ от 2 февруари 2023 г., озаглавен EIB Group Operational Plan 2023-2025 („Оперативен план на групата на ЕИБ за периода 2023 – 2025 г.“),</w:t>
      </w:r>
      <w:r w:rsidRPr="00EE1D0A">
        <w:rPr>
          <w:lang w:val="br-FR"/>
        </w:rPr>
        <w:tab/>
      </w:r>
    </w:p>
    <w:p w:rsidR="007B605D" w:rsidRPr="00EE1D0A" w:rsidRDefault="009E4946" w:rsidP="007B605D">
      <w:pPr>
        <w:pStyle w:val="NormalHanging12a"/>
        <w:rPr>
          <w:lang w:val="br-FR"/>
        </w:rPr>
      </w:pPr>
      <w:r w:rsidRPr="00EE1D0A">
        <w:rPr>
          <w:lang w:val="br-FR"/>
        </w:rPr>
        <w:t>–</w:t>
      </w:r>
      <w:r w:rsidRPr="00EE1D0A">
        <w:rPr>
          <w:lang w:val="br-FR"/>
        </w:rPr>
        <w:tab/>
      </w:r>
      <w:r w:rsidR="007B605D" w:rsidRPr="00EE1D0A">
        <w:rPr>
          <w:lang w:val="br-FR"/>
        </w:rPr>
        <w:t>като взе предвид доклада на Европейската инвестиционна банка („ЕИБ“, „Банката“) за инвестициите за периода 2023 – 2024 г., озаглавен Transforming for competitiveness („Конкурентоспособност чрез трансформация“), публикуван на 7 февруари 2024 г.,</w:t>
      </w:r>
    </w:p>
    <w:p w:rsidR="007B605D" w:rsidRPr="00EE1D0A" w:rsidRDefault="007B605D" w:rsidP="007B605D">
      <w:pPr>
        <w:pStyle w:val="NormalHanging12a"/>
        <w:rPr>
          <w:lang w:val="br-FR"/>
        </w:rPr>
      </w:pPr>
      <w:r w:rsidRPr="00EE1D0A">
        <w:rPr>
          <w:lang w:val="br-FR"/>
        </w:rPr>
        <w:t>–</w:t>
      </w:r>
      <w:r w:rsidRPr="00EE1D0A">
        <w:rPr>
          <w:lang w:val="br-FR"/>
        </w:rPr>
        <w:tab/>
        <w:t>като взе предвид документа на ЕИБ от 8 май 2023 г., озаглавен Mid-term review of the EIB Energy Lending Policy („Междинен преглед на политиката на ЕИБ за отпускане на заеми в областта на енергетиката“),</w:t>
      </w:r>
    </w:p>
    <w:p w:rsidR="007B605D" w:rsidRPr="00EE1D0A" w:rsidRDefault="007B605D" w:rsidP="007B605D">
      <w:pPr>
        <w:pStyle w:val="NormalHanging12a"/>
        <w:rPr>
          <w:lang w:val="br-FR"/>
        </w:rPr>
      </w:pPr>
      <w:r w:rsidRPr="00EE1D0A">
        <w:rPr>
          <w:lang w:val="br-FR"/>
        </w:rPr>
        <w:t>–</w:t>
      </w:r>
      <w:r w:rsidRPr="00EE1D0A">
        <w:rPr>
          <w:lang w:val="br-FR"/>
        </w:rPr>
        <w:tab/>
        <w:t>като взе предвид доклада на групата на ЕИБ относно прилагането на политиката за прозрачност на групата на ЕИБ през 2023 г., публикуван на 1 юли 2024 г.,</w:t>
      </w:r>
    </w:p>
    <w:p w:rsidR="007B605D" w:rsidRPr="00EE1D0A" w:rsidRDefault="007B605D" w:rsidP="007B605D">
      <w:pPr>
        <w:pStyle w:val="NormalHanging12a"/>
        <w:rPr>
          <w:lang w:val="br-FR"/>
        </w:rPr>
      </w:pPr>
      <w:r w:rsidRPr="00EE1D0A">
        <w:rPr>
          <w:lang w:val="br-FR"/>
        </w:rPr>
        <w:t>–</w:t>
      </w:r>
      <w:r w:rsidRPr="00EE1D0A">
        <w:rPr>
          <w:lang w:val="br-FR"/>
        </w:rPr>
        <w:tab/>
        <w:t>като взе предвид документа на групата на ЕИБ от 27 ноември 2023 г., озаглавен EIB Group PATH Framework – Version 1.2 November 2023 – Supporting counterparties on their pathways to align with the Paris Agreement („Рамката PATH на групата на ЕИБ – версия 1.2 ноември 2023 г. – Подкрепа на контрагентите по пътя им към постигане на съответствие с Парижкото споразумение“),</w:t>
      </w:r>
    </w:p>
    <w:p w:rsidR="007B605D" w:rsidRPr="00EE1D0A" w:rsidRDefault="007B605D" w:rsidP="007B605D">
      <w:pPr>
        <w:pStyle w:val="NormalHanging12a"/>
        <w:rPr>
          <w:lang w:val="br-FR"/>
        </w:rPr>
      </w:pPr>
      <w:r w:rsidRPr="00EE1D0A">
        <w:rPr>
          <w:lang w:val="br-FR"/>
        </w:rPr>
        <w:t>–</w:t>
      </w:r>
      <w:r w:rsidRPr="00EE1D0A">
        <w:rPr>
          <w:lang w:val="br-FR"/>
        </w:rPr>
        <w:tab/>
        <w:t>като взе предвид документа на групата на ЕИБ от 21 юни 2024 г., озаглавен EIB Group 2024-2027 Strategic Roadmap („Стратегическа пътна карта на групата на ЕИБ за периода 2024 – 2027 г.“), и документа от 29 ноември 2023 г., озаглавен EIB Global Strategic Roadmap („Стратегическа пътна карта на ЕИБ Глобал“),</w:t>
      </w:r>
    </w:p>
    <w:p w:rsidR="007B605D" w:rsidRPr="00EE1D0A" w:rsidRDefault="007B605D" w:rsidP="007B605D">
      <w:pPr>
        <w:pStyle w:val="NormalHanging12a"/>
        <w:rPr>
          <w:lang w:val="br-FR"/>
        </w:rPr>
      </w:pPr>
      <w:r w:rsidRPr="00EE1D0A">
        <w:rPr>
          <w:lang w:val="br-FR"/>
        </w:rPr>
        <w:t>–</w:t>
      </w:r>
      <w:r w:rsidRPr="00EE1D0A">
        <w:rPr>
          <w:lang w:val="br-FR"/>
        </w:rPr>
        <w:tab/>
        <w:t>като взе предвид доклада на групата на ЕИБ за устойчивостта за 2023 г., публикуван на 25 юли 2024 г.,</w:t>
      </w:r>
    </w:p>
    <w:p w:rsidR="007B605D" w:rsidRPr="00EE1D0A" w:rsidRDefault="007B605D" w:rsidP="007B605D">
      <w:pPr>
        <w:pStyle w:val="NormalHanging12a"/>
        <w:rPr>
          <w:lang w:val="br-FR"/>
        </w:rPr>
      </w:pPr>
      <w:r w:rsidRPr="00EE1D0A">
        <w:rPr>
          <w:lang w:val="br-FR"/>
        </w:rPr>
        <w:lastRenderedPageBreak/>
        <w:t>–</w:t>
      </w:r>
      <w:r w:rsidRPr="00EE1D0A">
        <w:rPr>
          <w:lang w:val="br-FR"/>
        </w:rPr>
        <w:tab/>
        <w:t>като взе предвид информационната бележка на ЕИБ от 6 февруари 2023 г., озаглавена The European Investment Bank’s approach to human rights („Подходът на Европейската инвестиционна банка към правата на човека“),</w:t>
      </w:r>
    </w:p>
    <w:p w:rsidR="007B605D" w:rsidRPr="00EE1D0A" w:rsidRDefault="007B605D" w:rsidP="007B605D">
      <w:pPr>
        <w:pStyle w:val="NormalHanging12a"/>
        <w:rPr>
          <w:lang w:val="br-FR"/>
        </w:rPr>
      </w:pPr>
      <w:r w:rsidRPr="00EE1D0A">
        <w:rPr>
          <w:lang w:val="br-FR"/>
        </w:rPr>
        <w:t>–</w:t>
      </w:r>
      <w:r w:rsidRPr="00EE1D0A">
        <w:rPr>
          <w:lang w:val="br-FR"/>
        </w:rPr>
        <w:tab/>
        <w:t>като взе предвид доклада на групата на ЕИБ относно механизма за подаване на жалби за 2023 г., публикуван на 10 юни 2024 г.,</w:t>
      </w:r>
    </w:p>
    <w:p w:rsidR="007B605D" w:rsidRPr="00EE1D0A" w:rsidRDefault="007B605D" w:rsidP="007B605D">
      <w:pPr>
        <w:pStyle w:val="NormalHanging12a"/>
        <w:rPr>
          <w:lang w:val="br-FR"/>
        </w:rPr>
      </w:pPr>
      <w:r w:rsidRPr="00EE1D0A">
        <w:rPr>
          <w:lang w:val="br-FR"/>
        </w:rPr>
        <w:t>–</w:t>
      </w:r>
      <w:r w:rsidRPr="00EE1D0A">
        <w:rPr>
          <w:lang w:val="br-FR"/>
        </w:rPr>
        <w:tab/>
        <w:t>като взе предвид документа на групата на ЕИБ от 14 октомври 2024 г., озаглавен Diversity, Equity and Inclusion at the EIB Group („Многообразие, собствен капитал и приобщаване в групата на ЕИБ“),</w:t>
      </w:r>
    </w:p>
    <w:p w:rsidR="007B605D" w:rsidRPr="00EE1D0A" w:rsidRDefault="007B605D" w:rsidP="007B605D">
      <w:pPr>
        <w:pStyle w:val="NormalHanging12a"/>
        <w:rPr>
          <w:lang w:val="br-FR"/>
        </w:rPr>
      </w:pPr>
      <w:r w:rsidRPr="00EE1D0A">
        <w:rPr>
          <w:lang w:val="br-FR"/>
        </w:rPr>
        <w:t>–</w:t>
      </w:r>
      <w:r w:rsidRPr="00EE1D0A">
        <w:rPr>
          <w:lang w:val="br-FR"/>
        </w:rPr>
        <w:tab/>
        <w:t>като взе предвид публикацията на ЕИБ от 23 септември 2024 г., озаглавена EIB Audit Committee Annual Reports for the year 2023 („Годишни доклади на Одитния комитет на ЕИБ за 2023 г.“),</w:t>
      </w:r>
    </w:p>
    <w:p w:rsidR="009E4946" w:rsidRPr="00EE1D0A" w:rsidRDefault="007B605D" w:rsidP="007B605D">
      <w:pPr>
        <w:pStyle w:val="NormalHanging12a"/>
        <w:rPr>
          <w:lang w:val="br-FR"/>
        </w:rPr>
      </w:pPr>
      <w:r w:rsidRPr="00EE1D0A">
        <w:rPr>
          <w:lang w:val="br-FR"/>
        </w:rPr>
        <w:t>–</w:t>
      </w:r>
      <w:r w:rsidRPr="00EE1D0A">
        <w:rPr>
          <w:lang w:val="br-FR"/>
        </w:rPr>
        <w:tab/>
        <w:t>като взе предвид доклада на групата на ЕИБ от 15 юли 2024 г., озаглавен EIB Group activities in EU cohesion regions 2023 („Дейности на групата на ЕИБ в регионите на сближаване на ЕС през 2023 г.“),</w:t>
      </w:r>
    </w:p>
    <w:p w:rsidR="007B605D" w:rsidRPr="00EE1D0A" w:rsidRDefault="009E4946" w:rsidP="007B605D">
      <w:pPr>
        <w:pStyle w:val="NormalHanging12a"/>
        <w:rPr>
          <w:lang w:val="br-FR"/>
        </w:rPr>
      </w:pPr>
      <w:r w:rsidRPr="00EE1D0A">
        <w:rPr>
          <w:lang w:val="br-FR"/>
        </w:rPr>
        <w:t>–</w:t>
      </w:r>
      <w:r w:rsidRPr="00EE1D0A">
        <w:rPr>
          <w:lang w:val="br-FR"/>
        </w:rPr>
        <w:tab/>
      </w:r>
      <w:r w:rsidR="007B605D" w:rsidRPr="00EE1D0A">
        <w:rPr>
          <w:lang w:val="br-FR"/>
        </w:rPr>
        <w:tab/>
        <w:t>като взе предвид доклада на ЕИБ от 19 октомври 2023 г., озаглавен EIB Investment Survey 2023 – European Union overview („Проучване на ЕИБ относно инвестициите за 2023 г. – преглед на Европейския съюз“),</w:t>
      </w:r>
    </w:p>
    <w:p w:rsidR="007B605D" w:rsidRPr="00EE1D0A" w:rsidRDefault="007B605D" w:rsidP="007B605D">
      <w:pPr>
        <w:pStyle w:val="NormalHanging12a"/>
        <w:rPr>
          <w:lang w:val="br-FR"/>
        </w:rPr>
      </w:pPr>
      <w:r w:rsidRPr="00EE1D0A">
        <w:rPr>
          <w:lang w:val="br-FR"/>
        </w:rPr>
        <w:t xml:space="preserve"> –</w:t>
      </w:r>
      <w:r w:rsidRPr="00EE1D0A">
        <w:rPr>
          <w:lang w:val="br-FR"/>
        </w:rPr>
        <w:tab/>
        <w:t>като взе предвид доклада на групата на ЕИБ от 26 юни 2024 г., озаглавен EIB Group support for EU businesses: Evidence of impact in addressing market failures („Подкрепа на групата на ЕИБ за предприятията на ЕС: доказателства за въздействието върху преодоляването на неефективността на пазара“),</w:t>
      </w:r>
    </w:p>
    <w:p w:rsidR="007B605D" w:rsidRPr="00EE1D0A" w:rsidRDefault="007B605D" w:rsidP="007B605D">
      <w:pPr>
        <w:pStyle w:val="NormalHanging12a"/>
        <w:rPr>
          <w:lang w:val="br-FR"/>
        </w:rPr>
      </w:pPr>
      <w:r w:rsidRPr="00EE1D0A">
        <w:rPr>
          <w:lang w:val="br-FR"/>
        </w:rPr>
        <w:t>–</w:t>
      </w:r>
      <w:r w:rsidRPr="00EE1D0A">
        <w:rPr>
          <w:lang w:val="br-FR"/>
        </w:rPr>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5 март 2024 г., озаглавено „Нова стратегия за европейската отбранителна промишленост: Постигане на готовност на ЕС чрез бързо реагираща и устойчива европейска отбранителна промишленост“ (JOIN(2024)0010),</w:t>
      </w:r>
    </w:p>
    <w:p w:rsidR="007B605D" w:rsidRPr="00EE1D0A" w:rsidRDefault="007B605D" w:rsidP="007B605D">
      <w:pPr>
        <w:pStyle w:val="NormalHanging12a"/>
        <w:rPr>
          <w:lang w:val="br-FR"/>
        </w:rPr>
      </w:pPr>
      <w:r w:rsidRPr="00EE1D0A">
        <w:rPr>
          <w:lang w:val="br-FR"/>
        </w:rPr>
        <w:t>–</w:t>
      </w:r>
      <w:r w:rsidRPr="00EE1D0A">
        <w:rPr>
          <w:lang w:val="br-FR"/>
        </w:rPr>
        <w:tab/>
        <w:t>като взе предвид Специален доклад 22/2024 на Европейската сметна палата, озаглавен „Двойно финансиране от бюджета на ЕС“,</w:t>
      </w:r>
    </w:p>
    <w:p w:rsidR="007B605D" w:rsidRPr="00EE1D0A" w:rsidRDefault="007B605D" w:rsidP="007B605D">
      <w:pPr>
        <w:pStyle w:val="NormalHanging12a"/>
        <w:rPr>
          <w:lang w:val="br-FR"/>
        </w:rPr>
      </w:pPr>
      <w:r w:rsidRPr="00EE1D0A">
        <w:rPr>
          <w:lang w:val="br-FR"/>
        </w:rPr>
        <w:t>–</w:t>
      </w:r>
      <w:r w:rsidRPr="00EE1D0A">
        <w:rPr>
          <w:lang w:val="br-FR"/>
        </w:rPr>
        <w:tab/>
        <w:t>като взе предвид доклада на групата на ЕИБ от 29 декември 2023 г., озаглавен European Investment Bank Group Risk Management Disclosure Report – June 2023 („Доклад за оповестяването на информация за управлението на риска на групата на Европейската инвестиционна банка – юни 2023 г.“),</w:t>
      </w:r>
    </w:p>
    <w:p w:rsidR="007B605D" w:rsidRPr="00EE1D0A" w:rsidRDefault="007B605D" w:rsidP="007B605D">
      <w:pPr>
        <w:pStyle w:val="NormalHanging12a"/>
        <w:rPr>
          <w:lang w:val="br-FR"/>
        </w:rPr>
      </w:pPr>
      <w:r w:rsidRPr="00EE1D0A">
        <w:rPr>
          <w:lang w:val="br-FR"/>
        </w:rPr>
        <w:t>–</w:t>
      </w:r>
      <w:r w:rsidRPr="00EE1D0A">
        <w:rPr>
          <w:lang w:val="br-FR"/>
        </w:rPr>
        <w:tab/>
        <w:t>като взе предвид съвместното съобщение от 19 март 2025 г. на Комисията и на върховния представител на Съюза по въпросите на външните работи и политиката на сигурност, озаглавено „Съвместна бяла книга за европейската отбранителна готовност до 2030 г.“ (JOIN(2025)0120),</w:t>
      </w:r>
    </w:p>
    <w:p w:rsidR="007B605D" w:rsidRPr="00EE1D0A" w:rsidRDefault="007B605D" w:rsidP="007B605D">
      <w:pPr>
        <w:pStyle w:val="NormalHanging12a"/>
        <w:rPr>
          <w:lang w:val="br-FR"/>
        </w:rPr>
      </w:pPr>
      <w:r w:rsidRPr="00EE1D0A">
        <w:rPr>
          <w:lang w:val="br-FR"/>
        </w:rPr>
        <w:t>–</w:t>
      </w:r>
      <w:r w:rsidRPr="00EE1D0A">
        <w:rPr>
          <w:lang w:val="br-FR"/>
        </w:rPr>
        <w:tab/>
        <w:t>като взе предвид член 55 от своя Правилник за дейността,</w:t>
      </w:r>
    </w:p>
    <w:p w:rsidR="007B605D" w:rsidRPr="00EE1D0A" w:rsidRDefault="007B605D" w:rsidP="007B605D">
      <w:pPr>
        <w:pStyle w:val="NormalHanging12a"/>
        <w:rPr>
          <w:lang w:val="br-FR"/>
        </w:rPr>
      </w:pPr>
      <w:r w:rsidRPr="00EE1D0A">
        <w:rPr>
          <w:lang w:val="br-FR"/>
        </w:rPr>
        <w:t>–</w:t>
      </w:r>
      <w:r w:rsidRPr="00EE1D0A">
        <w:rPr>
          <w:lang w:val="br-FR"/>
        </w:rPr>
        <w:tab/>
        <w:t>като взе предвид доклада на комисията по бюджетен контрол (A10-0068/2025),</w:t>
      </w:r>
    </w:p>
    <w:p w:rsidR="007B605D" w:rsidRPr="00EE1D0A" w:rsidRDefault="007B605D" w:rsidP="007B605D">
      <w:pPr>
        <w:pStyle w:val="NormalHanging12a"/>
        <w:rPr>
          <w:lang w:val="br-FR"/>
        </w:rPr>
      </w:pPr>
      <w:r w:rsidRPr="00EE1D0A">
        <w:rPr>
          <w:lang w:val="br-FR"/>
        </w:rPr>
        <w:t>А.</w:t>
      </w:r>
      <w:r w:rsidRPr="00EE1D0A">
        <w:rPr>
          <w:lang w:val="br-FR"/>
        </w:rPr>
        <w:tab/>
        <w:t xml:space="preserve">като има предвид, че групата на ЕИБ се състои от ЕИБ и Европейския инвестиционен фонд (ЕИФ); като има предвид, че ЕИБ е най-голямата </w:t>
      </w:r>
      <w:r w:rsidRPr="00EE1D0A">
        <w:rPr>
          <w:lang w:val="br-FR"/>
        </w:rPr>
        <w:lastRenderedPageBreak/>
        <w:t>многостранна банка за развитие в света; като има предвид, че ЕИБ е длъжна по силата на Договорите да допринася за интеграцията в ЕС; като има предвид, че един от ключовите приоритети на ЕИБ е предоставянето на финансиране за проекти за насърчаване на европейската интеграция и социално сближаване; като има предвид, че ЕИФ представлява специализиран орган за подкрепа на целите на политиката на Европейския съюз в областите на предприемачеството, създаването на работни места и икономическото сближаване;</w:t>
      </w:r>
    </w:p>
    <w:p w:rsidR="007B605D" w:rsidRPr="00EE1D0A" w:rsidRDefault="007B605D" w:rsidP="007B605D">
      <w:pPr>
        <w:pStyle w:val="NormalHanging12a"/>
        <w:rPr>
          <w:lang w:val="br-FR"/>
        </w:rPr>
      </w:pPr>
      <w:r w:rsidRPr="00EE1D0A">
        <w:rPr>
          <w:lang w:val="br-FR"/>
        </w:rPr>
        <w:t>Б.</w:t>
      </w:r>
      <w:r w:rsidRPr="00EE1D0A">
        <w:rPr>
          <w:lang w:val="br-FR"/>
        </w:rPr>
        <w:tab/>
        <w:t>като има предвид, че в качеството си на банка, притежавана от държавите – членки на ЕС, ЕИБ се управлява от Съвет на гуверньорите, Съвет на директорите и управителен комитет и поддържа стабилни вътрешни механизми за отчетност, управление и одит; като има предвид, че ЕИФ е собственост на ЕИБ (60%), на ЕС (30%) и на финансови институции (10%) от държавите членки, Обединеното кралство и Турция, управлява се от Общото събрание на акционерите на ЕИФ, Съвета на директорите и изпълнителния директор и има независими вътрешни механизми за отчетност, управление и одит, някои от които са общи на ниво групата;</w:t>
      </w:r>
    </w:p>
    <w:p w:rsidR="007B605D" w:rsidRPr="00EE1D0A" w:rsidRDefault="007B605D" w:rsidP="007B605D">
      <w:pPr>
        <w:pStyle w:val="NormalHanging12a"/>
        <w:rPr>
          <w:lang w:val="br-FR"/>
        </w:rPr>
      </w:pPr>
      <w:r w:rsidRPr="00EE1D0A">
        <w:rPr>
          <w:lang w:val="br-FR"/>
        </w:rPr>
        <w:t>В.</w:t>
      </w:r>
      <w:r w:rsidRPr="00EE1D0A">
        <w:rPr>
          <w:lang w:val="br-FR"/>
        </w:rPr>
        <w:tab/>
        <w:t>като има предвид, че както ЕИБ, така и ЕИФ функционират в условията на конкурентен пазар, но като органи на ЕС са длъжни да спазват високи стандарти за прозрачност и ангажираност на заинтересованите страни;</w:t>
      </w:r>
    </w:p>
    <w:p w:rsidR="007B605D" w:rsidRPr="00EE1D0A" w:rsidRDefault="007B605D" w:rsidP="007B605D">
      <w:pPr>
        <w:pStyle w:val="NormalHanging12a"/>
        <w:rPr>
          <w:lang w:val="br-FR"/>
        </w:rPr>
      </w:pPr>
      <w:r w:rsidRPr="00EE1D0A">
        <w:rPr>
          <w:lang w:val="br-FR"/>
        </w:rPr>
        <w:t>Г.</w:t>
      </w:r>
      <w:r w:rsidRPr="00EE1D0A">
        <w:rPr>
          <w:lang w:val="br-FR"/>
        </w:rPr>
        <w:tab/>
        <w:t>като има предвид, че групата на ЕИБ подпомага политиките на ЕС както в рамките на ЕС, така и извън него и си сътрудничи тясно с други институции на ЕС и национални институции, като съгласува финансирането си с политическите приоритети на ЕС; като има предвид, че групата на ЕИБ е набелязала осем стратегически приоритета в своята стратегическа пътна карта за периода 2024 – 2027 г.: действия в областта на климата, цифров преход, отбрана, сближаване, селско стопанство, социална инфраструктура, външно финансиране и насърчаване на съюза на капиталовите пазари;</w:t>
      </w:r>
    </w:p>
    <w:p w:rsidR="007B605D" w:rsidRPr="00EE1D0A" w:rsidRDefault="007B605D" w:rsidP="007B605D">
      <w:pPr>
        <w:pStyle w:val="NormalHanging12a"/>
        <w:rPr>
          <w:lang w:val="br-FR"/>
        </w:rPr>
      </w:pPr>
      <w:r w:rsidRPr="00EE1D0A">
        <w:rPr>
          <w:lang w:val="br-FR"/>
        </w:rPr>
        <w:t>Д.</w:t>
      </w:r>
      <w:r w:rsidRPr="00EE1D0A">
        <w:rPr>
          <w:lang w:val="br-FR"/>
        </w:rPr>
        <w:tab/>
        <w:t>като има предвид, че ЕИБ е натоварена също така със задачата да осигурява ресурси чрез дейности по заемане на средства, които са от решаващо значение за изпълнението на политиките на ЕС;</w:t>
      </w:r>
    </w:p>
    <w:p w:rsidR="007B605D" w:rsidRPr="00EE1D0A" w:rsidRDefault="007B605D" w:rsidP="007B605D">
      <w:pPr>
        <w:pStyle w:val="NormalHanging12a"/>
        <w:rPr>
          <w:lang w:val="br-FR"/>
        </w:rPr>
      </w:pPr>
      <w:r w:rsidRPr="00EE1D0A">
        <w:rPr>
          <w:lang w:val="br-FR"/>
        </w:rPr>
        <w:t>Е.</w:t>
      </w:r>
      <w:r w:rsidRPr="00EE1D0A">
        <w:rPr>
          <w:lang w:val="br-FR"/>
        </w:rPr>
        <w:tab/>
        <w:t>като има предвид, че в стратегическата програма на Европейския съвет за периода 2024 – 2029 г. се предвижда засилена роля на групата на ЕИБ като двигател на отбраната и сигурността на ЕС и се подчертава необходимостта от повишаване на конкурентоспособността на ЕС и подобряване на икономическото и социалното благосъстояние на гражданите чрез значителни колективни инвестиционни усилия, мобилизиращи както публично, така и частно финансиране;</w:t>
      </w:r>
    </w:p>
    <w:p w:rsidR="007B605D" w:rsidRPr="00EE1D0A" w:rsidRDefault="007B605D" w:rsidP="007B605D">
      <w:pPr>
        <w:pStyle w:val="NormalHanging12a"/>
        <w:rPr>
          <w:lang w:val="br-FR"/>
        </w:rPr>
      </w:pPr>
      <w:r w:rsidRPr="00EE1D0A">
        <w:rPr>
          <w:lang w:val="br-FR"/>
        </w:rPr>
        <w:t>Ж.</w:t>
      </w:r>
      <w:r w:rsidRPr="00EE1D0A">
        <w:rPr>
          <w:lang w:val="br-FR"/>
        </w:rPr>
        <w:tab/>
        <w:t>като има предвид, че в доклада на Драги относно бъдещето на европейската конкурентоспособност</w:t>
      </w:r>
      <w:r w:rsidRPr="00EE1D0A">
        <w:rPr>
          <w:rStyle w:val="FootnoteReference"/>
          <w:lang w:val="br-FR"/>
        </w:rPr>
        <w:footnoteReference w:id="1"/>
      </w:r>
      <w:r w:rsidRPr="00EE1D0A">
        <w:rPr>
          <w:lang w:val="br-FR"/>
        </w:rPr>
        <w:t xml:space="preserve"> се предлагат редица начини за разширяване на ролята на ЕИБ във финансирането на политиките на ЕС и за предоставяне на възможност на ЕИБ да поема по-голям риск;</w:t>
      </w:r>
    </w:p>
    <w:p w:rsidR="007B605D" w:rsidRPr="00EE1D0A" w:rsidRDefault="007B605D" w:rsidP="007B605D">
      <w:pPr>
        <w:pStyle w:val="NormalHanging12a"/>
        <w:rPr>
          <w:lang w:val="br-FR"/>
        </w:rPr>
      </w:pPr>
      <w:r w:rsidRPr="00EE1D0A">
        <w:rPr>
          <w:lang w:val="br-FR"/>
        </w:rPr>
        <w:t>З.</w:t>
      </w:r>
      <w:r w:rsidRPr="00EE1D0A">
        <w:rPr>
          <w:lang w:val="br-FR"/>
        </w:rPr>
        <w:tab/>
        <w:t xml:space="preserve">като има предвид, че основната мисия на групата на ЕИБ е да укрепва потенциала на Европа за създаване на работни места и икономически растеж; като има </w:t>
      </w:r>
      <w:r w:rsidRPr="00EE1D0A">
        <w:rPr>
          <w:lang w:val="br-FR"/>
        </w:rPr>
        <w:lastRenderedPageBreak/>
        <w:t>предвид, че инвестициите следва да бъдат насочени към преодоляване на неравенствата чрез подобряване на достъпа до работни места, възможности за обучение, жилищно настаняване и образование с цел борба с бедността и безработицата; като има предвид, че е изключително важно да се преодолеят пречките пред финансирането на малките и средните предприятия (МСП) и дружествата със средна пазарна капитализация; като има предвид, че публичните схеми за отпускане на заеми и гаранции представляват важни инструменти на антицикличната политика, особено в периоди на икономически спад, и спомагат за смекчаване на структурната неефективност на пазара;</w:t>
      </w:r>
    </w:p>
    <w:p w:rsidR="007B605D" w:rsidRPr="00EE1D0A" w:rsidRDefault="007B605D" w:rsidP="007B605D">
      <w:pPr>
        <w:pStyle w:val="NormalHanging12a"/>
        <w:rPr>
          <w:lang w:val="br-FR"/>
        </w:rPr>
      </w:pPr>
      <w:r w:rsidRPr="00EE1D0A">
        <w:rPr>
          <w:lang w:val="br-FR"/>
        </w:rPr>
        <w:t>И.</w:t>
      </w:r>
      <w:r w:rsidRPr="00EE1D0A">
        <w:rPr>
          <w:lang w:val="br-FR"/>
        </w:rPr>
        <w:tab/>
        <w:t>като има предвид, че ЕИБ е основополагащ елемент в европейската финансова архитектура за развитие и най-големият многостранен заемодател в съседните на ЕС региони, включително източните съседни държави, Западните Балкани, Близкия изток и Северна Африка; като има предвид, че се очаква ЕИБ да помогне за преодоляване на разликата в производствените инвестиции между Европа и нейните основни конкуренти чрез увеличаване на инвестициите в иновации, комуникационни технологии и интелектуална собственост;</w:t>
      </w:r>
    </w:p>
    <w:p w:rsidR="007B605D" w:rsidRPr="00EE1D0A" w:rsidRDefault="007B605D" w:rsidP="007B605D">
      <w:pPr>
        <w:pStyle w:val="NormalHanging12a"/>
        <w:rPr>
          <w:lang w:val="br-FR"/>
        </w:rPr>
      </w:pPr>
      <w:r w:rsidRPr="00EE1D0A">
        <w:rPr>
          <w:lang w:val="br-FR"/>
        </w:rPr>
        <w:t>Й.</w:t>
      </w:r>
      <w:r w:rsidRPr="00EE1D0A">
        <w:rPr>
          <w:lang w:val="br-FR"/>
        </w:rPr>
        <w:tab/>
        <w:t>като има предвид, че успехът на политическите цели на ЕС и ефективното им изпълнение все повече зависят от групата на ЕИБ; като има предвид, че поради това дълбочината и качеството на парламентарния надзор върху финансовите операции на ЕИБ следва да съответстват на интензивността на сътрудничеството между ЕИБ и Комисията, което отбеляза значителен напредък;</w:t>
      </w:r>
    </w:p>
    <w:p w:rsidR="007B605D" w:rsidRPr="00EE1D0A" w:rsidRDefault="007B605D" w:rsidP="007B605D">
      <w:pPr>
        <w:pStyle w:val="NormalHanging12a"/>
        <w:rPr>
          <w:lang w:val="br-FR"/>
        </w:rPr>
      </w:pPr>
      <w:r w:rsidRPr="00EE1D0A">
        <w:rPr>
          <w:lang w:val="br-FR"/>
        </w:rPr>
        <w:t>К.</w:t>
      </w:r>
      <w:r w:rsidRPr="00EE1D0A">
        <w:rPr>
          <w:lang w:val="br-FR"/>
        </w:rPr>
        <w:tab/>
        <w:t>като има предвид, че бизнес моделът на ЕИБ изисква най-високи стандарти за почтеност, отчетност и прозрачност и че трябва да се въведат и редовно да се актуализират строги мерки за борба с финансовите измами, корупцията, изпирането на пари, тероризма, организираната престъпност, както и укриването и избягването на данъци; като има предвид, че групата на ЕИБ има рамка за контрол, целяща предотвратяване и смекчаване на рисковете от санкции;</w:t>
      </w:r>
    </w:p>
    <w:p w:rsidR="007B605D" w:rsidRPr="00EE1D0A" w:rsidRDefault="007B605D" w:rsidP="007B605D">
      <w:pPr>
        <w:pStyle w:val="NormalHanging12a"/>
        <w:rPr>
          <w:lang w:val="br-FR"/>
        </w:rPr>
      </w:pPr>
      <w:r w:rsidRPr="00EE1D0A">
        <w:rPr>
          <w:lang w:val="br-FR"/>
        </w:rPr>
        <w:t>Л.</w:t>
      </w:r>
      <w:r w:rsidRPr="00EE1D0A">
        <w:rPr>
          <w:lang w:val="br-FR"/>
        </w:rPr>
        <w:tab/>
        <w:t>като има предвид, че групата на ЕИБ е приела определението на Базелския комитет за банков надзор за риска от неспазване на законодателството, с което цели да предотврати риска от правни или регулаторни санкции, значителни финансови загуби или накърняване на репутацията; като има предвид, че Банката взема подходящи мерки за смекчаване на тези рискове, като гарантира стриктно спазване на правните и регулаторните рамки както на равнището на ЕС, така и на международно равнище;</w:t>
      </w:r>
    </w:p>
    <w:p w:rsidR="007B605D" w:rsidRPr="00EE1D0A" w:rsidRDefault="007B605D" w:rsidP="007B605D">
      <w:pPr>
        <w:pStyle w:val="Normal12a24b"/>
        <w:rPr>
          <w:lang w:val="br-FR"/>
        </w:rPr>
      </w:pPr>
      <w:r w:rsidRPr="00EE1D0A">
        <w:rPr>
          <w:rStyle w:val="BoldItalic"/>
          <w:lang w:val="br-FR"/>
        </w:rPr>
        <w:t>Финансови операции и резултати</w:t>
      </w:r>
    </w:p>
    <w:p w:rsidR="007B605D" w:rsidRPr="00EE1D0A" w:rsidRDefault="007B605D" w:rsidP="007B605D">
      <w:pPr>
        <w:pStyle w:val="NormalHanging12a"/>
        <w:rPr>
          <w:lang w:val="br-FR"/>
        </w:rPr>
      </w:pPr>
      <w:r w:rsidRPr="00EE1D0A">
        <w:rPr>
          <w:lang w:val="br-FR"/>
        </w:rPr>
        <w:t>1.</w:t>
      </w:r>
      <w:r w:rsidRPr="00EE1D0A">
        <w:rPr>
          <w:lang w:val="br-FR"/>
        </w:rPr>
        <w:tab/>
        <w:t>признава, че ЕИБ е работила ефективно и ефикасно в условията на значителни глобални предизвикателства, включително геополитическо напрежение, въздействие от изменението на климата и други фактори, оказващи влияние върху световната икономика; предлага да се проучат ефективността и ефикасността на ЕИБ чрез задълбочен анализ, като се обърне специално внимание на въздействието върху конкурентоспособността и растежа;</w:t>
      </w:r>
    </w:p>
    <w:p w:rsidR="007B605D" w:rsidRPr="00EE1D0A" w:rsidRDefault="007B605D" w:rsidP="007B605D">
      <w:pPr>
        <w:pStyle w:val="NormalHanging12a"/>
        <w:rPr>
          <w:lang w:val="br-FR"/>
        </w:rPr>
      </w:pPr>
      <w:r w:rsidRPr="00EE1D0A">
        <w:rPr>
          <w:lang w:val="br-FR"/>
        </w:rPr>
        <w:t>2.</w:t>
      </w:r>
      <w:r w:rsidRPr="00EE1D0A">
        <w:rPr>
          <w:lang w:val="br-FR"/>
        </w:rPr>
        <w:tab/>
        <w:t xml:space="preserve">признава, че финансирането от ЕИБ става все по-важно предвид високите лихвени проценти и ограничените публични финанси; изразява надежда, че ЕИБ, в контекста на трудните икономически перспективи и засилената конкуренция в световен мащаб, ще се справи с ограниченията пред конкурентоспособността на </w:t>
      </w:r>
      <w:r w:rsidRPr="00EE1D0A">
        <w:rPr>
          <w:lang w:val="br-FR"/>
        </w:rPr>
        <w:lastRenderedPageBreak/>
        <w:t>ЕС, като например нестабилните цени на енергията, недостига на умения в ключови сектори и недостатъчните инвестиции в иновации и нови технологии;</w:t>
      </w:r>
    </w:p>
    <w:p w:rsidR="007B605D" w:rsidRPr="00EE1D0A" w:rsidRDefault="007B605D" w:rsidP="007B605D">
      <w:pPr>
        <w:pStyle w:val="NormalHanging12a"/>
        <w:rPr>
          <w:lang w:val="br-FR"/>
        </w:rPr>
      </w:pPr>
      <w:r w:rsidRPr="00EE1D0A">
        <w:rPr>
          <w:lang w:val="br-FR"/>
        </w:rPr>
        <w:t>3.</w:t>
      </w:r>
      <w:r w:rsidRPr="00EE1D0A">
        <w:rPr>
          <w:lang w:val="br-FR"/>
        </w:rPr>
        <w:tab/>
        <w:t>отбелязва, че групата на ЕИБ е постигнала стабилни консолидирани резултати, възлизащи на 2,272 милиарда евро през 2023 г. съгласно Международните стандарти за финансово отчитане (МСФО) в сравнение с 2,327 милиарда евро през 2022 г., което представлява спад от 2,4% на годишна база; призовава за подробен анализ на факторите, допринасящи за това понижение, още повече че периодът се характеризира със стабилен икономически растеж; отбелязва, че през 2023 г. резервите на ЕИБ са достигнали над 56 милиарда евро, в сравнение с 53,9 милиарда евро през 2022 г. и 36 милиарда евро през 2014 г.;</w:t>
      </w:r>
    </w:p>
    <w:p w:rsidR="007B605D" w:rsidRPr="00EE1D0A" w:rsidRDefault="007B605D" w:rsidP="007B605D">
      <w:pPr>
        <w:pStyle w:val="NormalHanging12a"/>
        <w:rPr>
          <w:lang w:val="br-FR"/>
        </w:rPr>
      </w:pPr>
      <w:r w:rsidRPr="00EE1D0A">
        <w:rPr>
          <w:lang w:val="br-FR"/>
        </w:rPr>
        <w:t>4.</w:t>
      </w:r>
      <w:r w:rsidRPr="00EE1D0A">
        <w:rPr>
          <w:lang w:val="br-FR"/>
        </w:rPr>
        <w:tab/>
        <w:t>отбелязва, че общият коефициент за ликвидност на ЕИБ е останал изцяло в рамките на вътрешните граници до края на 2023 г. и че съотношението на базовия собствен капитал от първи ред на ЕИБ е възлизало на 33,1% през 2023 г., което е значително по-високо от средното съотношение за значимите институции под надзора на Европейската централна банка (ЕЦБ) по това време; подчертава, че поддържането на рейтинг „ААА“ на ЕИБ със „стабилна“ перспектива е от решаващо значение за осигуряването на благоприятно пазарно финансиране при преференциални ставки и че той следва да бъде запазен; подчертава, че високият кредитен рейтинг на ЕИБ е от ключово значение за успешния ѝ бизнес модел;</w:t>
      </w:r>
    </w:p>
    <w:p w:rsidR="007B605D" w:rsidRPr="00EE1D0A" w:rsidRDefault="007B605D" w:rsidP="007B605D">
      <w:pPr>
        <w:pStyle w:val="NormalHanging12a"/>
        <w:rPr>
          <w:lang w:val="br-FR"/>
        </w:rPr>
      </w:pPr>
      <w:r w:rsidRPr="00EE1D0A">
        <w:rPr>
          <w:lang w:val="br-FR"/>
        </w:rPr>
        <w:t>5.</w:t>
      </w:r>
      <w:r w:rsidRPr="00EE1D0A">
        <w:rPr>
          <w:lang w:val="br-FR"/>
        </w:rPr>
        <w:tab/>
        <w:t>призовава ЕИБ да запази силната си капиталова позиция и постоянно високите си печалби, но отбелязва, че Банката има потенциал да поеме евентуални колебания във възвращаемостта, без да застрашава капитала на акционерите или кредитния си рейтинг, че има капацитет да поема повече рискове в стратегически инвестиции и че е в състояние да инвестира повече в иновативни проекти с по-висок риск, за които осигуряването на частен капитал продължава да бъде колебливо;</w:t>
      </w:r>
    </w:p>
    <w:p w:rsidR="00EE1D0A" w:rsidRPr="00CB6FEE" w:rsidRDefault="00EE1D0A" w:rsidP="007B605D">
      <w:pPr>
        <w:pStyle w:val="NormalHanging12a"/>
        <w:rPr>
          <w:lang w:val="br-FR"/>
        </w:rPr>
      </w:pPr>
      <w:r w:rsidRPr="00EE1D0A">
        <w:rPr>
          <w:lang w:val="br-FR"/>
        </w:rPr>
        <w:t>6.</w:t>
      </w:r>
      <w:r w:rsidRPr="00EE1D0A">
        <w:rPr>
          <w:lang w:val="br-FR"/>
        </w:rPr>
        <w:tab/>
        <w:t>призовава ЕИБ да подобри институционалната си прозрачност, като публикува по-подробни протоколи от заседанията на своя Съвет на директорите, включително записи от гласуванията и специфични за проектите обосновки, като същевременно спазва легитимната поверителност, когато това е строго необходимо;</w:t>
      </w:r>
    </w:p>
    <w:p w:rsidR="007B605D" w:rsidRPr="00EE1D0A" w:rsidRDefault="00106567" w:rsidP="007B605D">
      <w:pPr>
        <w:pStyle w:val="NormalHanging12a"/>
        <w:rPr>
          <w:lang w:val="br-FR"/>
        </w:rPr>
      </w:pPr>
      <w:r>
        <w:rPr>
          <w:lang w:val="br-FR"/>
        </w:rPr>
        <w:t>7</w:t>
      </w:r>
      <w:r w:rsidR="007B605D" w:rsidRPr="00EE1D0A">
        <w:rPr>
          <w:lang w:val="br-FR"/>
        </w:rPr>
        <w:t>.</w:t>
      </w:r>
      <w:r w:rsidR="007B605D" w:rsidRPr="00EE1D0A">
        <w:rPr>
          <w:lang w:val="br-FR"/>
        </w:rPr>
        <w:tab/>
        <w:t>подчертава, че общите плащания на ЕИБ са достигнали 54,4 милиарда евро през 2023 г., от които 53,4 милиарда евро от собствените ѝ ресурси, в сравнение с 54,3 милиарда евро (53,3 милиарда евро от собствените ѝ ресурси) през 2022 г.; отбелязва, че плащанията на ЕИФ за частни дялови инвестиции са възлизали на 139,7 милиона евро през 2023 г. в сравнение с 113,7 милиона евро през 2022 г.; отбелязва, че според икономически модел, разработен съвместно от Икономическия отдел на ЕИБ и Съвместния изследователски център на Комисията, се очаква общите инвестиции на групата на ЕИБ в рамките на ЕС за 2023 г. да създадат около 1 460 000 нови работни места в ЕС-27 до 2027 г. и да увеличат БВП на ЕС с 1,03 процентни пункта; призовава групата на ЕИБ да гарантира по-добре балансирано географско разпределение на инвестициите, за да се увеличи максимално тяхното въздействие във всички региони на ЕС, като се насърчава сближаващ и приобщаващ растеж в целия Съюз и се обръща специално внимание на недостатъчно представените и по-слабо развитите региони;</w:t>
      </w:r>
    </w:p>
    <w:p w:rsidR="007B605D" w:rsidRPr="00EE1D0A" w:rsidRDefault="00106567" w:rsidP="007B605D">
      <w:pPr>
        <w:pStyle w:val="NormalHanging12a"/>
        <w:rPr>
          <w:lang w:val="br-FR"/>
        </w:rPr>
      </w:pPr>
      <w:r>
        <w:rPr>
          <w:lang w:val="br-FR"/>
        </w:rPr>
        <w:lastRenderedPageBreak/>
        <w:t>8</w:t>
      </w:r>
      <w:r w:rsidR="007B605D" w:rsidRPr="00EE1D0A">
        <w:rPr>
          <w:lang w:val="br-FR"/>
        </w:rPr>
        <w:t>.</w:t>
      </w:r>
      <w:r w:rsidR="007B605D" w:rsidRPr="00EE1D0A">
        <w:rPr>
          <w:lang w:val="br-FR"/>
        </w:rPr>
        <w:tab/>
        <w:t>припомня, че уставът на ЕИБ изисква географски баланс между нейните служители и че подборът на членовете на персонала трябва да се основава на квалификацията, като същевременно се взема предвид справедливото представителство на гражданите от всички държави членки; насърчава Банката непрекъснато да наблюдава географския баланс между своите служители и при необходимост да коригира процеса на набиране на персонал по съответния начин;</w:t>
      </w:r>
    </w:p>
    <w:p w:rsidR="007B605D" w:rsidRPr="00EE1D0A" w:rsidRDefault="00106567" w:rsidP="00EE1D0A">
      <w:pPr>
        <w:pStyle w:val="NormalHanging12a"/>
        <w:rPr>
          <w:lang w:val="br-FR"/>
        </w:rPr>
      </w:pPr>
      <w:r>
        <w:rPr>
          <w:lang w:val="br-FR"/>
        </w:rPr>
        <w:t>9</w:t>
      </w:r>
      <w:r w:rsidR="007B605D" w:rsidRPr="00EE1D0A">
        <w:rPr>
          <w:lang w:val="br-FR"/>
        </w:rPr>
        <w:t>.</w:t>
      </w:r>
      <w:r w:rsidR="007B605D" w:rsidRPr="00EE1D0A">
        <w:rPr>
          <w:lang w:val="br-FR"/>
        </w:rPr>
        <w:tab/>
      </w:r>
      <w:r w:rsidR="00EE1D0A" w:rsidRPr="00EE1D0A">
        <w:rPr>
          <w:lang w:val="br-FR"/>
        </w:rPr>
        <w:t>отбелязва ангажимента на</w:t>
      </w:r>
      <w:r w:rsidR="007B605D" w:rsidRPr="00EE1D0A">
        <w:rPr>
          <w:lang w:val="br-FR"/>
        </w:rPr>
        <w:t xml:space="preserve"> групата на ЕИБ </w:t>
      </w:r>
      <w:r w:rsidR="00EE1D0A" w:rsidRPr="00EE1D0A">
        <w:rPr>
          <w:lang w:val="br-FR"/>
        </w:rPr>
        <w:t>за безкомпромисна борба</w:t>
      </w:r>
      <w:r w:rsidR="007B605D" w:rsidRPr="00EE1D0A">
        <w:rPr>
          <w:lang w:val="br-FR"/>
        </w:rPr>
        <w:t xml:space="preserve"> срещу данъчните измами, укриването на данъци, избягването на данъци, изпирането на пари и финансирането на тероризма;</w:t>
      </w:r>
      <w:r w:rsidR="00EE1D0A" w:rsidRPr="00EE1D0A">
        <w:rPr>
          <w:lang w:val="br-FR"/>
        </w:rPr>
        <w:t xml:space="preserve"> призовава за по-нататъшно укрепване на прозрачността на крайните бенефициери, механизмите за мониторинг и достъпа до публична информация, за да се гарантира пълна отчетност;</w:t>
      </w:r>
    </w:p>
    <w:p w:rsidR="00EE1D0A" w:rsidRPr="00CB6FEE" w:rsidRDefault="00106567" w:rsidP="00EE1D0A">
      <w:pPr>
        <w:pStyle w:val="NormalHanging12a"/>
        <w:rPr>
          <w:lang w:val="br-FR"/>
        </w:rPr>
      </w:pPr>
      <w:r>
        <w:rPr>
          <w:lang w:val="br-FR"/>
        </w:rPr>
        <w:t>10</w:t>
      </w:r>
      <w:r w:rsidR="00EE1D0A" w:rsidRPr="00EE1D0A">
        <w:rPr>
          <w:lang w:val="br-FR"/>
        </w:rPr>
        <w:t>.</w:t>
      </w:r>
      <w:r w:rsidR="00EE1D0A" w:rsidRPr="00EE1D0A">
        <w:rPr>
          <w:lang w:val="br-FR"/>
        </w:rPr>
        <w:tab/>
        <w:t>подчертава, че ЕИБ, като орган на ЕС, следва изцяло да приведе своите практики за прозрачност в съответствие със стандартите, определени в Регламент (ЕО) № 1049/2001</w:t>
      </w:r>
      <w:r w:rsidR="00EE1D0A" w:rsidRPr="00EE1D0A">
        <w:rPr>
          <w:rStyle w:val="FootnoteReference"/>
          <w:lang w:val="br-FR"/>
        </w:rPr>
        <w:footnoteReference w:id="2"/>
      </w:r>
      <w:r w:rsidR="00EE1D0A" w:rsidRPr="00EE1D0A">
        <w:rPr>
          <w:lang w:val="br-FR"/>
        </w:rPr>
        <w:t xml:space="preserve"> относно публичния достъп до документи; призовава Банката да гарантира проактивно оповестяване на документи, свързани с финансираните проекти и взетите решения, единствено с изключения, които са ограничени и обосновани; отново подчертава значението на реалния публичен достъп като крайъгълен камък на институционалната отчетност; </w:t>
      </w:r>
    </w:p>
    <w:p w:rsidR="007B605D" w:rsidRPr="00EE1D0A" w:rsidRDefault="007B605D" w:rsidP="007B605D">
      <w:pPr>
        <w:pStyle w:val="Normal12a24b"/>
        <w:rPr>
          <w:lang w:val="br-FR"/>
        </w:rPr>
      </w:pPr>
      <w:r w:rsidRPr="00EE1D0A">
        <w:rPr>
          <w:rStyle w:val="BoldItalic"/>
          <w:lang w:val="br-FR"/>
        </w:rPr>
        <w:t>InvestEU, опростяването на многогодишната финансова рамка и Механизмът за възстановяване и устойчивост</w:t>
      </w:r>
    </w:p>
    <w:p w:rsidR="007B605D" w:rsidRPr="00EE1D0A" w:rsidRDefault="00106567" w:rsidP="007B605D">
      <w:pPr>
        <w:pStyle w:val="NormalHanging12a"/>
        <w:rPr>
          <w:lang w:val="br-FR"/>
        </w:rPr>
      </w:pPr>
      <w:r>
        <w:rPr>
          <w:lang w:val="br-FR"/>
        </w:rPr>
        <w:t>11</w:t>
      </w:r>
      <w:r w:rsidR="007B605D" w:rsidRPr="00EE1D0A">
        <w:rPr>
          <w:lang w:val="br-FR"/>
        </w:rPr>
        <w:t>.</w:t>
      </w:r>
      <w:r w:rsidR="007B605D" w:rsidRPr="00EE1D0A">
        <w:rPr>
          <w:lang w:val="br-FR"/>
        </w:rPr>
        <w:tab/>
        <w:t>приветства приемането на 13 декември 2023 г. на оперативния план на групата на ЕИБ за периода 2024 – 2026 г., в който се определят приоритетите и дейностите за изпълнение на стратегията на групата на ЕИБ през следващите три години; призовава за приспособяване към новите пазарни условия, включително опростяване и намаляване на бюрокрацията, за да се премахнат пречките пред достъпа на МСП до финансиране, което трябва да бъде значително увеличено; признава, че увеличаването на високорисковите дейности и мандати е от решаващо значение за осигуряване на ефективна подкрепа за секторите с висока добавена стойност и иновативните сектори;</w:t>
      </w:r>
    </w:p>
    <w:p w:rsidR="007B605D" w:rsidRDefault="00106567" w:rsidP="007B605D">
      <w:pPr>
        <w:pStyle w:val="NormalHanging12a"/>
        <w:rPr>
          <w:lang w:val="br-FR"/>
        </w:rPr>
      </w:pPr>
      <w:r>
        <w:rPr>
          <w:lang w:val="br-FR"/>
        </w:rPr>
        <w:t>12</w:t>
      </w:r>
      <w:r w:rsidR="007B605D" w:rsidRPr="00EE1D0A">
        <w:rPr>
          <w:lang w:val="br-FR"/>
        </w:rPr>
        <w:t>.</w:t>
      </w:r>
      <w:r w:rsidR="007B605D" w:rsidRPr="00EE1D0A">
        <w:rPr>
          <w:lang w:val="br-FR"/>
        </w:rPr>
        <w:tab/>
        <w:t>припомня, че на групата на ЕИБ са отпуснати 75% (19,6 милиарда евро) от бюджетната гаранция на ЕС, предоставена съгласно Регламента за InvestEU</w:t>
      </w:r>
      <w:r w:rsidR="007B605D" w:rsidRPr="00EE1D0A">
        <w:rPr>
          <w:rStyle w:val="FootnoteReference"/>
          <w:lang w:val="br-FR"/>
        </w:rPr>
        <w:footnoteReference w:id="3"/>
      </w:r>
      <w:r w:rsidR="007B605D" w:rsidRPr="00EE1D0A">
        <w:rPr>
          <w:lang w:val="br-FR"/>
        </w:rPr>
        <w:t xml:space="preserve">; подчертава, че само през 2023 г. ЕИБ е одобрила 30 операции по линия на InvestEU на обща стойност 9,1 милиарда евро; счита, че за да се запази конкурентоспособността, са необходими значителни инвестиции, главно от частния сектор; счита, че съсредоточаването върху иновативни проекти, стартиращи предприятия и разрастващи се предприятия ще повиши европейската конкурентоспособност и растеж; отбелязва, че това изисква мобилизиране на частни инвестиции; поради това призовава ЕИБ да изпълнява по-значима роля в </w:t>
      </w:r>
      <w:r w:rsidR="007B605D" w:rsidRPr="00EE1D0A">
        <w:rPr>
          <w:lang w:val="br-FR"/>
        </w:rPr>
        <w:lastRenderedPageBreak/>
        <w:t>стратегическото намаляване на риска чрез гаранции и по този начин да насърчава частните капиталови инвестиции;</w:t>
      </w:r>
    </w:p>
    <w:p w:rsidR="00EE1D0A" w:rsidRPr="00EE1D0A" w:rsidRDefault="00106567" w:rsidP="007B605D">
      <w:pPr>
        <w:pStyle w:val="NormalHanging12a"/>
        <w:rPr>
          <w:lang w:val="br-FR"/>
        </w:rPr>
      </w:pPr>
      <w:r>
        <w:rPr>
          <w:lang w:val="br-FR"/>
        </w:rPr>
        <w:t>13</w:t>
      </w:r>
      <w:r w:rsidR="00EE1D0A" w:rsidRPr="00EE1D0A">
        <w:rPr>
          <w:lang w:val="br-FR"/>
        </w:rPr>
        <w:t>.</w:t>
      </w:r>
      <w:r w:rsidR="00EE1D0A" w:rsidRPr="00EE1D0A">
        <w:rPr>
          <w:lang w:val="br-FR"/>
        </w:rPr>
        <w:tab/>
        <w:t>призовава групата на ЕИБ систематично да оповестява, когато това е осъществимо и в съответствие със задълженията за защита на данните, крайните бенефициери на своите операции по финансиране, особено за проекти, подкрепяни с бюджетни гаранции и мандати на ЕС, за да се гарантира обществено доверие и надзор;</w:t>
      </w:r>
    </w:p>
    <w:p w:rsidR="007B605D" w:rsidRPr="00EE1D0A" w:rsidRDefault="00106567" w:rsidP="007B605D">
      <w:pPr>
        <w:pStyle w:val="NormalHanging12a"/>
        <w:rPr>
          <w:lang w:val="br-FR"/>
        </w:rPr>
      </w:pPr>
      <w:r>
        <w:rPr>
          <w:lang w:val="br-FR"/>
        </w:rPr>
        <w:t>14</w:t>
      </w:r>
      <w:r w:rsidR="007B605D" w:rsidRPr="00EE1D0A">
        <w:rPr>
          <w:lang w:val="br-FR"/>
        </w:rPr>
        <w:t>.</w:t>
      </w:r>
      <w:r w:rsidR="007B605D" w:rsidRPr="00EE1D0A">
        <w:rPr>
          <w:lang w:val="br-FR"/>
        </w:rPr>
        <w:tab/>
        <w:t>подчертава, че в рамките на настоящата многогодишна финансова рамка за периода 2021 – 2027 г. ЕИБ управлява 87 мандата на Комисията, като броят им ще нарасне до около 130, ако бъдат включени мандатите, свързани със споделеното управление, възложени от местните органи на управление и държавите членки, и отбелязва, че ЕИБ изготвя най-малко 457 доклада годишно за тях; посочва, че премахването на бюрокрацията и опростяването се считат за необходими, за да се даде възможност за по-добро използване на ресурсите;</w:t>
      </w:r>
    </w:p>
    <w:p w:rsidR="007B605D" w:rsidRDefault="00106567" w:rsidP="007B605D">
      <w:pPr>
        <w:pStyle w:val="NormalHanging12a"/>
        <w:rPr>
          <w:lang w:val="br-FR"/>
        </w:rPr>
      </w:pPr>
      <w:r>
        <w:rPr>
          <w:lang w:val="br-FR"/>
        </w:rPr>
        <w:t>15</w:t>
      </w:r>
      <w:r w:rsidR="007B605D" w:rsidRPr="00EE1D0A">
        <w:rPr>
          <w:lang w:val="br-FR"/>
        </w:rPr>
        <w:t>.</w:t>
      </w:r>
      <w:r w:rsidR="007B605D" w:rsidRPr="00EE1D0A">
        <w:rPr>
          <w:lang w:val="br-FR"/>
        </w:rPr>
        <w:tab/>
        <w:t>подчертава, че ЕИБ управлява шест мандата по Механизма за възстановяване и устойчивост (МВУ) в четири държави членки, подписани през 2021 г. (Гърция и Италия), през 2022 г. (Румъния) и през 2024 г. (Испания), на обща стойност 8,7 милиарда евро; признава, че въвеждането на инструменти за „финансиране, което не е свързано с разходи“, които се увеличиха значително с МВУ, неминуемо увеличава риска от грешки и двойно финансиране; изразява загриженост относно прозрачността, одита и надзора над изпълнението на МВУ; призовава ЕИБ да си сътрудничи с държавите членки за преодоляване на ограниченията на капацитета на правителствата и липсата на технически умения, за да се гарантира, че ресурсите на МВУ се управляват възможно най-ефективно в съответствие с националните структури и с всички изисквания за докладване в рамките на МВУ, по-специално при изпълнението на инвестиционни проекти и реформи; настоятелно призовава Комисията и ЕИБ, в консултативната ѝ роля, да не предлагат нови механизми за финансиране по модела на МВУ, без да предприемат коригиращи мерки, включително в контекста на предстоящата многогодишна финансова рамка за периода след 2027 г.; подчертава, че макар ЕИБ да се стреми към опростяване, то не трябва да накърнява стабилността на управлението на ресурсите на ЕС или способността за упражняване на надзор и поддържане на отчетност, както е определено в Договорите;</w:t>
      </w:r>
    </w:p>
    <w:p w:rsidR="00EE1D0A" w:rsidRPr="00EE1D0A" w:rsidRDefault="00106567" w:rsidP="007B605D">
      <w:pPr>
        <w:pStyle w:val="NormalHanging12a"/>
        <w:rPr>
          <w:szCs w:val="24"/>
          <w:lang w:val="br-FR"/>
        </w:rPr>
      </w:pPr>
      <w:r>
        <w:rPr>
          <w:szCs w:val="24"/>
          <w:lang w:val="br-FR"/>
        </w:rPr>
        <w:t>16</w:t>
      </w:r>
      <w:r w:rsidR="00EE1D0A" w:rsidRPr="00EE1D0A">
        <w:rPr>
          <w:szCs w:val="24"/>
          <w:lang w:val="br-FR"/>
        </w:rPr>
        <w:t>.</w:t>
      </w:r>
      <w:r w:rsidR="00EE1D0A" w:rsidRPr="00EE1D0A">
        <w:rPr>
          <w:szCs w:val="24"/>
          <w:lang w:val="br-FR"/>
        </w:rPr>
        <w:tab/>
        <w:t>призовава за независим и всеобхватен одит на всички инструменти за споделяне на риска, управлявани от групата на ЕИБ, включително тези, свързани с МВУ, за да се гарантират най-високите стандарти за прозрачност, отчетност и избягване на рисковете от двойно финансиране;</w:t>
      </w:r>
    </w:p>
    <w:p w:rsidR="007B605D" w:rsidRPr="00EE1D0A" w:rsidRDefault="007B605D" w:rsidP="007B605D">
      <w:pPr>
        <w:pStyle w:val="Normal12a24b"/>
        <w:spacing w:before="0"/>
        <w:rPr>
          <w:szCs w:val="24"/>
          <w:lang w:val="br-FR"/>
        </w:rPr>
      </w:pPr>
      <w:r w:rsidRPr="00EE1D0A">
        <w:rPr>
          <w:rStyle w:val="BoldItalic"/>
          <w:lang w:val="br-FR"/>
        </w:rPr>
        <w:t>Енергийна сигурност</w:t>
      </w:r>
    </w:p>
    <w:p w:rsidR="007B605D" w:rsidRPr="00EE1D0A" w:rsidRDefault="00106567" w:rsidP="007B605D">
      <w:pPr>
        <w:pStyle w:val="NormalHanging12a"/>
        <w:rPr>
          <w:szCs w:val="24"/>
          <w:lang w:val="br-FR"/>
        </w:rPr>
      </w:pPr>
      <w:r>
        <w:rPr>
          <w:lang w:val="br-FR"/>
        </w:rPr>
        <w:t>17</w:t>
      </w:r>
      <w:r w:rsidR="007B605D" w:rsidRPr="00EE1D0A">
        <w:rPr>
          <w:lang w:val="br-FR"/>
        </w:rPr>
        <w:t>.</w:t>
      </w:r>
      <w:r w:rsidR="007B605D" w:rsidRPr="00EE1D0A">
        <w:rPr>
          <w:lang w:val="br-FR"/>
        </w:rPr>
        <w:tab/>
        <w:t xml:space="preserve">отбелязва продължаващата подкрепа на ЕИБ за сигурността на доставките, която се изразява главно в укрепване на електроенергийните мрежи и трансграничната инфраструктура, намаляване на търсенето на енергия чрез проекти за енергийна ефективност и насърчаване на производството на електроенергия с ниски въглеродни емисии; приветства факта, че ЕИБ е подкрепила нови измерения на енергийната сигурност, например реакция на потреблението и натрупване на енергия, и е насърчила развитието на устойчиви доставки на суровини от критично значение, необходими за енергийния преход; призовава за спешен </w:t>
      </w:r>
      <w:r w:rsidR="007B605D" w:rsidRPr="00EE1D0A">
        <w:rPr>
          <w:lang w:val="br-FR"/>
        </w:rPr>
        <w:lastRenderedPageBreak/>
        <w:t>анализ на реалното въздействие от проектите, изпълнени до момента, по-специално на въздействието им върху наличността и разходите за енергия, а оттам и върху общата конкурентоспособност на европейските предприятия;</w:t>
      </w:r>
    </w:p>
    <w:p w:rsidR="007B605D" w:rsidRPr="00EE1D0A" w:rsidRDefault="00106567" w:rsidP="007B605D">
      <w:pPr>
        <w:pStyle w:val="NormalHanging12a"/>
        <w:rPr>
          <w:szCs w:val="24"/>
          <w:lang w:val="br-FR"/>
        </w:rPr>
      </w:pPr>
      <w:r>
        <w:rPr>
          <w:lang w:val="br-FR"/>
        </w:rPr>
        <w:t>18</w:t>
      </w:r>
      <w:r w:rsidR="007B605D" w:rsidRPr="00EE1D0A">
        <w:rPr>
          <w:lang w:val="br-FR"/>
        </w:rPr>
        <w:t>.</w:t>
      </w:r>
      <w:r w:rsidR="007B605D" w:rsidRPr="00EE1D0A">
        <w:rPr>
          <w:lang w:val="br-FR"/>
        </w:rPr>
        <w:tab/>
        <w:t>отново изтъква необходимостта от борба с енергийната бедност и подчертава необходимостта от справедлив и приобщаващ енергиен преход; припомня, че енергийната криза засилва инфлацията, увеличава продоволствената несигурност и оказва натиск върху бюджетите на домакинствата; насърчава ЕИБ да използва механизма за справедлив преход и Модернизационния фонд, за да подпомогне регионите и населението, които са най-силно засегнати от енергийния преход; подчертава, че е важно механизмът за справедлив преход да се използва в подкрепа на работниците и регионите, засегнати от постепенното прекратяване на използването на изкопаеми горива, като се осигури достъп до преквалификация и качествени работни места; признава, че редица сектори са изправени пред предизвикателства, произтичащи от комбинираното въздействие на адаптирането към целите на Европейския зелен пакт и последиците от енергийната криза и инфлацията; подчертава, че ускоряването на внедряването на иновативни нисковъглеродни технологии изисква разходите за тях да бъдат сведени до ниво, което да е конкурентно на това за изкопаемите горива, и да бъдат съгласувани с продължаващата реформа на екологичните политики;</w:t>
      </w:r>
    </w:p>
    <w:p w:rsidR="007B605D" w:rsidRPr="00EE1D0A" w:rsidRDefault="00106567" w:rsidP="007B605D">
      <w:pPr>
        <w:pStyle w:val="NormalHanging12a"/>
        <w:rPr>
          <w:szCs w:val="24"/>
          <w:lang w:val="br-FR"/>
        </w:rPr>
      </w:pPr>
      <w:r>
        <w:rPr>
          <w:lang w:val="br-FR"/>
        </w:rPr>
        <w:t>19</w:t>
      </w:r>
      <w:r w:rsidR="007B605D" w:rsidRPr="00EE1D0A">
        <w:rPr>
          <w:lang w:val="br-FR"/>
        </w:rPr>
        <w:t>.</w:t>
      </w:r>
      <w:r w:rsidR="007B605D" w:rsidRPr="00EE1D0A">
        <w:rPr>
          <w:lang w:val="br-FR"/>
        </w:rPr>
        <w:tab/>
        <w:t>признава, че планът REPowerEU е ключов нов елемент в отговора на политиката на ЕС на енергийната криза; отбелязва, че през юли 2023 г. групата на ЕИБ е увеличила целите за финансиране на ангажимента от октомври 2022 г. от 30,0 милиарда евро до 2027 г. на 45,0 милиарда евро (REPowerEU+), за да разшири усилията си в подкрепа на енергийната сигурност на ЕС; призовава за ясен общ преглед на потенциално двойно финансиране на енергийни проекти;</w:t>
      </w:r>
    </w:p>
    <w:p w:rsidR="007B605D" w:rsidRPr="00EE1D0A" w:rsidRDefault="00106567" w:rsidP="007B605D">
      <w:pPr>
        <w:pStyle w:val="NormalHanging12a"/>
        <w:rPr>
          <w:b/>
          <w:i/>
          <w:szCs w:val="24"/>
          <w:lang w:val="br-FR"/>
        </w:rPr>
      </w:pPr>
      <w:r>
        <w:rPr>
          <w:lang w:val="br-FR"/>
        </w:rPr>
        <w:t>20</w:t>
      </w:r>
      <w:r w:rsidR="007B605D" w:rsidRPr="00EE1D0A">
        <w:rPr>
          <w:lang w:val="br-FR"/>
        </w:rPr>
        <w:t>.</w:t>
      </w:r>
      <w:r w:rsidR="007B605D" w:rsidRPr="00EE1D0A">
        <w:rPr>
          <w:lang w:val="br-FR"/>
        </w:rPr>
        <w:tab/>
        <w:t>подчертава, че през 2023 г. ЕИБ е предоставила приблизително 21,4 милиарда евро за финансиране на свързани с енергетиката проекти, от които около 19,8 милиарда евро в ЕС и 1,6 милиарда евро извън ЕС; счита, че е необходимо да се увеличи не само обемът на финансирането за свързани с енергетиката проекти, но и ефективността на инвестициите; във връзка с това подчертава значението на това ЕИБ да предлага комбинация от компетентна техническа помощ и иновативна финансова подкрепа, като насърчава Банката да разшири обхвата на иновативни финансови продукти, достъпни за икономическите оператори, и да излезе извън рамките на стандартното пазарно предлагане;</w:t>
      </w:r>
    </w:p>
    <w:p w:rsidR="007B605D" w:rsidRPr="00EE1D0A" w:rsidRDefault="00106567" w:rsidP="007B605D">
      <w:pPr>
        <w:pStyle w:val="NormalHanging12a"/>
        <w:rPr>
          <w:szCs w:val="24"/>
          <w:lang w:val="br-FR"/>
        </w:rPr>
      </w:pPr>
      <w:r>
        <w:rPr>
          <w:lang w:val="br-FR"/>
        </w:rPr>
        <w:t>21</w:t>
      </w:r>
      <w:r w:rsidR="007B605D" w:rsidRPr="00EE1D0A">
        <w:rPr>
          <w:lang w:val="br-FR"/>
        </w:rPr>
        <w:t>.</w:t>
      </w:r>
      <w:r w:rsidR="007B605D" w:rsidRPr="00EE1D0A">
        <w:rPr>
          <w:lang w:val="br-FR"/>
        </w:rPr>
        <w:tab/>
        <w:t>счита, че водородът и неговите деривати, по-специално когато се произвеждат от енергия от възобновяеми източници, могат да допринесат значително за постигане на целите на ЕС за декарбонизация и намаляване на зависимостта от изкопаеми горива; настоятелно призовава ЕИБ да поеме водеща роля за мобилизирането на частни инвестиции, които са от съществено значение за увеличаване на производството на водород в целия ЕС, като същевременно се гарантира технологична неутралност и се подкрепя разнообразен набор от иновативни решения за декарбонизация, включително допълнителни научни изследвания за подобряване и стабилизиране на ефективността на водородната технология; насърчава Банката да разгледа разходната ефективност на тези проекти от гледна точка на целия им жизнен цикъл;</w:t>
      </w:r>
    </w:p>
    <w:p w:rsidR="007B605D" w:rsidRPr="00EE1D0A" w:rsidRDefault="007B605D" w:rsidP="007B605D">
      <w:pPr>
        <w:pStyle w:val="Normal12a24b"/>
        <w:spacing w:before="0"/>
        <w:rPr>
          <w:szCs w:val="24"/>
          <w:lang w:val="br-FR"/>
        </w:rPr>
      </w:pPr>
      <w:r w:rsidRPr="00EE1D0A">
        <w:rPr>
          <w:rStyle w:val="BoldItalic"/>
          <w:lang w:val="br-FR"/>
        </w:rPr>
        <w:t>Отбрана и политика на сигурност</w:t>
      </w:r>
    </w:p>
    <w:p w:rsidR="007B605D" w:rsidRPr="00EE1D0A" w:rsidRDefault="00106567" w:rsidP="007B605D">
      <w:pPr>
        <w:pStyle w:val="NormalHanging12a"/>
        <w:rPr>
          <w:szCs w:val="24"/>
          <w:lang w:val="br-FR"/>
        </w:rPr>
      </w:pPr>
      <w:r>
        <w:rPr>
          <w:lang w:val="br-FR"/>
        </w:rPr>
        <w:lastRenderedPageBreak/>
        <w:t>22</w:t>
      </w:r>
      <w:r w:rsidR="007B605D" w:rsidRPr="00EE1D0A">
        <w:rPr>
          <w:lang w:val="br-FR"/>
        </w:rPr>
        <w:t>.</w:t>
      </w:r>
      <w:r w:rsidR="007B605D" w:rsidRPr="00EE1D0A">
        <w:rPr>
          <w:lang w:val="br-FR"/>
        </w:rPr>
        <w:tab/>
        <w:t>приветства значителната роля на групата на ЕИБ за подпомагане на политиката на ЕС в областта на отбраната и сигурността, като предоставя финансиране и привлича частни инвестиции за укрепване на стратегическата автономност и устойчивост на Съюза; подчертава значението на инвестиционните възможности на ЕИБ, които подпомагат инициативи, допринасящи за укрепването на отбранителната промишленост на ЕС, изграждането на инфраструктурата за киберсигурност и насърчаването на иновациите в отбранителни технологии от ключово значение;</w:t>
      </w:r>
    </w:p>
    <w:p w:rsidR="007B605D" w:rsidRPr="00EE1D0A" w:rsidRDefault="00106567" w:rsidP="007B605D">
      <w:pPr>
        <w:pStyle w:val="NormalHanging12a"/>
        <w:rPr>
          <w:szCs w:val="24"/>
          <w:lang w:val="br-FR"/>
        </w:rPr>
      </w:pPr>
      <w:r>
        <w:rPr>
          <w:lang w:val="br-FR"/>
        </w:rPr>
        <w:t>23</w:t>
      </w:r>
      <w:r w:rsidR="007B605D" w:rsidRPr="00EE1D0A">
        <w:rPr>
          <w:lang w:val="br-FR"/>
        </w:rPr>
        <w:t>.</w:t>
      </w:r>
      <w:r w:rsidR="007B605D" w:rsidRPr="00EE1D0A">
        <w:rPr>
          <w:lang w:val="br-FR"/>
        </w:rPr>
        <w:tab/>
        <w:t>оценява факта, че сигурността и отбраната са определени като един от основните приоритети на Банката в нейната стратегическа пътна карта за периода 2024 – 2027 г.; подчертава, че през май 2024 г. Съветът на директорите на ЕИБ е одобрил плана за действие на групата на ЕИБ в областта на сигурността и отбранителната промишленост, който е в съответствие със Стратегическата инициатива на групата на ЕИБ за европейска сигурност от 2022 г., насочена към подкрепа на иновациите в областта на технологиите с двойна употреба, за да се засили подкрепата за сектора на сигурността и отбраната на ЕС; отбелязва със задоволство, че подкрепата на групата на ЕИБ за МСП и иновативни стартиращи предприятия в сектора на сигурността и отбраната се основава на принципа на „двойната употреба“, като се запазва критерият за „достоверно използване за граждански цели“, но не се извършва тест на приходите; приветства решението на Съвета на директорите на ЕИБ от 21 март 2025 г. да разшири критериите на Банката за допустимост по отношение на финансирането на европейската промишленост и инфраструктура в областта на сигурността и отбраната, като се гарантира, че изключените дейности са с възможно най-ограничен обхват;</w:t>
      </w:r>
    </w:p>
    <w:p w:rsidR="007B605D" w:rsidRPr="00EE1D0A" w:rsidRDefault="00106567" w:rsidP="007B605D">
      <w:pPr>
        <w:pStyle w:val="NormalHanging12a"/>
        <w:rPr>
          <w:szCs w:val="24"/>
          <w:lang w:val="br-FR"/>
        </w:rPr>
      </w:pPr>
      <w:r>
        <w:rPr>
          <w:lang w:val="br-FR"/>
        </w:rPr>
        <w:t>24</w:t>
      </w:r>
      <w:r w:rsidR="007B605D" w:rsidRPr="00EE1D0A">
        <w:rPr>
          <w:lang w:val="br-FR"/>
        </w:rPr>
        <w:t>.</w:t>
      </w:r>
      <w:r w:rsidR="007B605D" w:rsidRPr="00EE1D0A">
        <w:rPr>
          <w:lang w:val="br-FR"/>
        </w:rPr>
        <w:tab/>
        <w:t>приветства целевите инвестиции на ЕИБ в отбранителната и в гражданската инфраструктура и подчертава необходимостта от стратегически инвестиции в технологии, които обслужват както граждански, така и отбранителни цели, в съответствие с по-широките цели на ЕС за насърчаване на иновациите и повишаване на сигурността на Съюза; призовава групата на ЕИБ да направи преглед на въздействието от разширяването на новата ѝ политика в областта на изделията с двойна употреба;</w:t>
      </w:r>
    </w:p>
    <w:p w:rsidR="007B605D" w:rsidRPr="00EE1D0A" w:rsidRDefault="00106567" w:rsidP="007B605D">
      <w:pPr>
        <w:pStyle w:val="NormalHanging12a"/>
        <w:rPr>
          <w:szCs w:val="24"/>
          <w:lang w:val="br-FR"/>
        </w:rPr>
      </w:pPr>
      <w:r>
        <w:rPr>
          <w:lang w:val="br-FR"/>
        </w:rPr>
        <w:t>25</w:t>
      </w:r>
      <w:r w:rsidR="007B605D" w:rsidRPr="00EE1D0A">
        <w:rPr>
          <w:lang w:val="br-FR"/>
        </w:rPr>
        <w:t>.</w:t>
      </w:r>
      <w:r w:rsidR="007B605D" w:rsidRPr="00EE1D0A">
        <w:rPr>
          <w:lang w:val="br-FR"/>
        </w:rPr>
        <w:tab/>
        <w:t>подчертава значението на МСП, стартиращите предприятия и дружествата със средна пазарна капитализация за сектора на сигурността и отбраната и за създаването на общ европейски пазар в областта на отбраната; счита, че по-дребните участници имат съществена роля за укрепването на капацитета и автономността на Съюза за разработване на иновативни проекти в областта на отбраната; насърчава ЕИБ да оказва допълнителна подкрепа на трансграничното сътрудничество в областта на научноизследователската и развойна дейност (НИРД), по-специално като осигурява условия по-дребните участници да участват във веригите на доставка в областта на отбраната; подчертава, че по-големите инвестиции на ЕИБ в сектора на отбраната могат да насърчат инвестициите на търговските банки в същата област, и счита, че е необходимо да се увеличи гъвкавостта на кредитирането на МСП в това отношение;</w:t>
      </w:r>
    </w:p>
    <w:p w:rsidR="007B605D" w:rsidRPr="00EE1D0A" w:rsidRDefault="00106567" w:rsidP="007B605D">
      <w:pPr>
        <w:pStyle w:val="NormalHanging12a"/>
        <w:rPr>
          <w:szCs w:val="24"/>
          <w:lang w:val="br-FR"/>
        </w:rPr>
      </w:pPr>
      <w:r>
        <w:rPr>
          <w:lang w:val="br-FR"/>
        </w:rPr>
        <w:t>26</w:t>
      </w:r>
      <w:r w:rsidR="007B605D" w:rsidRPr="00EE1D0A">
        <w:rPr>
          <w:lang w:val="br-FR"/>
        </w:rPr>
        <w:t>.</w:t>
      </w:r>
      <w:r w:rsidR="007B605D" w:rsidRPr="00EE1D0A">
        <w:rPr>
          <w:lang w:val="br-FR"/>
        </w:rPr>
        <w:tab/>
        <w:t xml:space="preserve">отбелязва, че ресурсите, разпределени за подпомагане на секторите на отбраната и сигурността, идват главно от Европейския фонд за отбрана (EDF) (8 милиарда евро), Стратегическата инициатива на ЕИБ за европейска сигурност (SESI) (8 милиарда евро) и Програмата за европейската отбранителна промишленост (ПЕОП) (1,5 милиарда евро); призовава за разпределянето на специален капитал </w:t>
      </w:r>
      <w:r w:rsidR="007B605D" w:rsidRPr="00EE1D0A">
        <w:rPr>
          <w:lang w:val="br-FR"/>
        </w:rPr>
        <w:lastRenderedPageBreak/>
        <w:t>за отбрана и за допълнително коригиране на обхвата на допустимите инвестиции, за да се изпълни амбициозната роля на групата на ЕИБ да допринася за мира и сигурността в Европа, определена в Бялата книга за бъдещето на европейската отбрана до 2030 г.; приветства интегрирането на съществуващата инициатива SESI на ЕИБ, която понастоящем е на стойност 8 милиарда евро, в междусекторна и трайна цел на публичната политика, както и премахването на предварително определения таван на финансирането в тази област; счита, че тези мерки ще позволят на Банката да отговори на нуждите от инвестиции в областта на сигурността и отбраната, като същевременно запази операциите си и силната си финансова позиция; счита, че решението на Съвета на гуверньорите от юни 2024 г. за увеличаване на коефициента на задлъжнялост на Банката ще осигури условия за повече инвестиции в областите от стратегическо значение, включително сигурността и отбраната;</w:t>
      </w:r>
    </w:p>
    <w:p w:rsidR="007B605D" w:rsidRPr="00EE1D0A" w:rsidRDefault="00106567" w:rsidP="007B605D">
      <w:pPr>
        <w:pStyle w:val="NormalHanging12a"/>
        <w:rPr>
          <w:szCs w:val="24"/>
          <w:lang w:val="br-FR"/>
        </w:rPr>
      </w:pPr>
      <w:r>
        <w:rPr>
          <w:lang w:val="br-FR"/>
        </w:rPr>
        <w:t>27</w:t>
      </w:r>
      <w:r w:rsidR="007B605D" w:rsidRPr="00EE1D0A">
        <w:rPr>
          <w:lang w:val="br-FR"/>
        </w:rPr>
        <w:t>.</w:t>
      </w:r>
      <w:r w:rsidR="007B605D" w:rsidRPr="00EE1D0A">
        <w:rPr>
          <w:lang w:val="br-FR"/>
        </w:rPr>
        <w:tab/>
        <w:t>подчертава добавената стойност на иновативните мерки, които ЕИБ е приела за ускоряване на инвестициите в сигурността и отбраната, и на „обслужването на едно гише“ – единна входна точка за клиенти и външни заинтересовани страни, на които Банката предлага експертна помощ за рационализиране на достъпа и ускоряване на предоставянето на финансиране, налично по линия на SESI; насърчава ЕИБ да продължи да разработва и прилага договорените мерки, които опростяват процедурите за клиентите и допълнително ускоряват инвестиционните процеси, като същевременно гарантират запазване на рейтинга „ААА“;</w:t>
      </w:r>
    </w:p>
    <w:p w:rsidR="007B605D" w:rsidRPr="00EE1D0A" w:rsidRDefault="00106567" w:rsidP="007B605D">
      <w:pPr>
        <w:pStyle w:val="NormalHanging12a"/>
        <w:rPr>
          <w:szCs w:val="24"/>
          <w:lang w:val="br-FR"/>
        </w:rPr>
      </w:pPr>
      <w:r>
        <w:rPr>
          <w:lang w:val="br-FR"/>
        </w:rPr>
        <w:t>28</w:t>
      </w:r>
      <w:r w:rsidR="007B605D" w:rsidRPr="00EE1D0A">
        <w:rPr>
          <w:lang w:val="br-FR"/>
        </w:rPr>
        <w:t>.</w:t>
      </w:r>
      <w:r w:rsidR="007B605D" w:rsidRPr="00EE1D0A">
        <w:rPr>
          <w:lang w:val="br-FR"/>
        </w:rPr>
        <w:tab/>
        <w:t>отбелязва със задоволство, че през юни 2023 г. ЕИБ е одобрила увеличение на SESI за инвестиции в сигурността на ЕС от 6,0 милиарда евро на 8,0 милиарда евро за периода 2022 – 2027 г., включително за космическия сектор и сектора на киберсигурността; насърчава ЕИБ да укрепи институционалните партньорства с Агенцията на ЕС за космическата програма и други потенциално имащи отношение партньори, в съответствие с правилата на ЕС относно конкуренцията;</w:t>
      </w:r>
    </w:p>
    <w:p w:rsidR="007B605D" w:rsidRPr="00EE1D0A" w:rsidRDefault="00106567" w:rsidP="007B605D">
      <w:pPr>
        <w:pStyle w:val="NormalHanging12a"/>
        <w:rPr>
          <w:szCs w:val="24"/>
          <w:lang w:val="br-FR"/>
        </w:rPr>
      </w:pPr>
      <w:r>
        <w:rPr>
          <w:lang w:val="br-FR"/>
        </w:rPr>
        <w:t>29</w:t>
      </w:r>
      <w:r w:rsidR="007B605D" w:rsidRPr="00EE1D0A">
        <w:rPr>
          <w:lang w:val="br-FR"/>
        </w:rPr>
        <w:t>.</w:t>
      </w:r>
      <w:r w:rsidR="007B605D" w:rsidRPr="00EE1D0A">
        <w:rPr>
          <w:lang w:val="br-FR"/>
        </w:rPr>
        <w:tab/>
        <w:t>приветства сътрудничеството на ЕИБ с всички свързани заинтересовани страни, включително правителствата на държавите членки, Европейската агенция по отбрана (EDA) и Фонда за иновации на НАТО; оценява по-конкретно сътрудничеството на групата на ЕИБ с EDA и приветства факта, че на 3 октомври 2024 г. е подписана актуализация на меморандума за разбирателство между двата органа, което ще им позволи да укрепят стратегическите партньорства и съвместно да определят нуждите от финансиране с цел да бъдат по-добре подпомогнати научните изследвания, развойната дейност и иновациите (НИРДИ) в областта на сигурността и отбраната в Съюза;</w:t>
      </w:r>
    </w:p>
    <w:p w:rsidR="007B605D" w:rsidRPr="00EE1D0A" w:rsidRDefault="00106567" w:rsidP="007B605D">
      <w:pPr>
        <w:pStyle w:val="NormalHanging12a"/>
        <w:rPr>
          <w:szCs w:val="24"/>
          <w:lang w:val="br-FR"/>
        </w:rPr>
      </w:pPr>
      <w:r>
        <w:rPr>
          <w:lang w:val="br-FR"/>
        </w:rPr>
        <w:t>30</w:t>
      </w:r>
      <w:r w:rsidR="007B605D" w:rsidRPr="00EE1D0A">
        <w:rPr>
          <w:lang w:val="br-FR"/>
        </w:rPr>
        <w:t>.</w:t>
      </w:r>
      <w:r w:rsidR="007B605D" w:rsidRPr="00EE1D0A">
        <w:rPr>
          <w:lang w:val="br-FR"/>
        </w:rPr>
        <w:tab/>
        <w:t xml:space="preserve">приканва ЕИБ да засили допълнително това сътрудничество с ключови заинтересовани страни с оглед увеличаване на въздействието, полезните взаимодействия и допълняемостта с програмите на ЕС в областта на отбраната, като гарантира, че нейните инвестиции допълват по-широките цели на политиката на ЕС в областта на отбраната и допринасят за постигането на икономии от мащаба в европейските отбранителни способности; изисква от ЕИБ да подобри регионалната сигурност и устойчивост, по-специално в Източна Европа и Средиземноморието, чрез създаването на инфраструктура, която подкрепя регионалната сигурност и насърчава по-голямо сътрудничество между държавите – членки на ЕС, по въпросите на отбраната; подчертава освен това, че е важно да се проучат възможностите за сътрудничество с Фонда за иновации на НАТО, за да се подобри достъпът до финансиране за стартиращите предприятия в </w:t>
      </w:r>
      <w:r w:rsidR="007B605D" w:rsidRPr="00EE1D0A">
        <w:rPr>
          <w:lang w:val="br-FR"/>
        </w:rPr>
        <w:lastRenderedPageBreak/>
        <w:t>областта на технологиите, паралелно с разгръщането на капиталовия механизъм на ЕИФ в областта на отбраната;</w:t>
      </w:r>
    </w:p>
    <w:p w:rsidR="007B605D" w:rsidRPr="00EE1D0A" w:rsidRDefault="007B605D" w:rsidP="007B605D">
      <w:pPr>
        <w:pStyle w:val="Normal12a24b"/>
        <w:spacing w:before="0"/>
        <w:rPr>
          <w:szCs w:val="24"/>
          <w:lang w:val="br-FR"/>
        </w:rPr>
      </w:pPr>
      <w:r w:rsidRPr="00EE1D0A">
        <w:rPr>
          <w:rStyle w:val="BoldItalic"/>
          <w:lang w:val="br-FR"/>
        </w:rPr>
        <w:t>Социална инфраструктура и жилищно настаняване</w:t>
      </w:r>
    </w:p>
    <w:p w:rsidR="007B605D" w:rsidRPr="00EE1D0A" w:rsidRDefault="00106567" w:rsidP="007B605D">
      <w:pPr>
        <w:pStyle w:val="NormalHanging12a"/>
        <w:rPr>
          <w:szCs w:val="24"/>
          <w:lang w:val="br-FR"/>
        </w:rPr>
      </w:pPr>
      <w:r>
        <w:rPr>
          <w:lang w:val="br-FR"/>
        </w:rPr>
        <w:t>31</w:t>
      </w:r>
      <w:r w:rsidR="007B605D" w:rsidRPr="00EE1D0A">
        <w:rPr>
          <w:lang w:val="br-FR"/>
        </w:rPr>
        <w:t>.</w:t>
      </w:r>
      <w:r w:rsidR="007B605D" w:rsidRPr="00EE1D0A">
        <w:rPr>
          <w:lang w:val="br-FR"/>
        </w:rPr>
        <w:tab/>
        <w:t>приканва ЕИБ да увеличи поемането на риск за проекти, предоставящи основни услуги с дългосрочни ясни и измерими ползи; в този смисъл приветства действията и мерките на групата на ЕИБ в областта на жилищното настаняване и социалната инфраструктура, които допринасят за осигуряването на жилища на достъпни цени, социално приобщаване и регионално развитие, като същевременно подкрепят устойчивостта и иновациите; призовава ЕИБ да даде приоритет на инвестициите в полза на тези цели, за да подобри икономическия растеж, социалното приобщаване и регионалното сближаване, като същевременно подкрепя целите на ЕС за устойчивост; приканва Банката да се съсредоточи върху устойчивото градско развитие и приобщаващия растеж, като гарантира, че се посрещат нуждите на ЕС, свързани с жилища и инфраструктура, за по-силна, по-сплотена и благоденстваща Европа;</w:t>
      </w:r>
    </w:p>
    <w:p w:rsidR="007B605D" w:rsidRPr="00EE1D0A" w:rsidRDefault="00106567" w:rsidP="007B605D">
      <w:pPr>
        <w:pStyle w:val="NormalHanging12a"/>
        <w:rPr>
          <w:szCs w:val="24"/>
          <w:lang w:val="br-FR"/>
        </w:rPr>
      </w:pPr>
      <w:r>
        <w:rPr>
          <w:lang w:val="br-FR"/>
        </w:rPr>
        <w:t>32</w:t>
      </w:r>
      <w:r w:rsidR="007B605D" w:rsidRPr="00EE1D0A">
        <w:rPr>
          <w:lang w:val="br-FR"/>
        </w:rPr>
        <w:t>.</w:t>
      </w:r>
      <w:r w:rsidR="007B605D" w:rsidRPr="00EE1D0A">
        <w:rPr>
          <w:lang w:val="br-FR"/>
        </w:rPr>
        <w:tab/>
        <w:t>подчертава, че разходите за закупуване и наем на жилища са се увеличили значително през последните години, което е намалило достъпността на много метрополни райони в ЕС и е ограничило достъпа до жилища; подчертава, че ЕИБ трябва да играе по-голяма роля за справянето с жилищната криза; приветства включването на подкрепа за социалната инфраструктура в осемте стратегически приоритета на групата на ЕИБ за периода 2024 – 2027 г. и изразява съгласие, че инвестициите в енергийно ефективно, устойчиво и достъпно жилищно настаняване и достъпно образование са от решаващо значение за повишаване на производителността и подпомагане на изграждането на силни и устойчиви общества; насърчава ЕИБ да даде приоритет на инвестициите в жилищни кооперации, енергийноефективни социални жилища и проекти за саниране, насочени към домакинствата с ниски доходи; счита, че справянето със сериозния недостиг от инвестиции за жилищно строителство в ЕС изисква преодоляване както на финансовите, така и на нефинансовите пречки пред инвестициите и широкомащабно мобилизиране на средства и капацитет;</w:t>
      </w:r>
    </w:p>
    <w:p w:rsidR="007B605D" w:rsidRPr="00EE1D0A" w:rsidRDefault="00106567" w:rsidP="007B605D">
      <w:pPr>
        <w:pStyle w:val="NormalHanging12a"/>
        <w:rPr>
          <w:szCs w:val="24"/>
          <w:lang w:val="br-FR"/>
        </w:rPr>
      </w:pPr>
      <w:r>
        <w:rPr>
          <w:lang w:val="br-FR"/>
        </w:rPr>
        <w:t>33</w:t>
      </w:r>
      <w:r w:rsidR="007B605D" w:rsidRPr="00EE1D0A">
        <w:rPr>
          <w:lang w:val="br-FR"/>
        </w:rPr>
        <w:t>.</w:t>
      </w:r>
      <w:r w:rsidR="007B605D" w:rsidRPr="00EE1D0A">
        <w:rPr>
          <w:lang w:val="br-FR"/>
        </w:rPr>
        <w:tab/>
        <w:t>приветства факта, че ЕИБ, в сътрудничество с Комисията, е стартирала общоевропейска инвестиционна платформа, съчетаваща консултантски услуги и финансиране, за насърчаване на осигуряването на финансово достъпни и устойчиви жилища, и насърчава участниците да продължат тази инициатива;</w:t>
      </w:r>
    </w:p>
    <w:p w:rsidR="007B605D" w:rsidRPr="00EE1D0A" w:rsidRDefault="00106567" w:rsidP="007B605D">
      <w:pPr>
        <w:pStyle w:val="NormalHanging12a"/>
        <w:rPr>
          <w:szCs w:val="24"/>
          <w:lang w:val="br-FR"/>
        </w:rPr>
      </w:pPr>
      <w:r>
        <w:rPr>
          <w:lang w:val="br-FR"/>
        </w:rPr>
        <w:t>34</w:t>
      </w:r>
      <w:r w:rsidR="007B605D" w:rsidRPr="00EE1D0A">
        <w:rPr>
          <w:lang w:val="br-FR"/>
        </w:rPr>
        <w:t>.</w:t>
      </w:r>
      <w:r w:rsidR="007B605D" w:rsidRPr="00EE1D0A">
        <w:rPr>
          <w:lang w:val="br-FR"/>
        </w:rPr>
        <w:tab/>
        <w:t>приветства ангажимента на ЕИБ за намаляване на натиска върху жилищните пазари в Европа; подчертава, че цените за закупуване и наем на жилища са се увеличили значително през последните години, което е намалило достъпността на много метрополни райони в ЕС и е влошило достъпа до жилища; подчертава, че според анализа на ЕИБ, за да се отговори на търсенето, в ЕС са необходимо около 1,5 милиона нови жилищни единици годишно и че около 75% от сградния фонд на ЕС трябва да бъде саниран, което се равнява на допълнителни 5 милиона единици годишно; приветства факта, че ЕИБ подкрепя реконструкцията на съществуващи жилища и строителството на нови социални и финансово достъпни жилища; насърчава ЕИБ да мобилизира по-голямо финансиране за проекти за финансово достъпни жилища в държавите членки;</w:t>
      </w:r>
    </w:p>
    <w:p w:rsidR="007B605D" w:rsidRPr="00EE1D0A" w:rsidRDefault="00106567" w:rsidP="00EE1D0A">
      <w:pPr>
        <w:pStyle w:val="NormalHanging12a"/>
        <w:rPr>
          <w:szCs w:val="24"/>
          <w:lang w:val="br-FR"/>
        </w:rPr>
      </w:pPr>
      <w:r>
        <w:rPr>
          <w:lang w:val="br-FR"/>
        </w:rPr>
        <w:lastRenderedPageBreak/>
        <w:t>35</w:t>
      </w:r>
      <w:r w:rsidR="007B605D" w:rsidRPr="00EE1D0A">
        <w:rPr>
          <w:lang w:val="br-FR"/>
        </w:rPr>
        <w:t>.</w:t>
      </w:r>
      <w:r w:rsidR="007B605D" w:rsidRPr="00EE1D0A">
        <w:rPr>
          <w:lang w:val="br-FR"/>
        </w:rPr>
        <w:tab/>
        <w:t>призовава за засилване на техническата помощ и финансовия експертен опит в подкрепа на местните и регионалните органи, особено в областите с нисък инвестиционен капацитет, за да се подобри достъпът до финансиране от ЕИБ; счита, че сътрудничеството с местните органи, местните органи на управление и представителите на гражданското общество следва да насърчава строителството на социални жилища, подходящи за всички и особено за най-уязвимите; съзнава, че ефективността на действията на ЕИБ в сектора на жилищната и социалната инфраструктура зависи и от премахването на политическите и регулаторните пречки;</w:t>
      </w:r>
    </w:p>
    <w:p w:rsidR="007B605D" w:rsidRPr="00EE1D0A" w:rsidRDefault="00106567" w:rsidP="007B605D">
      <w:pPr>
        <w:pStyle w:val="NormalHanging12a"/>
        <w:rPr>
          <w:szCs w:val="24"/>
          <w:lang w:val="br-FR"/>
        </w:rPr>
      </w:pPr>
      <w:r>
        <w:rPr>
          <w:lang w:val="br-FR"/>
        </w:rPr>
        <w:t>36</w:t>
      </w:r>
      <w:r w:rsidR="007B605D" w:rsidRPr="00EE1D0A">
        <w:rPr>
          <w:lang w:val="br-FR"/>
        </w:rPr>
        <w:t>.</w:t>
      </w:r>
      <w:r w:rsidR="007B605D" w:rsidRPr="00EE1D0A">
        <w:rPr>
          <w:lang w:val="br-FR"/>
        </w:rPr>
        <w:tab/>
        <w:t>отбелязва, че през 2023 г. ЕИБ е подписала договори за финансова подкрепа в размер на 8,3 милиарда евро за операции в областта на енергийната ефективност, от които 65% за енергийна ефективност на сградите; приканва ЕИБ да даде приоритет на дългосрочните финансово осъществими решения на достъпни цени и на устойчивите инвестиции, като например енергийно ефективно саниране и повторно използване на свободни сгради;</w:t>
      </w:r>
    </w:p>
    <w:p w:rsidR="007B605D" w:rsidRPr="00EE1D0A" w:rsidRDefault="00106567" w:rsidP="007B605D">
      <w:pPr>
        <w:pStyle w:val="NormalHanging12a"/>
        <w:rPr>
          <w:szCs w:val="24"/>
          <w:lang w:val="br-FR"/>
        </w:rPr>
      </w:pPr>
      <w:r>
        <w:rPr>
          <w:lang w:val="br-FR"/>
        </w:rPr>
        <w:t>37</w:t>
      </w:r>
      <w:r w:rsidR="007B605D" w:rsidRPr="00EE1D0A">
        <w:rPr>
          <w:lang w:val="br-FR"/>
        </w:rPr>
        <w:t>.</w:t>
      </w:r>
      <w:r w:rsidR="007B605D" w:rsidRPr="00EE1D0A">
        <w:rPr>
          <w:lang w:val="br-FR"/>
        </w:rPr>
        <w:tab/>
        <w:t>счита, че свързаните с това инвестиции следва да гарантират достатъчна дълготрайност, преди да бъде разрешена каквато и да било промяна на предназначението или употребата;</w:t>
      </w:r>
    </w:p>
    <w:p w:rsidR="007B605D" w:rsidRPr="00EE1D0A" w:rsidRDefault="00106567" w:rsidP="007B605D">
      <w:pPr>
        <w:pStyle w:val="NormalHanging12a"/>
        <w:rPr>
          <w:szCs w:val="24"/>
          <w:lang w:val="br-FR"/>
        </w:rPr>
      </w:pPr>
      <w:r>
        <w:rPr>
          <w:lang w:val="br-FR"/>
        </w:rPr>
        <w:t>38</w:t>
      </w:r>
      <w:r w:rsidR="007B605D" w:rsidRPr="00EE1D0A">
        <w:rPr>
          <w:lang w:val="br-FR"/>
        </w:rPr>
        <w:t>.</w:t>
      </w:r>
      <w:r w:rsidR="007B605D" w:rsidRPr="00EE1D0A">
        <w:rPr>
          <w:lang w:val="br-FR"/>
        </w:rPr>
        <w:tab/>
        <w:t>приканва ЕИБ да използва дългогодишния си опит на ускорител на европейските инвестиции и да разгърне потенциала си и в секторите на образованието, обучението и здравеопазването, включително чрез консултантски услуги; призовава Банката да засили подкрепата за капацитета в областта на здравеопазването както в рамките на ЕС, така и извън него, като по този начин гарантира по-силна роля на Европа в света;</w:t>
      </w:r>
    </w:p>
    <w:p w:rsidR="007B605D" w:rsidRPr="00EE1D0A" w:rsidRDefault="007B605D" w:rsidP="007B605D">
      <w:pPr>
        <w:pStyle w:val="Normal12a24b"/>
        <w:spacing w:before="0"/>
        <w:rPr>
          <w:rStyle w:val="BoldItalic"/>
          <w:szCs w:val="24"/>
          <w:lang w:val="br-FR"/>
        </w:rPr>
      </w:pPr>
      <w:r w:rsidRPr="00EE1D0A">
        <w:rPr>
          <w:rStyle w:val="BoldItalic"/>
          <w:lang w:val="br-FR"/>
        </w:rPr>
        <w:t>Подкрепа за МСП, дружествата със средна пазарна капитализация, стартиращите предприятия, разрастващите се предприятия и предприятията в селските и отдалечените райони, съюза на капиталовите пазари и ролята на ЕИФ</w:t>
      </w:r>
    </w:p>
    <w:p w:rsidR="007B605D" w:rsidRPr="00EE1D0A" w:rsidRDefault="00106567" w:rsidP="007B605D">
      <w:pPr>
        <w:pStyle w:val="NormalHanging12a"/>
        <w:rPr>
          <w:szCs w:val="24"/>
          <w:lang w:val="br-FR"/>
        </w:rPr>
      </w:pPr>
      <w:r>
        <w:rPr>
          <w:lang w:val="br-FR"/>
        </w:rPr>
        <w:t>39</w:t>
      </w:r>
      <w:r w:rsidR="007B605D" w:rsidRPr="00EE1D0A">
        <w:rPr>
          <w:lang w:val="br-FR"/>
        </w:rPr>
        <w:t>.</w:t>
      </w:r>
      <w:r w:rsidR="007B605D" w:rsidRPr="00EE1D0A">
        <w:rPr>
          <w:lang w:val="br-FR"/>
        </w:rPr>
        <w:tab/>
        <w:t>подчертава, че МСП, стартиращите предприятия и разрастващите се предприятия са жизненоважни за икономиката на ЕС; отбелязва, че тези предприятия са изправени пред значителни пречки при достъпа до финансиране, пазари и таланти и че това ограничава техния растеж; заявява, че растежът на предприятията, динамиката и публичните инвестиции са от съществено значение за насърчаването на иновациите, конкурентоспособността и производителността; насърчава групата на ЕИБ да продължи да се бори с тези предизвикателства, по-специално в настоящия геополитически контекст, чрез адаптирани финансови програми, механизми за споделяне на риска и целеви финансови инструменти, като същевременно гарантира допълняемостта на публичните ресурси за тези цели и избягва изместването на частния капитал; отбелязва, че в зависимост от контекста могат да се съчетават различни инструменти за подкрепа на отпускането на заеми на предприятия и че различни инструменти на групата на ЕИБ са насочени към различни неефективности на пазара и видове предприятия; подчертава необходимостта от предоставянето на техническа помощ на МСП преди одобряването на проектите, за да се подобри достъпът до финансиране от ЕИБ;</w:t>
      </w:r>
    </w:p>
    <w:p w:rsidR="007B605D" w:rsidRPr="00EE1D0A" w:rsidRDefault="00106567" w:rsidP="007B605D">
      <w:pPr>
        <w:pStyle w:val="NormalHanging12a"/>
        <w:rPr>
          <w:szCs w:val="24"/>
          <w:lang w:val="br-FR"/>
        </w:rPr>
      </w:pPr>
      <w:r>
        <w:rPr>
          <w:lang w:val="br-FR"/>
        </w:rPr>
        <w:lastRenderedPageBreak/>
        <w:t>40</w:t>
      </w:r>
      <w:r w:rsidR="007B605D" w:rsidRPr="00EE1D0A">
        <w:rPr>
          <w:lang w:val="br-FR"/>
        </w:rPr>
        <w:t>.</w:t>
      </w:r>
      <w:r w:rsidR="007B605D" w:rsidRPr="00EE1D0A">
        <w:rPr>
          <w:lang w:val="br-FR"/>
        </w:rPr>
        <w:tab/>
        <w:t>отбелязва, че изграждането на добре функциониращ пазар на секюритизация може да бъде ключова първа крачка към създаването на стабилен съюз на капиталовите пазари (СКП); счита, че СКП ще подпомогне потребителите и МСП, като им предостави възможности за инвестиции с висока възвръщаемост в реалната икономика, и в крайна сметка ще стимулира пазара на рисков капитал чрез улесняване на достъпа до диверсифицирани източници на финансиране; счита, че финансирането на европейските разрастващи се предприятия с европейски капитал следва да бъде приоритет, както е видно от инициативата „Европейски технологични шампиони“, която стартира през февруари 2023 г. с цел финансиране на обещаващи европейски технологични дружества и предотвратяване на продажбата на предприятия на чуждестранни инвеститори поради липсата на европейски инвестиции; насърчава ЕИФ да проучи възможността за създаване на втори кръг на тази инициатива; отбелязва, че инициативата „Европейски технологични шампиони“ се допълва от Европейската инициатива за подкрепа на разрастващите се предприятия, която има за цел да осигури ключово финансиране за европейските високотехнологични дружества в тяхното развитие на късен етап; отбелязва, че тези инвестиции следва да бъдат в съответствие с политическите действия на равнището на ЕС и на национално равнище; съзнава сравнителните слабости на европейския пазар на рисков капитал в сравнение с пазарите на други конкуренти, както и че европейските стартиращи и разрастващи се предприятия често са принудени да се преместват или да търсят чуждестранни купувачи или да разчитат на източници на финансиране, различни от рисков капитал, които поради това са по-малко подходящи за висок растеж;</w:t>
      </w:r>
    </w:p>
    <w:p w:rsidR="007B605D" w:rsidRPr="00EE1D0A" w:rsidRDefault="00106567" w:rsidP="007B605D">
      <w:pPr>
        <w:pStyle w:val="NormalHanging12a"/>
        <w:rPr>
          <w:szCs w:val="24"/>
          <w:lang w:val="br-FR"/>
        </w:rPr>
      </w:pPr>
      <w:r>
        <w:rPr>
          <w:lang w:val="br-FR"/>
        </w:rPr>
        <w:t>41</w:t>
      </w:r>
      <w:r w:rsidR="007B605D" w:rsidRPr="00EE1D0A">
        <w:rPr>
          <w:lang w:val="br-FR"/>
        </w:rPr>
        <w:t>.</w:t>
      </w:r>
      <w:r w:rsidR="007B605D" w:rsidRPr="00EE1D0A">
        <w:rPr>
          <w:lang w:val="br-FR"/>
        </w:rPr>
        <w:tab/>
        <w:t>признава мисията на ЕИФ да подкрепя достъпа до финансиране за европейските микро-, малки и средни предприятия; счита, че ЕИФ следва значително да засили дейностите си за развитието на европейската екосистема за рисков капитал, като същевременно поддържа географски баланс; призовава за засилване на дейностите на ЕИФ, което ще увеличи инвестициите в секторите с висок растеж, ще подобри споделянето на риска между публичните и частните инвеститори и ще насърчи иновациите в цяла Европа; счита, че е необходимо да се наблюдава темпът на увеличаване на подкрепата за микро-, малките и средните предприятия;</w:t>
      </w:r>
    </w:p>
    <w:p w:rsidR="007B605D" w:rsidRPr="00EE1D0A" w:rsidRDefault="00106567" w:rsidP="007B605D">
      <w:pPr>
        <w:pStyle w:val="NormalHanging12a"/>
        <w:rPr>
          <w:szCs w:val="24"/>
          <w:lang w:val="br-FR"/>
        </w:rPr>
      </w:pPr>
      <w:r>
        <w:rPr>
          <w:lang w:val="br-FR"/>
        </w:rPr>
        <w:t>42</w:t>
      </w:r>
      <w:r w:rsidR="007B605D" w:rsidRPr="00EE1D0A">
        <w:rPr>
          <w:lang w:val="br-FR"/>
        </w:rPr>
        <w:t>.</w:t>
      </w:r>
      <w:r w:rsidR="007B605D" w:rsidRPr="00EE1D0A">
        <w:rPr>
          <w:lang w:val="br-FR"/>
        </w:rPr>
        <w:tab/>
        <w:t>насърчава ЕИФ да продължава да развива инструментите си за мониторинг, за да проследява по-добре дългосрочните резултати на фондовете за рисков капитал и операциите за финансиране на МСП, особено по отношение на създаването на работни места, разпространението на иновациите и регионалното въздействие; подчертава също така решаващата роля на големите европейски дружества в икономическата структура на Европа, по-специално на тези, които извършват дейност в основни сектори като енергетиката, отбраната и инфраструктурата; призовава за балансиран подход, който да гарантира, че ЕИБ продължава да подкрепя големите европейски дружества при осигуряването на инвестиционен капитал за големи проекти и инициативи за научноизследователска и развойна дейност, като по този начин укрепва конкурентоспособността на Европа в световен мащаб;</w:t>
      </w:r>
    </w:p>
    <w:p w:rsidR="007B605D" w:rsidRPr="00EE1D0A" w:rsidRDefault="00106567" w:rsidP="007B605D">
      <w:pPr>
        <w:pStyle w:val="NormalHanging12a"/>
        <w:rPr>
          <w:b/>
          <w:szCs w:val="24"/>
          <w:lang w:val="br-FR"/>
        </w:rPr>
      </w:pPr>
      <w:r>
        <w:rPr>
          <w:lang w:val="br-FR"/>
        </w:rPr>
        <w:t>43</w:t>
      </w:r>
      <w:r w:rsidR="007B605D" w:rsidRPr="00EE1D0A">
        <w:rPr>
          <w:lang w:val="br-FR"/>
        </w:rPr>
        <w:t>.</w:t>
      </w:r>
      <w:r w:rsidR="007B605D" w:rsidRPr="00EE1D0A">
        <w:rPr>
          <w:lang w:val="br-FR"/>
        </w:rPr>
        <w:tab/>
        <w:t xml:space="preserve">приветства подкрепата, предоставена от групата на ЕИБ за около 400 000 МСП и дружества със средна пазарна капитализация само през 2023 г., с финансиране в размер на 31,1 милиарда евро, включително заеми и гаранции за предприятията (от които 14,9 милиарда евро са били предоставени от ЕИФ), което е довело до мобилизирането на над 134 милиарда евро, и отбелязва, че за тази цел групата на </w:t>
      </w:r>
      <w:r w:rsidR="007B605D" w:rsidRPr="00EE1D0A">
        <w:rPr>
          <w:lang w:val="br-FR"/>
        </w:rPr>
        <w:lastRenderedPageBreak/>
        <w:t>ЕИБ е работила съвместно с близо 300 партньорски институции в цяла Европа; насърчава ЕИБ да продължи своята роля за подобряване на достъпа до финансиране за МСП, които често са изправени пред пречки с финансирането от традиционни финансови институции, като предоставя целево финансиране, за да се осигурят достатъчни ресурси за растеж и просперитет; приветства и призовава за постоянното разширяване на броя на партньорските институции, за да се постигне широко географско и секторно покритие;</w:t>
      </w:r>
    </w:p>
    <w:p w:rsidR="007B605D" w:rsidRPr="00EE1D0A" w:rsidRDefault="00106567" w:rsidP="007B605D">
      <w:pPr>
        <w:pStyle w:val="NormalHanging12a"/>
        <w:rPr>
          <w:szCs w:val="24"/>
          <w:lang w:val="br-FR"/>
        </w:rPr>
      </w:pPr>
      <w:r>
        <w:rPr>
          <w:lang w:val="br-FR"/>
        </w:rPr>
        <w:t>44</w:t>
      </w:r>
      <w:r w:rsidR="007B605D" w:rsidRPr="00EE1D0A">
        <w:rPr>
          <w:lang w:val="br-FR"/>
        </w:rPr>
        <w:t>.</w:t>
      </w:r>
      <w:r w:rsidR="007B605D" w:rsidRPr="00EE1D0A">
        <w:rPr>
          <w:lang w:val="br-FR"/>
        </w:rPr>
        <w:tab/>
        <w:t>припомня, че използването на Европейския гаранционен фонд приключи през 2023 г. и че неговите плащания за подпомагане на МСП да се възстановят от неблагоприятното въздействие на пандемията са достигнали до приблизително 200 000 МСП в целия ЕС; припомня опасенията, изразени в предишни резолюции, относно прозрачността на процесите на вземане на решения и информацията за крайните получатели;</w:t>
      </w:r>
    </w:p>
    <w:p w:rsidR="007B605D" w:rsidRDefault="00106567" w:rsidP="007B605D">
      <w:pPr>
        <w:pStyle w:val="NormalHanging12a"/>
        <w:rPr>
          <w:lang w:val="br-FR"/>
        </w:rPr>
      </w:pPr>
      <w:r>
        <w:rPr>
          <w:lang w:val="br-FR"/>
        </w:rPr>
        <w:t>45</w:t>
      </w:r>
      <w:r w:rsidR="007B605D" w:rsidRPr="00EE1D0A">
        <w:rPr>
          <w:lang w:val="br-FR"/>
        </w:rPr>
        <w:t>.</w:t>
      </w:r>
      <w:r w:rsidR="007B605D" w:rsidRPr="00EE1D0A">
        <w:rPr>
          <w:lang w:val="br-FR"/>
        </w:rPr>
        <w:tab/>
        <w:t>приветства факта, че мерките на ЕИФ за борба с изпирането на пари, финансирането на тероризма и избягването на данъци включват оценки на риска за продукти и сделки, задълбочена надлежна проверка на контрагентите и проверка на структурите на собственост и ключовите лица за санкции и неблагоприятна информация в медиите; приветства въвеждането на задължително обучение на персонала и сключването на споразумение със звеното за финансово разузнаване на Люксембург относно докладването и последващите действия във връзка с всички открити подозрителни сделки;</w:t>
      </w:r>
    </w:p>
    <w:p w:rsidR="00EE1D0A" w:rsidRPr="00EE1D0A" w:rsidRDefault="00106567" w:rsidP="007B605D">
      <w:pPr>
        <w:pStyle w:val="NormalHanging12a"/>
        <w:rPr>
          <w:szCs w:val="24"/>
          <w:lang w:val="br-FR"/>
        </w:rPr>
      </w:pPr>
      <w:r>
        <w:rPr>
          <w:szCs w:val="24"/>
          <w:lang w:val="br-FR"/>
        </w:rPr>
        <w:t>46</w:t>
      </w:r>
      <w:r w:rsidR="00EE1D0A" w:rsidRPr="00EE1D0A">
        <w:rPr>
          <w:szCs w:val="24"/>
          <w:lang w:val="br-FR"/>
        </w:rPr>
        <w:t>.</w:t>
      </w:r>
      <w:r w:rsidR="00EE1D0A" w:rsidRPr="00EE1D0A">
        <w:rPr>
          <w:szCs w:val="24"/>
          <w:lang w:val="br-FR"/>
        </w:rPr>
        <w:tab/>
        <w:t>призовава групата на ЕИБ да създаде всеобхватна и обвързваща за цялата група политика за защита на лицата, сигнализиращи за нередности, в съответст</w:t>
      </w:r>
      <w:r w:rsidR="00EE1D0A">
        <w:rPr>
          <w:szCs w:val="24"/>
          <w:lang w:val="br-FR"/>
        </w:rPr>
        <w:t>вие с Директива (ЕС) 2019/1937</w:t>
      </w:r>
      <w:r w:rsidR="00EE1D0A">
        <w:rPr>
          <w:rStyle w:val="FootnoteReference"/>
          <w:szCs w:val="24"/>
          <w:lang w:val="br-FR"/>
        </w:rPr>
        <w:footnoteReference w:id="4"/>
      </w:r>
      <w:r w:rsidR="00EE1D0A" w:rsidRPr="00EE1D0A">
        <w:rPr>
          <w:szCs w:val="24"/>
          <w:lang w:val="br-FR"/>
        </w:rPr>
        <w:t>, като гарантира сигурни канали за подаване на сигнали, защита срещу ответни действия с цел отмъщение и пълноценни механизми за последващи действия;</w:t>
      </w:r>
    </w:p>
    <w:p w:rsidR="007B605D" w:rsidRPr="00EE1D0A" w:rsidRDefault="007B605D" w:rsidP="007B605D">
      <w:pPr>
        <w:pStyle w:val="Normal12a24b"/>
        <w:spacing w:before="0"/>
        <w:rPr>
          <w:szCs w:val="24"/>
          <w:lang w:val="br-FR"/>
        </w:rPr>
      </w:pPr>
      <w:r w:rsidRPr="00EE1D0A">
        <w:rPr>
          <w:rStyle w:val="BoldItalic"/>
          <w:lang w:val="br-FR"/>
        </w:rPr>
        <w:t>Ключови области на политиката на сближаване, действия в областта на климата, устойчивост на околната среда и цифровизация</w:t>
      </w:r>
    </w:p>
    <w:p w:rsidR="007B605D" w:rsidRPr="00EE1D0A" w:rsidRDefault="00106567" w:rsidP="007B605D">
      <w:pPr>
        <w:pStyle w:val="NormalHanging12a"/>
        <w:rPr>
          <w:szCs w:val="24"/>
          <w:lang w:val="br-FR"/>
        </w:rPr>
      </w:pPr>
      <w:r>
        <w:rPr>
          <w:lang w:val="br-FR"/>
        </w:rPr>
        <w:t>47</w:t>
      </w:r>
      <w:r w:rsidR="007B605D" w:rsidRPr="00EE1D0A">
        <w:rPr>
          <w:lang w:val="br-FR"/>
        </w:rPr>
        <w:t>.</w:t>
      </w:r>
      <w:r w:rsidR="007B605D" w:rsidRPr="00EE1D0A">
        <w:rPr>
          <w:lang w:val="br-FR"/>
        </w:rPr>
        <w:tab/>
        <w:t>оценява факта, че в своите насоки за политиката на сближаване за периода 2021 – 2027 г. ЕИБ се е ангажирала да отдели най-малко 40% от общото си финансиране в ЕС между 2022 и 2024 г. за проекти в регионите на сближаване; отбелязва, че през 2023 г. това финансиране е възлизало на 29,8 милиарда евро, което се равнява на 45% от общия размер на подписаните от банката договори в ЕС; подчертава, че делът на финансирането от ЕИБ, отпуснато за по-слабо развитите региони, се е увеличил от 24% през 2022 г. на 26% през 2023 г., възлизайки на 17,2 милиарда евро – доста над целта от 21%, определена в насоките на ЕИБ за сближаване за 2023 г.; повтаря своя призив към ЕИБ да продължи да наблюдава, анализира и отстранява недостатъците, които пречат на определени региони или държави да се възползват в пълна степен от финансовата подкрепа и помощ на ЕИБ;</w:t>
      </w:r>
    </w:p>
    <w:p w:rsidR="007B605D" w:rsidRPr="00EE1D0A" w:rsidRDefault="00106567" w:rsidP="007B605D">
      <w:pPr>
        <w:pStyle w:val="NormalHanging12a"/>
        <w:rPr>
          <w:szCs w:val="24"/>
          <w:lang w:val="br-FR"/>
        </w:rPr>
      </w:pPr>
      <w:r>
        <w:rPr>
          <w:lang w:val="br-FR"/>
        </w:rPr>
        <w:lastRenderedPageBreak/>
        <w:t>48</w:t>
      </w:r>
      <w:r w:rsidR="007B605D" w:rsidRPr="00EE1D0A">
        <w:rPr>
          <w:lang w:val="br-FR"/>
        </w:rPr>
        <w:t>.</w:t>
      </w:r>
      <w:r w:rsidR="007B605D" w:rsidRPr="00EE1D0A">
        <w:rPr>
          <w:lang w:val="br-FR"/>
        </w:rPr>
        <w:tab/>
        <w:t>признава ролята на ЕИФ да допринася за икономическото и социалното сближаване в Съюза чрез широк набор от финансови инструменти; отбелязва, че ангажиментите на ЕИФ за кредитни гаранции, инвестиции в рисков капитал и частен капитал за регионите на сближаване са възлизали през 2023 г. на 6,8 милиарда евро, което представлява 48% от общите ангажименти на ЕИФ в ЕС; отбелязва, че през 2023 г. ЕИФ e бил особено активен в Централна и Източна Европа;</w:t>
      </w:r>
    </w:p>
    <w:p w:rsidR="007B605D" w:rsidRPr="00EE1D0A" w:rsidRDefault="00106567" w:rsidP="007B605D">
      <w:pPr>
        <w:pStyle w:val="NormalHanging12a"/>
        <w:rPr>
          <w:lang w:val="br-FR"/>
        </w:rPr>
      </w:pPr>
      <w:r>
        <w:rPr>
          <w:lang w:val="br-FR"/>
        </w:rPr>
        <w:t>49</w:t>
      </w:r>
      <w:r w:rsidR="007B605D" w:rsidRPr="00EE1D0A">
        <w:rPr>
          <w:lang w:val="br-FR"/>
        </w:rPr>
        <w:t>.</w:t>
      </w:r>
      <w:r w:rsidR="007B605D" w:rsidRPr="00EE1D0A">
        <w:rPr>
          <w:lang w:val="br-FR"/>
        </w:rPr>
        <w:tab/>
        <w:t>отбелязва, че рамката на ЕИБ за екологична и социална устойчивост включва преразгледана екологична и социална политика и стандарти, насърчаващи интегриран подход към оценката и управлението на въздействието и риска;</w:t>
      </w:r>
    </w:p>
    <w:p w:rsidR="007B605D" w:rsidRPr="00EE1D0A" w:rsidRDefault="00106567" w:rsidP="007B605D">
      <w:pPr>
        <w:pStyle w:val="NormalHanging12a"/>
        <w:rPr>
          <w:szCs w:val="24"/>
          <w:lang w:val="br-FR"/>
        </w:rPr>
      </w:pPr>
      <w:r>
        <w:rPr>
          <w:lang w:val="br-FR"/>
        </w:rPr>
        <w:t>50</w:t>
      </w:r>
      <w:r w:rsidR="007B605D" w:rsidRPr="00EE1D0A">
        <w:rPr>
          <w:lang w:val="br-FR"/>
        </w:rPr>
        <w:t>.</w:t>
      </w:r>
      <w:r w:rsidR="007B605D" w:rsidRPr="00EE1D0A">
        <w:rPr>
          <w:lang w:val="br-FR"/>
        </w:rPr>
        <w:tab/>
        <w:t>признава, че през последните 15 години Консултантската служба на ЕИБ е подкрепила над 1 000 проекта в регионите на сближаване; призовава Банката да популяризира активно възможностите за финансиране в по-слабо развитите региони и регионите в преход, включително чрез засилване на присъствието на консултантски служби в местните представителства на ЕИБ; счита, че е необходимо също така да се вземе предвид географското разпределение на подкрепата на ЕИБ за увеличаване на социалното сближаване;</w:t>
      </w:r>
    </w:p>
    <w:p w:rsidR="007B605D" w:rsidRPr="00EE1D0A" w:rsidRDefault="00106567" w:rsidP="007B605D">
      <w:pPr>
        <w:pStyle w:val="NormalHanging12a"/>
        <w:rPr>
          <w:szCs w:val="24"/>
          <w:lang w:val="br-FR"/>
        </w:rPr>
      </w:pPr>
      <w:r>
        <w:rPr>
          <w:lang w:val="br-FR"/>
        </w:rPr>
        <w:t>51</w:t>
      </w:r>
      <w:r w:rsidR="007B605D" w:rsidRPr="00EE1D0A">
        <w:rPr>
          <w:lang w:val="br-FR"/>
        </w:rPr>
        <w:t>.</w:t>
      </w:r>
      <w:r w:rsidR="007B605D" w:rsidRPr="00EE1D0A">
        <w:rPr>
          <w:lang w:val="br-FR"/>
        </w:rPr>
        <w:tab/>
        <w:t>подчертава инициативите на ЕИБ в регионите на сближаване в подкрепа на сектора на здравеопазването, включително програмата HERA Invest – гаранция в размер на 100 милиона евро, създадена с Комисията в подкрепа на научноизследователската и развойната дейност за справяне с належащите трансгранични заплахи за здравето; призовава ЕИБ да насърчава целенасочени инвестиции в ключови системни предпоставки, като например здравеопазване, образование, социални жилища, цифрова свързаност и местно финансиране за градовете и регионите, като гарантира по-добър географски баланс, било то чрез пряко кредитиране или чрез финансови инструменти, и да засили полезните взаимодействия между безвъзмездните средства от ЕС и заемите на ЕИБ за подобряване на трансграничната железопътна свързаност, което е от решаващо значение за по-добрата интеграция в рамките на единния пазар на ЕС;</w:t>
      </w:r>
    </w:p>
    <w:p w:rsidR="007B605D" w:rsidRPr="00EE1D0A" w:rsidRDefault="00106567" w:rsidP="007B605D">
      <w:pPr>
        <w:pStyle w:val="NormalHanging12a"/>
        <w:rPr>
          <w:szCs w:val="24"/>
          <w:lang w:val="br-FR"/>
        </w:rPr>
      </w:pPr>
      <w:r>
        <w:rPr>
          <w:lang w:val="br-FR"/>
        </w:rPr>
        <w:t>52</w:t>
      </w:r>
      <w:r w:rsidR="007B605D" w:rsidRPr="00EE1D0A">
        <w:rPr>
          <w:lang w:val="br-FR"/>
        </w:rPr>
        <w:t>.</w:t>
      </w:r>
      <w:r w:rsidR="007B605D" w:rsidRPr="00EE1D0A">
        <w:rPr>
          <w:lang w:val="br-FR"/>
        </w:rPr>
        <w:tab/>
        <w:t>признава стратегическата ориентация на ЕИБ от 2019 г. да бъде банката на ЕС за климата; подчертава, че само през 2023 г. ЕИБ е подписала договори за заеми на стойност 41,8 милиарда евро за финансиране на действия в областта на климата и 25,1 милиарда евро за устойчивост на околната среда (съответно 35,1 милиарда евро и 15,9 милиарда евро през 2022 г.); отбелязва, че финансирането на ЕИБ за адаптиране към изменението на климата възлиза на общо 2,7 милиарда евро през 2023 г., което представлява 6,4% от общите ѝ действия в областта на климата (в сравнение с 1,9 милиарда евро, или 5,4% през 2022 г.); приветства факта, че финансирането на действия в областта на климата и устойчивост на околната среда като цяло представлява 60% от финансирането на ЕИБ през 2023 г.; призовава за поддържане на технологична неутралност в нейната инвестиционна стратегия в областта на климата и устойчивото финансиране;</w:t>
      </w:r>
    </w:p>
    <w:p w:rsidR="007B605D" w:rsidRPr="00EE1D0A" w:rsidRDefault="00106567" w:rsidP="007B605D">
      <w:pPr>
        <w:pStyle w:val="NormalHanging12a"/>
        <w:rPr>
          <w:szCs w:val="24"/>
          <w:lang w:val="br-FR"/>
        </w:rPr>
      </w:pPr>
      <w:r>
        <w:rPr>
          <w:lang w:val="br-FR"/>
        </w:rPr>
        <w:t>53</w:t>
      </w:r>
      <w:r w:rsidR="007B605D" w:rsidRPr="00EE1D0A">
        <w:rPr>
          <w:lang w:val="br-FR"/>
        </w:rPr>
        <w:t>.</w:t>
      </w:r>
      <w:r w:rsidR="007B605D" w:rsidRPr="00EE1D0A">
        <w:rPr>
          <w:lang w:val="br-FR"/>
        </w:rPr>
        <w:tab/>
        <w:t xml:space="preserve">припомня, че политиката на ЕИБ за отпускане на заеми в областта на енергетиката, приета през 2019 г., определи „постепенно преустановяване на подкрепата за енергийни проекти, разчитащи на необхванати от ограничения изкопаеми горива“, и въведе преходен период, през който Банката може да продължи да одобрява проекти, които вече са в процес на оценка, но Съветът на директорите не одобри нито един такъв проект след края на 2021 г.; отбелязва, че </w:t>
      </w:r>
      <w:r w:rsidR="007B605D" w:rsidRPr="00EE1D0A">
        <w:rPr>
          <w:lang w:val="br-FR"/>
        </w:rPr>
        <w:lastRenderedPageBreak/>
        <w:t>през 2022 г. групата на ЕИБ въведе временно и извънредно разширяване на изключенията от рамката за привеждане на контрагентите в съответствие с Парижкото споразумение (т. нар. PATH) в подкрепа на REPowerEU, за да обхване проекти с високо иновативно съдържание и проекти за енергия от възобновяеми източници и инфраструктура за зареждане на електрически превозни средства в ЕС; отбелязва, че през 2023 г. групата на ЕИБ реши да приложи същото временно и извънредно разширяване и за проекти в духа на REPowerEU извън ЕС; отбелязва, че такова временно и извънредно разширяване се очаква да продължи до 2027 г., в зависимост от очаквания през 2025 г. преглед на пътната карта за банка за климата; припомня своята предишна резолюция</w:t>
      </w:r>
      <w:r w:rsidR="007B605D" w:rsidRPr="00EE1D0A">
        <w:rPr>
          <w:rStyle w:val="FootnoteReference"/>
          <w:szCs w:val="24"/>
          <w:lang w:val="br-FR"/>
        </w:rPr>
        <w:footnoteReference w:id="5"/>
      </w:r>
      <w:r w:rsidR="007B605D" w:rsidRPr="00EE1D0A">
        <w:rPr>
          <w:lang w:val="br-FR"/>
        </w:rPr>
        <w:t xml:space="preserve"> и поддържа становището, че PATH предлага подходящата рамка за подкрепа на контрагентите по пътя им към постигане на съответствие с целите на Парижкото споразумение; подчертава, че от ЕИБ се очаква да засили взаимодействието си с всички свои клиенти, за да насърчи разработването на плановете им за декарбонизация;</w:t>
      </w:r>
    </w:p>
    <w:p w:rsidR="007B605D" w:rsidRPr="00EE1D0A" w:rsidRDefault="00106567" w:rsidP="007B605D">
      <w:pPr>
        <w:pStyle w:val="NormalHanging12a"/>
        <w:rPr>
          <w:szCs w:val="24"/>
          <w:lang w:val="br-FR"/>
        </w:rPr>
      </w:pPr>
      <w:r>
        <w:rPr>
          <w:lang w:val="br-FR"/>
        </w:rPr>
        <w:t>54</w:t>
      </w:r>
      <w:r w:rsidR="007B605D" w:rsidRPr="00EE1D0A">
        <w:rPr>
          <w:lang w:val="br-FR"/>
        </w:rPr>
        <w:t>.</w:t>
      </w:r>
      <w:r w:rsidR="007B605D" w:rsidRPr="00EE1D0A">
        <w:rPr>
          <w:lang w:val="br-FR"/>
        </w:rPr>
        <w:tab/>
        <w:t>отбелязва междинния преглед на пътната карта на групата на ЕИБ за банка за климата, одобрен през 2023 г., който включва опростена рамка за привеждане на микропредприятията в съответствие с Парижкото споразумение, преразглеждане на изискванията на рамката PATH за оповестяване на информация за финансовите посредници и временно разширяване на списъка от държави, в които ЕИБ може да действа като единствен управляващ финансирането на проекти за адаптиране към климата поради тяхната особена уязвимост към изменението на климата;</w:t>
      </w:r>
    </w:p>
    <w:p w:rsidR="007B605D" w:rsidRPr="00EE1D0A" w:rsidRDefault="00106567" w:rsidP="007B605D">
      <w:pPr>
        <w:pStyle w:val="NormalHanging12a"/>
        <w:rPr>
          <w:szCs w:val="24"/>
          <w:lang w:val="br-FR"/>
        </w:rPr>
      </w:pPr>
      <w:r>
        <w:rPr>
          <w:lang w:val="br-FR"/>
        </w:rPr>
        <w:t>55</w:t>
      </w:r>
      <w:r w:rsidR="007B605D" w:rsidRPr="00EE1D0A">
        <w:rPr>
          <w:lang w:val="br-FR"/>
        </w:rPr>
        <w:t>.</w:t>
      </w:r>
      <w:r w:rsidR="007B605D" w:rsidRPr="00EE1D0A">
        <w:rPr>
          <w:lang w:val="br-FR"/>
        </w:rPr>
        <w:tab/>
        <w:t>приветства включването на селското стопанство и биоикономиката сред ключовите приоритети на групата на ЕИБ, но отбелязва, че селското стопанство, рибарството и горското стопанство получиха само 1,1% от общия размер на заемите, отпуснати от ЕИБ през 2023 г.; счита, че е важно ЕИБ да предвиди значителни суми за финансирането на селскостопанския сектор и чрез опростени процедури;</w:t>
      </w:r>
    </w:p>
    <w:p w:rsidR="007B605D" w:rsidRPr="00EE1D0A" w:rsidRDefault="00106567" w:rsidP="007B605D">
      <w:pPr>
        <w:pStyle w:val="NormalHanging12a"/>
        <w:rPr>
          <w:szCs w:val="24"/>
          <w:lang w:val="br-FR"/>
        </w:rPr>
      </w:pPr>
      <w:r>
        <w:rPr>
          <w:lang w:val="br-FR"/>
        </w:rPr>
        <w:t>56</w:t>
      </w:r>
      <w:r w:rsidR="007B605D" w:rsidRPr="00EE1D0A">
        <w:rPr>
          <w:lang w:val="br-FR"/>
        </w:rPr>
        <w:t>.</w:t>
      </w:r>
      <w:r w:rsidR="007B605D" w:rsidRPr="00EE1D0A">
        <w:rPr>
          <w:lang w:val="br-FR"/>
        </w:rPr>
        <w:tab/>
        <w:t>подчертава, че селското стопанство е ключов двигател на растежа и развитието в селските райони; признава нарастващите предизвикателства, пред които е изправен селскостопанският сектор, и необходимостта земеделските стопани в ЕС да се адаптират към целите на Европейския зелен пакт, да се справят с енергийната криза и да управляват нарастващата инфлация; призовава групата на ЕИБ да засили подкрепата и да насърчи иновациите за този жизненоважен сектор, който играе съществена роля за гарантирането на продоволствената сигурност, като използва подхода на ЕС „Едно здраве“ чрез интегриране на здравето на хората, животните, растенията и околната среда, за да се създадат устойчиви, издръжливи и продуктивни системи за хранително-вкусовата промишленост; подчертава финансовите предизвикателства, пред които са изправени земеделските стопани, особено младите и малките оператори, като отбелязва, че земеделските стопани и предприятията в този сектор имат по-нисък процент на успеваемост, когато кандидатстват за финансиране;</w:t>
      </w:r>
    </w:p>
    <w:p w:rsidR="007B605D" w:rsidRPr="00EE1D0A" w:rsidRDefault="00106567" w:rsidP="007B605D">
      <w:pPr>
        <w:pStyle w:val="NormalHanging12a"/>
        <w:rPr>
          <w:szCs w:val="24"/>
          <w:lang w:val="br-FR"/>
        </w:rPr>
      </w:pPr>
      <w:r>
        <w:rPr>
          <w:lang w:val="br-FR"/>
        </w:rPr>
        <w:t>57</w:t>
      </w:r>
      <w:r w:rsidR="007B605D" w:rsidRPr="00EE1D0A">
        <w:rPr>
          <w:lang w:val="br-FR"/>
        </w:rPr>
        <w:t>.</w:t>
      </w:r>
      <w:r w:rsidR="007B605D" w:rsidRPr="00EE1D0A">
        <w:rPr>
          <w:lang w:val="br-FR"/>
        </w:rPr>
        <w:tab/>
        <w:t xml:space="preserve">подчертава, че подкрепата от ЕИБ следва да се придържа към подход за справедлив преход, за да се постигне устойчиво селско стопанство, което опазва </w:t>
      </w:r>
      <w:r w:rsidR="007B605D" w:rsidRPr="00EE1D0A">
        <w:rPr>
          <w:lang w:val="br-FR"/>
        </w:rPr>
        <w:lastRenderedPageBreak/>
        <w:t>околната среда, човешкото здраве и благосъстоянието на животните, като същевременно увеличава доходите на земеделските стопани, по-специално за малките и средните земеделски стопанства; счита, че подкрепата за селските райони е от съществено значение за насърчаването на балансирано и приобщаващо развитие, приемственост между поколенията и равен достъп до финансови възможности за жените и мъжете; отново призовава групата на ЕИБ да увеличи участието си в селскостопанския сектор чрез подобряване на достъпа до финансиране;</w:t>
      </w:r>
    </w:p>
    <w:p w:rsidR="007B605D" w:rsidRPr="00EE1D0A" w:rsidRDefault="00106567" w:rsidP="007B605D">
      <w:pPr>
        <w:pStyle w:val="NormalHanging12a"/>
        <w:rPr>
          <w:szCs w:val="24"/>
          <w:lang w:val="br-FR"/>
        </w:rPr>
      </w:pPr>
      <w:r>
        <w:rPr>
          <w:lang w:val="br-FR"/>
        </w:rPr>
        <w:t>58</w:t>
      </w:r>
      <w:r w:rsidR="007B605D" w:rsidRPr="00EE1D0A">
        <w:rPr>
          <w:lang w:val="br-FR"/>
        </w:rPr>
        <w:t>.</w:t>
      </w:r>
      <w:r w:rsidR="007B605D" w:rsidRPr="00EE1D0A">
        <w:rPr>
          <w:lang w:val="br-FR"/>
        </w:rPr>
        <w:tab/>
        <w:t>оценява факта, че групата на ЕИБ е един от основните поддръжници на цифровизацията в ЕС, особено във финансирането на цифровата инфраструктура и подкрепата за иновативни стартиращи цифрови предприятия; насърчава ЕИБ да засили подкрепата си за цифровите мрежи, като укрепи технологичната автономност на ЕС и иновациите в ключови технологии;</w:t>
      </w:r>
    </w:p>
    <w:p w:rsidR="007B605D" w:rsidRPr="00EE1D0A" w:rsidRDefault="00106567" w:rsidP="007B605D">
      <w:pPr>
        <w:pStyle w:val="NormalHanging12a"/>
        <w:rPr>
          <w:szCs w:val="24"/>
          <w:lang w:val="br-FR"/>
        </w:rPr>
      </w:pPr>
      <w:r>
        <w:rPr>
          <w:lang w:val="br-FR"/>
        </w:rPr>
        <w:t>59</w:t>
      </w:r>
      <w:r w:rsidR="007B605D" w:rsidRPr="00EE1D0A">
        <w:rPr>
          <w:lang w:val="br-FR"/>
        </w:rPr>
        <w:t>.</w:t>
      </w:r>
      <w:r w:rsidR="007B605D" w:rsidRPr="00EE1D0A">
        <w:rPr>
          <w:lang w:val="br-FR"/>
        </w:rPr>
        <w:tab/>
        <w:t>счита, че намаляването на цифровото неравенство и предотвратяването на социалното изключване изискват значителни публични инвестиции в телекомуникационната инфраструктура, особено в селските райони; насърчава ЕИБ да подкрепя европейските граждани при придобиването на адекватна цифрова грамотност, за да участват пълноценно в обществото, със специален акцент върху възрастните хора и хората с увреждания;</w:t>
      </w:r>
    </w:p>
    <w:p w:rsidR="007B605D" w:rsidRPr="00EE1D0A" w:rsidRDefault="00106567" w:rsidP="007B605D">
      <w:pPr>
        <w:pStyle w:val="NormalHanging12a"/>
        <w:rPr>
          <w:szCs w:val="24"/>
          <w:lang w:val="br-FR"/>
        </w:rPr>
      </w:pPr>
      <w:r>
        <w:rPr>
          <w:lang w:val="br-FR"/>
        </w:rPr>
        <w:t>60</w:t>
      </w:r>
      <w:r w:rsidR="007B605D" w:rsidRPr="00EE1D0A">
        <w:rPr>
          <w:lang w:val="br-FR"/>
        </w:rPr>
        <w:t>.</w:t>
      </w:r>
      <w:r w:rsidR="007B605D" w:rsidRPr="00EE1D0A">
        <w:rPr>
          <w:lang w:val="br-FR"/>
        </w:rPr>
        <w:tab/>
        <w:t>признава решаващата роля на сектора на киберсигурността за защитата на предприятията и правителствата от усъвършенствани цифрови заплахи и чуждестранно влияние; приветства увеличаването на инвестициите в областта на сигурността от 6 на 8 милиарда евро, финансирани по линия на SESI, за да се отговори на предизвикателствата пред сигурността, включително тези в областта на промишлеността, свързана с „новото космическо пространство“;</w:t>
      </w:r>
    </w:p>
    <w:p w:rsidR="007B605D" w:rsidRPr="00EE1D0A" w:rsidRDefault="00106567" w:rsidP="007B605D">
      <w:pPr>
        <w:pStyle w:val="NormalHanging12a"/>
        <w:rPr>
          <w:szCs w:val="24"/>
          <w:lang w:val="br-FR"/>
        </w:rPr>
      </w:pPr>
      <w:r>
        <w:rPr>
          <w:lang w:val="br-FR"/>
        </w:rPr>
        <w:t>61</w:t>
      </w:r>
      <w:r w:rsidR="007B605D" w:rsidRPr="00EE1D0A">
        <w:rPr>
          <w:lang w:val="br-FR"/>
        </w:rPr>
        <w:t>.</w:t>
      </w:r>
      <w:r w:rsidR="007B605D" w:rsidRPr="00EE1D0A">
        <w:rPr>
          <w:lang w:val="br-FR"/>
        </w:rPr>
        <w:tab/>
        <w:t>приветства акцента на ЕИБ върху равенството между половете и икономическото овластяване на жените, който доведе до общо 5,8 милиарда евро инвестиции в тази област през 2023 г. (в сравнение с 5,1 милиарда евро през 2022 г.); счита, че ЕИБ би могла да увеличи още повече микрокредитите, отпускани на предприятия, ръководени от жени, които все още се сблъскват с дискриминация при достъпа до финансиране;</w:t>
      </w:r>
    </w:p>
    <w:p w:rsidR="007B605D" w:rsidRPr="00EE1D0A" w:rsidRDefault="00106567" w:rsidP="007B605D">
      <w:pPr>
        <w:pStyle w:val="NormalHanging12a"/>
        <w:rPr>
          <w:szCs w:val="24"/>
          <w:lang w:val="br-FR"/>
        </w:rPr>
      </w:pPr>
      <w:r>
        <w:rPr>
          <w:lang w:val="br-FR"/>
        </w:rPr>
        <w:t>62</w:t>
      </w:r>
      <w:r w:rsidR="007B605D" w:rsidRPr="00EE1D0A">
        <w:rPr>
          <w:lang w:val="br-FR"/>
        </w:rPr>
        <w:t>.</w:t>
      </w:r>
      <w:r w:rsidR="007B605D" w:rsidRPr="00EE1D0A">
        <w:rPr>
          <w:lang w:val="br-FR"/>
        </w:rPr>
        <w:tab/>
        <w:t>изтъква, че сигурността на доставките на суровини от критично значение е от решаващо значение както за екологичния и цифровия преход, така и за сектора на отбраната и промишлената база на ЕС като цяло; призовава ЕИБ да увеличи инвестициите в сектора на суровините от критично значение, за да се спомогне за диверсификацията на доставките както на първични, така и на вторични суровини, и за да се разработят решения в областта на кръговата икономика, по-специално научноизследователска и развойна дейност за алтернативни материали, като например материали на биологична основа; в тази връзка приветства приемането на 21 март 2025 г. на нова стратегическа инициатива за суровините от критично значение с очаквани 2 милиарда евро финансиране за инвестиции в суровини от критично значение през 2025 г., нова работна група за суровините от критично значение и специално обслужване на едно гише за изграждане и управление на набор от операции, свързани със суровините от критично значение, и консултантски дейности и увеличен технически експертен опит и партньорства;</w:t>
      </w:r>
    </w:p>
    <w:p w:rsidR="007B605D" w:rsidRPr="00EE1D0A" w:rsidRDefault="007B605D" w:rsidP="007B605D">
      <w:pPr>
        <w:pStyle w:val="Normal12a24b"/>
        <w:spacing w:before="0"/>
        <w:rPr>
          <w:szCs w:val="24"/>
          <w:lang w:val="br-FR"/>
        </w:rPr>
      </w:pPr>
      <w:r w:rsidRPr="00EE1D0A">
        <w:rPr>
          <w:rStyle w:val="BoldItalic"/>
          <w:lang w:val="br-FR"/>
        </w:rPr>
        <w:t xml:space="preserve">Дейностите на ЕИБ извън ЕС </w:t>
      </w:r>
    </w:p>
    <w:p w:rsidR="007B605D" w:rsidRPr="00EE1D0A" w:rsidRDefault="00106567" w:rsidP="007B605D">
      <w:pPr>
        <w:pStyle w:val="NormalHanging12a"/>
        <w:rPr>
          <w:b/>
          <w:lang w:val="br-FR"/>
        </w:rPr>
      </w:pPr>
      <w:r>
        <w:rPr>
          <w:lang w:val="br-FR"/>
        </w:rPr>
        <w:lastRenderedPageBreak/>
        <w:t>63</w:t>
      </w:r>
      <w:r w:rsidR="007B605D" w:rsidRPr="00EE1D0A">
        <w:rPr>
          <w:lang w:val="br-FR"/>
        </w:rPr>
        <w:t>.</w:t>
      </w:r>
      <w:r w:rsidR="007B605D" w:rsidRPr="00EE1D0A">
        <w:rPr>
          <w:lang w:val="br-FR"/>
        </w:rPr>
        <w:tab/>
        <w:t>подчертава, че през втората година от съществуването си ЕИБ Глобал е предоставил финансиране в размер на 8,4 милиарда евро (в сравнение с 9,1 милиарда евро през 2022 г.); отбелязва, че тъй като финансирането от ЕИБ Глобал се ограничава до 50% от общите разходи за даден проект, съфинансирането на инвестициите с финансови институции за развитие и многостранни банки за развитие е често срещана практика; призовава ЕИБ и Комисията да инвестират във вътрешен одит и независими контролни функции, за да се гарантира почтеността и стабилността на всички операции;</w:t>
      </w:r>
    </w:p>
    <w:p w:rsidR="007B605D" w:rsidRPr="00EE1D0A" w:rsidRDefault="00106567" w:rsidP="007B605D">
      <w:pPr>
        <w:pStyle w:val="NormalHanging12a"/>
        <w:rPr>
          <w:lang w:val="br-FR"/>
        </w:rPr>
      </w:pPr>
      <w:r>
        <w:rPr>
          <w:lang w:val="br-FR"/>
        </w:rPr>
        <w:t>64</w:t>
      </w:r>
      <w:r w:rsidR="007B605D" w:rsidRPr="00EE1D0A">
        <w:rPr>
          <w:lang w:val="br-FR"/>
        </w:rPr>
        <w:t>.</w:t>
      </w:r>
      <w:r w:rsidR="007B605D" w:rsidRPr="00EE1D0A">
        <w:rPr>
          <w:lang w:val="br-FR"/>
        </w:rPr>
        <w:tab/>
        <w:t>припомня, че ЕИБ Глобал е сред ключовите участници в изпълнението на европейската инициатива Global Gateway и като такъв се очаква да прилага най-високите стандарти за прозрачност и отчетност;</w:t>
      </w:r>
    </w:p>
    <w:p w:rsidR="007B605D" w:rsidRPr="00EE1D0A" w:rsidRDefault="00106567" w:rsidP="007B605D">
      <w:pPr>
        <w:pStyle w:val="NormalHanging12a"/>
        <w:rPr>
          <w:lang w:val="br-FR"/>
        </w:rPr>
      </w:pPr>
      <w:r>
        <w:rPr>
          <w:lang w:val="br-FR"/>
        </w:rPr>
        <w:t>65</w:t>
      </w:r>
      <w:r w:rsidR="007B605D" w:rsidRPr="00EE1D0A">
        <w:rPr>
          <w:lang w:val="br-FR"/>
        </w:rPr>
        <w:t>.</w:t>
      </w:r>
      <w:r w:rsidR="007B605D" w:rsidRPr="00EE1D0A">
        <w:rPr>
          <w:lang w:val="br-FR"/>
        </w:rPr>
        <w:tab/>
        <w:t>отбелязва приемането от Съвета на директорите на ЕИБ на Стратегическата пътна карта на ЕИБ Глобал и неговия ангажимент да зачита и насърчава правата на човека и принципите на правовата държава в проектите, които подкрепя;</w:t>
      </w:r>
    </w:p>
    <w:p w:rsidR="007B605D" w:rsidRPr="00EE1D0A" w:rsidRDefault="00106567" w:rsidP="007B605D">
      <w:pPr>
        <w:pStyle w:val="NormalHanging12a"/>
        <w:rPr>
          <w:bCs/>
          <w:iCs/>
          <w:szCs w:val="24"/>
          <w:lang w:val="br-FR"/>
        </w:rPr>
      </w:pPr>
      <w:r>
        <w:rPr>
          <w:lang w:val="br-FR"/>
        </w:rPr>
        <w:t>66</w:t>
      </w:r>
      <w:r w:rsidR="007B605D" w:rsidRPr="00EE1D0A">
        <w:rPr>
          <w:lang w:val="br-FR"/>
        </w:rPr>
        <w:t>.</w:t>
      </w:r>
      <w:r w:rsidR="007B605D" w:rsidRPr="00EE1D0A">
        <w:rPr>
          <w:lang w:val="br-FR"/>
        </w:rPr>
        <w:tab/>
        <w:t>подчертава важността на това да се гарантира, че интервенциите на групата на ЕИБ в Украйна се ръководят от договорените с ЕС приоритети за възстановяване на държавата и са в съответствие с методите и рамките, определени в плана за Украйна, и с разпоредбите на Договорите на ЕС; отбелязва, че ЕИБ продължава да увеличава усилията си за справяне с измамите и корупцията във връзка с проекти на групата на ЕИБ, изпълнявани в Украйна; призовава за продължаване на прилагането на подходящи условия за финансовата помощ, предоставяна на Украйна, с акцент върху гарантирането на ефективни механизми за надзор, като например достъп до информация и помещения и мониторинг на посещенията, и призовава за разширяване на обвързаността с условия, така че да обхване всички държави извън ЕС, за които предоставя финансиране;</w:t>
      </w:r>
    </w:p>
    <w:p w:rsidR="007B605D" w:rsidRPr="00EE1D0A" w:rsidRDefault="00106567" w:rsidP="007B605D">
      <w:pPr>
        <w:pStyle w:val="NormalHanging12a"/>
        <w:rPr>
          <w:lang w:val="br-FR"/>
        </w:rPr>
      </w:pPr>
      <w:r>
        <w:rPr>
          <w:lang w:val="br-FR"/>
        </w:rPr>
        <w:t>67</w:t>
      </w:r>
      <w:r w:rsidR="007B605D" w:rsidRPr="00EE1D0A">
        <w:rPr>
          <w:lang w:val="br-FR"/>
        </w:rPr>
        <w:t>.</w:t>
      </w:r>
      <w:r w:rsidR="007B605D" w:rsidRPr="00EE1D0A">
        <w:rPr>
          <w:lang w:val="br-FR"/>
        </w:rPr>
        <w:tab/>
        <w:t>настоятелно призовава за укрепването на административния и одитния капацитет на украинските органи, отговарящи за изпълнението, мониторинга, контрола и надзора на финансираните действия, по-специално за предотвратяването на измами, корупция, конфликти на интереси и нередности; отново заявява, че ЕИБ следва да има ясен и неограничен надзор по всяко време;</w:t>
      </w:r>
    </w:p>
    <w:p w:rsidR="007B605D" w:rsidRPr="00EE1D0A" w:rsidRDefault="00106567" w:rsidP="007B605D">
      <w:pPr>
        <w:pStyle w:val="NormalHanging12a"/>
        <w:rPr>
          <w:szCs w:val="24"/>
          <w:lang w:val="br-FR"/>
        </w:rPr>
      </w:pPr>
      <w:r>
        <w:rPr>
          <w:lang w:val="br-FR"/>
        </w:rPr>
        <w:t>68</w:t>
      </w:r>
      <w:r w:rsidR="007B605D" w:rsidRPr="00EE1D0A">
        <w:rPr>
          <w:lang w:val="br-FR"/>
        </w:rPr>
        <w:t>.</w:t>
      </w:r>
      <w:r w:rsidR="007B605D" w:rsidRPr="00EE1D0A">
        <w:rPr>
          <w:lang w:val="br-FR"/>
        </w:rPr>
        <w:tab/>
        <w:t>счита, че една по-голяма роля на ЕИБ ще донесе добавена стойност както за възстановяването на Украйна и процеса на разширяване, така и за бъдещите партньорства в рамките на програмата на Global Gateway и политиката на съседство на ЕС, както и в подкрепа на целите за устойчиво развитие; насърчава Комисията да оптимизира сътрудничеството си с ЕИБ, за да се засили стратегическата автономност на ЕС, особено по отношение на енергията и суровините;</w:t>
      </w:r>
    </w:p>
    <w:p w:rsidR="007B605D" w:rsidRPr="00EE1D0A" w:rsidRDefault="00106567" w:rsidP="007B605D">
      <w:pPr>
        <w:pStyle w:val="NormalHanging12a"/>
        <w:rPr>
          <w:lang w:val="br-FR"/>
        </w:rPr>
      </w:pPr>
      <w:r>
        <w:rPr>
          <w:lang w:val="br-FR"/>
        </w:rPr>
        <w:t>69</w:t>
      </w:r>
      <w:r w:rsidR="007B605D" w:rsidRPr="00EE1D0A">
        <w:rPr>
          <w:lang w:val="br-FR"/>
        </w:rPr>
        <w:t>.</w:t>
      </w:r>
      <w:r w:rsidR="007B605D" w:rsidRPr="00EE1D0A">
        <w:rPr>
          <w:lang w:val="br-FR"/>
        </w:rPr>
        <w:tab/>
        <w:t>приветства приемането през 2024 г. на инструмента за Украйна, който следва инициативата на ЕИБ „ЕС за Украйна“ (EU4U) и с който се създава механизъм за подкрепа въз основа на бюджетните ресурси на ЕС; насърчава държавите членки да гарантират, че на страната продължава да се предоставя солидна подкрепа в съответствие с нейните потребности;</w:t>
      </w:r>
    </w:p>
    <w:p w:rsidR="007B605D" w:rsidRPr="00EE1D0A" w:rsidRDefault="00106567" w:rsidP="007B605D">
      <w:pPr>
        <w:pStyle w:val="NormalHanging12a"/>
        <w:rPr>
          <w:rFonts w:eastAsiaTheme="minorEastAsia"/>
          <w:b/>
          <w:szCs w:val="24"/>
          <w:lang w:val="br-FR"/>
        </w:rPr>
      </w:pPr>
      <w:r>
        <w:rPr>
          <w:lang w:val="br-FR"/>
        </w:rPr>
        <w:t>70</w:t>
      </w:r>
      <w:r w:rsidR="007B605D" w:rsidRPr="00EE1D0A">
        <w:rPr>
          <w:lang w:val="br-FR"/>
        </w:rPr>
        <w:t>.</w:t>
      </w:r>
      <w:r w:rsidR="007B605D" w:rsidRPr="00EE1D0A">
        <w:rPr>
          <w:lang w:val="br-FR"/>
        </w:rPr>
        <w:tab/>
        <w:t xml:space="preserve">припомня, че от началото на конфликта с Русия през 2014 г. ЕИБ е създала кредитен портфейл в размер на над 7 милиарда евро в подкрепа на Украйна; подчертава, че към 31 декември 2023 г. експозициите на ЕИБ (изплатени и все </w:t>
      </w:r>
      <w:r w:rsidR="007B605D" w:rsidRPr="00EE1D0A">
        <w:rPr>
          <w:lang w:val="br-FR"/>
        </w:rPr>
        <w:lastRenderedPageBreak/>
        <w:t>още неизплатени) възлизат на 5,750 милиарда евро, като те са покрити предимно от гаранции на ЕС в рамките на мандата за външно кредитиране; отбелязва, че освен това Банката също така е предоставила финансови гаранции за експозиции към контрагенти, намиращи се в Украйна, напълно покрити от цялостни гаранции от ЕС, за договорена сума от 388,7 милиона евро в края на 2023 г. (в сравнение с 478,8 милиона евро в края на 2022 г.);</w:t>
      </w:r>
    </w:p>
    <w:p w:rsidR="007B605D" w:rsidRPr="00EE1D0A" w:rsidRDefault="00106567" w:rsidP="007B605D">
      <w:pPr>
        <w:pStyle w:val="NormalHanging12a"/>
        <w:rPr>
          <w:rFonts w:eastAsiaTheme="minorEastAsia"/>
          <w:szCs w:val="24"/>
          <w:lang w:val="br-FR"/>
        </w:rPr>
      </w:pPr>
      <w:r>
        <w:rPr>
          <w:lang w:val="br-FR"/>
        </w:rPr>
        <w:t>71</w:t>
      </w:r>
      <w:r w:rsidR="007B605D" w:rsidRPr="00EE1D0A">
        <w:rPr>
          <w:lang w:val="br-FR"/>
        </w:rPr>
        <w:t>.</w:t>
      </w:r>
      <w:r w:rsidR="007B605D" w:rsidRPr="00EE1D0A">
        <w:rPr>
          <w:lang w:val="br-FR"/>
        </w:rPr>
        <w:tab/>
        <w:t>отбелязва нарастващия финансов ангажимент на ЕИБ в Украйна; призовава Банката да предоставя редовни подробни актуализации на бюджетния орган и съответните одитни органи относно изплащането и усвояването на средствата, покрити от гаранции на ЕС;</w:t>
      </w:r>
    </w:p>
    <w:p w:rsidR="007B605D" w:rsidRPr="00EE1D0A" w:rsidRDefault="00106567" w:rsidP="007B605D">
      <w:pPr>
        <w:pStyle w:val="NormalHanging12a"/>
        <w:rPr>
          <w:rFonts w:eastAsiaTheme="minorEastAsia"/>
          <w:szCs w:val="24"/>
          <w:lang w:val="br-FR"/>
        </w:rPr>
      </w:pPr>
      <w:r>
        <w:rPr>
          <w:lang w:val="br-FR"/>
        </w:rPr>
        <w:t>72</w:t>
      </w:r>
      <w:r w:rsidR="007B605D" w:rsidRPr="00EE1D0A">
        <w:rPr>
          <w:lang w:val="br-FR"/>
        </w:rPr>
        <w:t>.</w:t>
      </w:r>
      <w:r w:rsidR="007B605D" w:rsidRPr="00EE1D0A">
        <w:rPr>
          <w:lang w:val="br-FR"/>
        </w:rPr>
        <w:tab/>
        <w:t>подчертава непропорционалното въздействие на агресивната война на Русия срещу Украйна върху източните региони на ЕС, граничещи с Русия и Беларус; обръща внимание на разходите, които понасят тези региони и държави членки вследствие на общата си граница с враждебни съседни държави, по-специално необходимостта да пренасочват все повече публични средства към сигурността, отбраната и подготвеността, като същевременно разполагат със силно намалени ресурси поради нарушаване на икономическите дейности, трансграничната търговия и други видове обмен, както и на програмите за сближаване; призовава ЕИБ да вземе това предвид в решенията си за финансиране;</w:t>
      </w:r>
    </w:p>
    <w:p w:rsidR="007B605D" w:rsidRPr="00EE1D0A" w:rsidRDefault="00106567" w:rsidP="007B605D">
      <w:pPr>
        <w:pStyle w:val="NormalHanging12a"/>
        <w:rPr>
          <w:b/>
          <w:lang w:val="br-FR"/>
        </w:rPr>
      </w:pPr>
      <w:r>
        <w:rPr>
          <w:lang w:val="br-FR"/>
        </w:rPr>
        <w:t>73</w:t>
      </w:r>
      <w:r w:rsidR="007B605D" w:rsidRPr="00EE1D0A">
        <w:rPr>
          <w:lang w:val="br-FR"/>
        </w:rPr>
        <w:t>.</w:t>
      </w:r>
      <w:r w:rsidR="007B605D" w:rsidRPr="00EE1D0A">
        <w:rPr>
          <w:lang w:val="br-FR"/>
        </w:rPr>
        <w:tab/>
        <w:t>приветства значителните инвестиции, направени в Молдова за подкрепа на икономическата устойчивост, подобряване на енергийната сигурност, подобряване на инфраструктурата и подпомагане на напредъка на страната към интеграция в ЕС; признава, че в Западните Балкани ЕИБ Глобал е инвестирал 1,2 милиарда евро и допълнителни 700 милиона евро за повишаване на пътната безопасност и подобряване на железопътните мрежи; приветства приемането на Инструмента за реформи и растеж за Западните Балкани през 2024 г. и на Инструмента за реформи и растеж за Молдова, одобрен от Европейския парламент;</w:t>
      </w:r>
    </w:p>
    <w:p w:rsidR="007B605D" w:rsidRPr="00EE1D0A" w:rsidRDefault="00106567" w:rsidP="007B605D">
      <w:pPr>
        <w:pStyle w:val="NormalHanging12a"/>
        <w:rPr>
          <w:lang w:val="br-FR"/>
        </w:rPr>
      </w:pPr>
      <w:r>
        <w:rPr>
          <w:lang w:val="br-FR"/>
        </w:rPr>
        <w:t>74</w:t>
      </w:r>
      <w:r w:rsidR="007B605D" w:rsidRPr="00EE1D0A">
        <w:rPr>
          <w:lang w:val="br-FR"/>
        </w:rPr>
        <w:t>.</w:t>
      </w:r>
      <w:r w:rsidR="007B605D" w:rsidRPr="00EE1D0A">
        <w:rPr>
          <w:lang w:val="br-FR"/>
        </w:rPr>
        <w:tab/>
        <w:t>признава ролята на ЕИБ в подкрепата на Западните Балкани по пътя им към членство в Съюза в съответствие с политиката на ЕС за разширяване; отбелязва, че ЕИБ Глобал е инвестирал 1,2 милиарда евро в Западните Балкани през 2023 г., мобилизирайки общо над 6 милиарда евро в инвестиции; отбелязва, че по-голямата част от финансирането е разпределено за устойчива свързаност, следвана от кредитни линии за МСП, инфраструктурни проекти в секторите на здравеопазването, образованието и уменията, както и водоснабдяването и канализацията;</w:t>
      </w:r>
    </w:p>
    <w:p w:rsidR="007B605D" w:rsidRPr="00EE1D0A" w:rsidRDefault="00106567" w:rsidP="007B605D">
      <w:pPr>
        <w:pStyle w:val="NormalHanging12a"/>
        <w:rPr>
          <w:lang w:val="br-FR"/>
        </w:rPr>
      </w:pPr>
      <w:r>
        <w:rPr>
          <w:lang w:val="br-FR"/>
        </w:rPr>
        <w:t>75</w:t>
      </w:r>
      <w:r w:rsidR="007B605D" w:rsidRPr="00EE1D0A">
        <w:rPr>
          <w:lang w:val="br-FR"/>
        </w:rPr>
        <w:t>.</w:t>
      </w:r>
      <w:r w:rsidR="007B605D" w:rsidRPr="00EE1D0A">
        <w:rPr>
          <w:lang w:val="br-FR"/>
        </w:rPr>
        <w:tab/>
        <w:t>изисква от ЕИБ да си сътрудничи с други двустранни и многостранни институции за разработване и прилагане на общи методики за анализ на въздействието върху развитието с оглед на осигуряването на добавена стойност и дългосрочно положително въздействие;</w:t>
      </w:r>
    </w:p>
    <w:p w:rsidR="007B605D" w:rsidRPr="00EE1D0A" w:rsidRDefault="007B605D" w:rsidP="007B605D">
      <w:pPr>
        <w:pStyle w:val="Normal12a24b"/>
        <w:spacing w:before="0"/>
        <w:rPr>
          <w:szCs w:val="24"/>
          <w:lang w:val="br-FR"/>
        </w:rPr>
      </w:pPr>
      <w:r w:rsidRPr="00EE1D0A">
        <w:rPr>
          <w:rStyle w:val="BoldItalic"/>
          <w:lang w:val="br-FR"/>
        </w:rPr>
        <w:t>Структура за отчетност на ЕИБ</w:t>
      </w:r>
    </w:p>
    <w:p w:rsidR="007B605D" w:rsidRPr="00EE1D0A" w:rsidRDefault="00106567" w:rsidP="007B605D">
      <w:pPr>
        <w:pStyle w:val="NormalHanging12a"/>
        <w:rPr>
          <w:szCs w:val="24"/>
          <w:lang w:val="br-FR"/>
        </w:rPr>
      </w:pPr>
      <w:r>
        <w:rPr>
          <w:lang w:val="br-FR"/>
        </w:rPr>
        <w:t>76</w:t>
      </w:r>
      <w:r w:rsidR="007B605D" w:rsidRPr="00EE1D0A">
        <w:rPr>
          <w:lang w:val="br-FR"/>
        </w:rPr>
        <w:t>.</w:t>
      </w:r>
      <w:r w:rsidR="007B605D" w:rsidRPr="00EE1D0A">
        <w:rPr>
          <w:lang w:val="br-FR"/>
        </w:rPr>
        <w:tab/>
        <w:t>припомня, че вътрешният надзор в ЕИБ се ръководи от Главния инспекторат (IG), който се състои от три отдела, свързани с отчетността – оценка на операциите, механизъм за подаване на жалби и разследване на измами; те имат допълващи се функции и допринасят за последователното разглеждане на твърдения и жалби;</w:t>
      </w:r>
    </w:p>
    <w:p w:rsidR="007B605D" w:rsidRPr="00EE1D0A" w:rsidRDefault="00106567" w:rsidP="007B605D">
      <w:pPr>
        <w:pStyle w:val="NormalHanging12a"/>
        <w:rPr>
          <w:szCs w:val="24"/>
          <w:lang w:val="br-FR"/>
        </w:rPr>
      </w:pPr>
      <w:r>
        <w:rPr>
          <w:lang w:val="br-FR"/>
        </w:rPr>
        <w:lastRenderedPageBreak/>
        <w:t>77</w:t>
      </w:r>
      <w:r w:rsidR="007B605D" w:rsidRPr="00EE1D0A">
        <w:rPr>
          <w:lang w:val="br-FR"/>
        </w:rPr>
        <w:t>.</w:t>
      </w:r>
      <w:r w:rsidR="007B605D" w:rsidRPr="00EE1D0A">
        <w:rPr>
          <w:lang w:val="br-FR"/>
        </w:rPr>
        <w:tab/>
        <w:t>отбелязва, че през 2023 г. механизмът на ЕИБ за подаване на жалби (EIB-CM) е разгледал общо 104 случая (през 2022 г. те са 97); отбелязва, че през 2023 г. са получени 60 нови жалби (54 през 2022 г.), от които 44 са счетени за допустими, а 29 са свързани с проекти, финансирани от ЕИБ, от които 27 са извън Европа;</w:t>
      </w:r>
    </w:p>
    <w:p w:rsidR="007B605D" w:rsidRPr="00EE1D0A" w:rsidRDefault="00106567" w:rsidP="007B605D">
      <w:pPr>
        <w:pStyle w:val="NormalHanging12a"/>
        <w:rPr>
          <w:szCs w:val="24"/>
          <w:lang w:val="br-FR"/>
        </w:rPr>
      </w:pPr>
      <w:r>
        <w:rPr>
          <w:lang w:val="br-FR"/>
        </w:rPr>
        <w:t>78</w:t>
      </w:r>
      <w:r w:rsidR="007B605D" w:rsidRPr="00EE1D0A">
        <w:rPr>
          <w:lang w:val="br-FR"/>
        </w:rPr>
        <w:t>.</w:t>
      </w:r>
      <w:r w:rsidR="007B605D" w:rsidRPr="00EE1D0A">
        <w:rPr>
          <w:lang w:val="br-FR"/>
        </w:rPr>
        <w:tab/>
        <w:t>отбелязва, че Комитетът на ЕИБ за жалби относно обществените поръчки е независимият комитет на ЕИБ, който разглежда жалби във връзка с процедури за възлагане на обществени поръчки по проекти, финансирани от ЕИБ извън ЕС;</w:t>
      </w:r>
    </w:p>
    <w:p w:rsidR="007B605D" w:rsidRPr="00EE1D0A" w:rsidRDefault="00106567" w:rsidP="007B605D">
      <w:pPr>
        <w:pStyle w:val="NormalHanging12a"/>
        <w:rPr>
          <w:szCs w:val="24"/>
          <w:lang w:val="br-FR"/>
        </w:rPr>
      </w:pPr>
      <w:r>
        <w:rPr>
          <w:lang w:val="br-FR"/>
        </w:rPr>
        <w:t>79</w:t>
      </w:r>
      <w:r w:rsidR="007B605D" w:rsidRPr="00EE1D0A">
        <w:rPr>
          <w:lang w:val="br-FR"/>
        </w:rPr>
        <w:t>.</w:t>
      </w:r>
      <w:r w:rsidR="007B605D" w:rsidRPr="00EE1D0A">
        <w:rPr>
          <w:lang w:val="br-FR"/>
        </w:rPr>
        <w:tab/>
        <w:t>приветства усилията на Отдела за разследване на измами (IG/IN) за сътрудничество и координиране на усилията с другите компоненти на структурата на ЕС за борба с измамите, по-специално с Европейската служба за борба с измамите (OLAF) и Европейската прокуратура, които са получили 37% от сезиранията за разследване, направени през 2023 г. (27 случая от общо 74); насърчава IG/IN да засили сътрудничеството си с всички компоненти на структурата на ЕС за борба с измамите;</w:t>
      </w:r>
    </w:p>
    <w:p w:rsidR="007B605D" w:rsidRPr="00EE1D0A" w:rsidRDefault="00106567" w:rsidP="007B605D">
      <w:pPr>
        <w:pStyle w:val="NormalHanging12a"/>
        <w:rPr>
          <w:b/>
          <w:szCs w:val="24"/>
          <w:lang w:val="br-FR"/>
        </w:rPr>
      </w:pPr>
      <w:r>
        <w:rPr>
          <w:lang w:val="br-FR"/>
        </w:rPr>
        <w:t>80</w:t>
      </w:r>
      <w:r w:rsidR="007B605D" w:rsidRPr="00EE1D0A">
        <w:rPr>
          <w:lang w:val="br-FR"/>
        </w:rPr>
        <w:t>.</w:t>
      </w:r>
      <w:r w:rsidR="007B605D" w:rsidRPr="00EE1D0A">
        <w:rPr>
          <w:lang w:val="br-FR"/>
        </w:rPr>
        <w:tab/>
        <w:t>отбелязва, че IG/IN извършва проактивни дейности за разкриване на измами, като използва инструмента за оценяване на риска от измами и почтеност (Fraud and Integrity Risk Scoring Tool) и робота за риска от корупция при обществените поръчки (Corruption Risk In Procurement robot), и че в хода на 24 проверки, осъществени през 2023 г., са набелязани цели за три пълни и задълбочени проактивни проверки на почтеността; приканва Банката да оцени как тези цифрови инструменти биха могли да бъдат допълнително подобрени, за да подкрепят прозрачността и финансовата отчетност;</w:t>
      </w:r>
    </w:p>
    <w:p w:rsidR="007B605D" w:rsidRPr="00EE1D0A" w:rsidRDefault="00106567" w:rsidP="007B605D">
      <w:pPr>
        <w:pStyle w:val="NormalHanging12a"/>
        <w:rPr>
          <w:szCs w:val="24"/>
          <w:lang w:val="br-FR"/>
        </w:rPr>
      </w:pPr>
      <w:r>
        <w:rPr>
          <w:lang w:val="br-FR"/>
        </w:rPr>
        <w:t>81</w:t>
      </w:r>
      <w:r w:rsidR="007B605D" w:rsidRPr="00EE1D0A">
        <w:rPr>
          <w:lang w:val="br-FR"/>
        </w:rPr>
        <w:t>.</w:t>
      </w:r>
      <w:r w:rsidR="007B605D" w:rsidRPr="00EE1D0A">
        <w:rPr>
          <w:lang w:val="br-FR"/>
        </w:rPr>
        <w:tab/>
        <w:t>изразява съжаление, че въпреки многократните призиви от страна на Парламента годишният доклад на IG/IN не предоставя адекватна информация относно финансовия размер на разглежданите случаи, засегнатите средства или мандати, видовете засегнати проекти, приетите смекчаващи мерки, ролята на службите на ЕИБ и на посредниците или партньорите в случаите, нито дори относно засегнатите държави членки; приканва представителите на IG/IN да повишат равнището на ангажираност, взаимодействия и прозрачност с Парламента, особено по отношение на контрола на финансовите дейности; отново призовава IG/IN да не се ограничава само до обикновено описание на няколко случая и да предоставя периодично ценна информация за степента на защита на финансовите интереси; предлага IG/IN да приеме модел за докладване, подобен на използвания от други разследващи органи като Европейската прокуратура и OLAF, при който се преследва подходящ баланс между прозрачност и задължение за поверителност или професионална тайна;</w:t>
      </w:r>
    </w:p>
    <w:p w:rsidR="007B605D" w:rsidRPr="00EE1D0A" w:rsidRDefault="00106567" w:rsidP="007B605D">
      <w:pPr>
        <w:pStyle w:val="NormalHanging12a"/>
        <w:rPr>
          <w:szCs w:val="24"/>
          <w:lang w:val="br-FR"/>
        </w:rPr>
      </w:pPr>
      <w:r>
        <w:rPr>
          <w:lang w:val="br-FR"/>
        </w:rPr>
        <w:t>82</w:t>
      </w:r>
      <w:r w:rsidR="007B605D" w:rsidRPr="00EE1D0A">
        <w:rPr>
          <w:lang w:val="br-FR"/>
        </w:rPr>
        <w:t>.</w:t>
      </w:r>
      <w:r w:rsidR="007B605D" w:rsidRPr="00EE1D0A">
        <w:rPr>
          <w:lang w:val="br-FR"/>
        </w:rPr>
        <w:tab/>
        <w:t>съзнава, че политиката на ЕИБ за изключване предвижда самостоятелен процес на изключване, който не е напълно равностоен на системата на Комисията за ранно откриване и отстраняване по отношение на стандартите за вземане на решения, резултатите и средствата за правна защита; отново призовава групата на ЕИБ и Комисията да си сътрудничат при установяването на потенциалните пропуски и предлагането на коригиращи мерки, включително ускорена процедура за изпълнение на решенията на ЕИБ за изключване чрез системата за ранно откриване и отстраняване; отбелязва, че през 2023 г. процедурите за изключване въз основа на констатации на IG/IN са довели до изключването на пет дружества от участие във финансирани от ЕИБ дейности за период от пет години;</w:t>
      </w:r>
    </w:p>
    <w:p w:rsidR="007B605D" w:rsidRPr="00EE1D0A" w:rsidRDefault="00106567" w:rsidP="007B605D">
      <w:pPr>
        <w:pStyle w:val="NormalHanging12a"/>
        <w:rPr>
          <w:szCs w:val="24"/>
          <w:lang w:val="br-FR"/>
        </w:rPr>
      </w:pPr>
      <w:r>
        <w:rPr>
          <w:lang w:val="br-FR"/>
        </w:rPr>
        <w:lastRenderedPageBreak/>
        <w:t>83</w:t>
      </w:r>
      <w:r w:rsidR="007B605D" w:rsidRPr="00EE1D0A">
        <w:rPr>
          <w:lang w:val="br-FR"/>
        </w:rPr>
        <w:t>.</w:t>
      </w:r>
      <w:r w:rsidR="007B605D" w:rsidRPr="00EE1D0A">
        <w:rPr>
          <w:lang w:val="br-FR"/>
        </w:rPr>
        <w:tab/>
        <w:t>приветства одобряването през 2023 г. на политика на групата на ЕИБ относно рамка за вътрешен контрол; признава резултатите от процеса на групово привеждане в съответствие между ЕИБ и ЕИФ доколкото те отразяват различните бизнес модели и структури на управление на двата субекта; посочва по-конкретно забележките на Одитния комитет, че вътрешният одит и рамката за вътрешен контрол следва да бъдат трансформирани във функции на групата;</w:t>
      </w:r>
    </w:p>
    <w:p w:rsidR="007B605D" w:rsidRPr="00EE1D0A" w:rsidRDefault="00106567" w:rsidP="007B605D">
      <w:pPr>
        <w:pStyle w:val="NormalHanging12a"/>
        <w:rPr>
          <w:szCs w:val="24"/>
          <w:lang w:val="br-FR"/>
        </w:rPr>
      </w:pPr>
      <w:r>
        <w:rPr>
          <w:lang w:val="br-FR"/>
        </w:rPr>
        <w:t>84</w:t>
      </w:r>
      <w:r w:rsidR="007B605D" w:rsidRPr="00EE1D0A">
        <w:rPr>
          <w:lang w:val="br-FR"/>
        </w:rPr>
        <w:t>.</w:t>
      </w:r>
      <w:r w:rsidR="007B605D" w:rsidRPr="00EE1D0A">
        <w:rPr>
          <w:lang w:val="br-FR"/>
        </w:rPr>
        <w:tab/>
        <w:t>отбелязва, че независимият външен одитор на ЕИБ е третата линия на защита; изтъква, че редовната ротация на одиторите и задачите дава възможност за нови перспективи, и поради това отбелязва, че външният одитор на ЕИБ следва да се сменя периодично, но мандатът му е бил удължен до 2027 г. и той е одитор на групата на ЕИБ от 2009 г.;</w:t>
      </w:r>
    </w:p>
    <w:p w:rsidR="007B605D" w:rsidRPr="00EE1D0A" w:rsidRDefault="00106567" w:rsidP="007B605D">
      <w:pPr>
        <w:pStyle w:val="NormalHanging12a"/>
        <w:rPr>
          <w:szCs w:val="24"/>
          <w:lang w:val="br-FR"/>
        </w:rPr>
      </w:pPr>
      <w:r>
        <w:rPr>
          <w:lang w:val="br-FR"/>
        </w:rPr>
        <w:t>85</w:t>
      </w:r>
      <w:r w:rsidR="007B605D" w:rsidRPr="00EE1D0A">
        <w:rPr>
          <w:lang w:val="br-FR"/>
        </w:rPr>
        <w:t>.</w:t>
      </w:r>
      <w:r w:rsidR="007B605D" w:rsidRPr="00EE1D0A">
        <w:rPr>
          <w:lang w:val="br-FR"/>
        </w:rPr>
        <w:tab/>
        <w:t>оценява факта, че рамката на групата на ЕИБ за управление на риска и шестмесечните ѝ доклади относно оповестяването на информация за управлението на риска са ефективни и приведени в съответствие с изискванията и техническите стандарти на Европейския банков орган;</w:t>
      </w:r>
    </w:p>
    <w:p w:rsidR="007B605D" w:rsidRPr="00EE1D0A" w:rsidRDefault="00106567" w:rsidP="007B605D">
      <w:pPr>
        <w:pStyle w:val="NormalHanging12a"/>
        <w:rPr>
          <w:szCs w:val="24"/>
          <w:lang w:val="br-FR"/>
        </w:rPr>
      </w:pPr>
      <w:r>
        <w:rPr>
          <w:lang w:val="br-FR"/>
        </w:rPr>
        <w:t>86</w:t>
      </w:r>
      <w:r w:rsidR="007B605D" w:rsidRPr="00EE1D0A">
        <w:rPr>
          <w:lang w:val="br-FR"/>
        </w:rPr>
        <w:t>.</w:t>
      </w:r>
      <w:r w:rsidR="007B605D" w:rsidRPr="00EE1D0A">
        <w:rPr>
          <w:lang w:val="br-FR"/>
        </w:rPr>
        <w:tab/>
        <w:t>подчертава, че през 2023 г. въпреки трудните пазарни условия портфейлът на ЕИБ е продължил да показва много ниски равнища на необслужвани експозиции (NPE); счита, че дори и ако значителна част от кредитния портфейл на Банката се възползва от кредитни подобрения или от гаранции от държавите – членки на ЕС, високото качество на портфейла на ЕИБ е резултат от старателното прилагане на високоефективни политики на ЕИБ за кредитиране;</w:t>
      </w:r>
    </w:p>
    <w:p w:rsidR="007B605D" w:rsidRPr="00EE1D0A" w:rsidRDefault="00106567" w:rsidP="007B605D">
      <w:pPr>
        <w:pStyle w:val="NormalHanging12a"/>
        <w:rPr>
          <w:szCs w:val="24"/>
          <w:lang w:val="br-FR"/>
        </w:rPr>
      </w:pPr>
      <w:r>
        <w:rPr>
          <w:lang w:val="br-FR"/>
        </w:rPr>
        <w:t>87</w:t>
      </w:r>
      <w:r w:rsidR="007B605D" w:rsidRPr="00EE1D0A">
        <w:rPr>
          <w:lang w:val="br-FR"/>
        </w:rPr>
        <w:t>.</w:t>
      </w:r>
      <w:r w:rsidR="007B605D" w:rsidRPr="00EE1D0A">
        <w:rPr>
          <w:lang w:val="br-FR"/>
        </w:rPr>
        <w:tab/>
        <w:t>подчертава, че ЕИБ не попада в обхвата на прилагане на законодателството на ЕС, приложимо към кредитните институции, по-специално Регламента</w:t>
      </w:r>
      <w:r w:rsidR="007B605D" w:rsidRPr="00EE1D0A">
        <w:rPr>
          <w:rStyle w:val="FootnoteReference"/>
          <w:szCs w:val="24"/>
          <w:lang w:val="br-FR"/>
        </w:rPr>
        <w:footnoteReference w:id="6"/>
      </w:r>
      <w:r w:rsidR="007B605D" w:rsidRPr="00EE1D0A">
        <w:rPr>
          <w:lang w:val="br-FR"/>
        </w:rPr>
        <w:t xml:space="preserve"> и Директивата</w:t>
      </w:r>
      <w:r w:rsidR="007B605D" w:rsidRPr="00EE1D0A">
        <w:rPr>
          <w:rStyle w:val="FootnoteReference"/>
          <w:szCs w:val="24"/>
          <w:lang w:val="br-FR"/>
        </w:rPr>
        <w:footnoteReference w:id="7"/>
      </w:r>
      <w:r w:rsidR="007B605D" w:rsidRPr="00EE1D0A">
        <w:rPr>
          <w:lang w:val="br-FR"/>
        </w:rPr>
        <w:t xml:space="preserve"> за капиталовите изисквания (РКИ, ДКИ), поради което Банката има право да определя своите капиталови изисквания и изисквания за ликвидност по начин, който е адекватен и подходящ за нейните дейности, нейната мисия и пазарните условия; посочва, че групата на ЕИБ се ангажира да спазва най-добрите банкови и пазарни практики и може да определя тяхната приложимост в съответствие с принципа на пропорционалност; подчертава, че прилагането на тези норми не следва да създава неоправдана тежест; приветства факта, че групата на ЕИБ доброволно е извършила процеса на преглед и оценка; посочва, че това следва да бъде в съответствие със структурата на управление и мисията на ЕИБ;</w:t>
      </w:r>
    </w:p>
    <w:p w:rsidR="007B605D" w:rsidRPr="00EE1D0A" w:rsidRDefault="00106567" w:rsidP="007B605D">
      <w:pPr>
        <w:pStyle w:val="NormalHanging12a"/>
        <w:rPr>
          <w:szCs w:val="24"/>
          <w:lang w:val="br-FR"/>
        </w:rPr>
      </w:pPr>
      <w:r>
        <w:rPr>
          <w:lang w:val="br-FR"/>
        </w:rPr>
        <w:t>88</w:t>
      </w:r>
      <w:r w:rsidR="007B605D" w:rsidRPr="00EE1D0A">
        <w:rPr>
          <w:lang w:val="br-FR"/>
        </w:rPr>
        <w:t>.</w:t>
      </w:r>
      <w:r w:rsidR="007B605D" w:rsidRPr="00EE1D0A">
        <w:rPr>
          <w:lang w:val="br-FR"/>
        </w:rPr>
        <w:tab/>
        <w:t xml:space="preserve">разбира, че в съответствие с променящите се нужди на ЕС, през 2024 г. институциите на ЕС са одобрили предложената от Съвета на гуверньорите на ЕИБ промяна в устава чрез изменение на законоустановения лимит на коефициента на </w:t>
      </w:r>
      <w:r w:rsidR="007B605D" w:rsidRPr="00EE1D0A">
        <w:rPr>
          <w:lang w:val="br-FR"/>
        </w:rPr>
        <w:lastRenderedPageBreak/>
        <w:t>задлъжнялост</w:t>
      </w:r>
      <w:r w:rsidR="007B605D" w:rsidRPr="00EE1D0A">
        <w:rPr>
          <w:rStyle w:val="FootnoteReference"/>
          <w:szCs w:val="24"/>
          <w:lang w:val="br-FR"/>
        </w:rPr>
        <w:footnoteReference w:id="8"/>
      </w:r>
      <w:r w:rsidR="007B605D" w:rsidRPr="00EE1D0A">
        <w:rPr>
          <w:lang w:val="br-FR"/>
        </w:rPr>
        <w:t xml:space="preserve"> и увеличаването му от 250 на 290%, за да се даде възможност на ЕИБ да инвестира повече, без да увеличава капиталовата си база;</w:t>
      </w:r>
    </w:p>
    <w:p w:rsidR="007B605D" w:rsidRPr="00EE1D0A" w:rsidRDefault="00106567" w:rsidP="007B605D">
      <w:pPr>
        <w:pStyle w:val="NormalHanging12a"/>
        <w:rPr>
          <w:szCs w:val="24"/>
          <w:lang w:val="br-FR"/>
        </w:rPr>
      </w:pPr>
      <w:r>
        <w:rPr>
          <w:lang w:val="br-FR"/>
        </w:rPr>
        <w:t>89</w:t>
      </w:r>
      <w:r w:rsidR="007B605D" w:rsidRPr="00EE1D0A">
        <w:rPr>
          <w:lang w:val="br-FR"/>
        </w:rPr>
        <w:t>.</w:t>
      </w:r>
      <w:r w:rsidR="007B605D" w:rsidRPr="00EE1D0A">
        <w:rPr>
          <w:lang w:val="br-FR"/>
        </w:rPr>
        <w:tab/>
        <w:t>отбелязва, че измененият коефициент на задлъжнялост създава условия за поемане на по-голям риск; признава, че инвестициите в енергия от възобновяеми източници, устойчива инфраструктура и иновативни технологии са от решаващо значение за конкурентоспособността на ЕС, но често носят по-голям риск поради несигурност на възвръщаемостта; посочва, че поемането на по-голям риск може да увеличи нестабилността на възвръщаемостта на ЕИБ, но отбелязва, че ЕИБ поддържа капиталови буфери, които биха подкрепили разширените рискови дейности;</w:t>
      </w:r>
    </w:p>
    <w:p w:rsidR="007B605D" w:rsidRPr="00EE1D0A" w:rsidRDefault="00106567" w:rsidP="007B605D">
      <w:pPr>
        <w:pStyle w:val="NormalHanging12a"/>
        <w:rPr>
          <w:szCs w:val="24"/>
          <w:lang w:val="br-FR"/>
        </w:rPr>
      </w:pPr>
      <w:r>
        <w:rPr>
          <w:lang w:val="br-FR"/>
        </w:rPr>
        <w:t>90</w:t>
      </w:r>
      <w:r w:rsidR="007B605D" w:rsidRPr="00EE1D0A">
        <w:rPr>
          <w:lang w:val="br-FR"/>
        </w:rPr>
        <w:t>.</w:t>
      </w:r>
      <w:r w:rsidR="007B605D" w:rsidRPr="00EE1D0A">
        <w:rPr>
          <w:lang w:val="br-FR"/>
        </w:rPr>
        <w:tab/>
        <w:t>изразява тревога относно ситуацията с Northvolt AB, производител на акумулаторни батерии, считан за ключов в екологичния преход; подчертава, че Northvolt се е възползвал от значителен пакет от заеми от ЕИБ в размер на малко над 942,6 милиона евро като част от дълговото финансиране за разширяване на гигафабриката; отбелязва, че Northvolt е поискал откриване на процедура за обявяване в несъстоятелност през март 2025 г.; призовава ЕИБ да предостави подробности относно процеса на оценка и вземане на решение за финансиране на Northvolt AB и причините, довели до провала на проекта;</w:t>
      </w:r>
    </w:p>
    <w:p w:rsidR="007B605D" w:rsidRPr="00EE1D0A" w:rsidRDefault="00106567" w:rsidP="007B605D">
      <w:pPr>
        <w:pStyle w:val="NormalHanging12a"/>
        <w:rPr>
          <w:szCs w:val="24"/>
          <w:lang w:val="br-FR"/>
        </w:rPr>
      </w:pPr>
      <w:r>
        <w:rPr>
          <w:lang w:val="br-FR"/>
        </w:rPr>
        <w:t>91</w:t>
      </w:r>
      <w:r w:rsidR="007B605D" w:rsidRPr="00EE1D0A">
        <w:rPr>
          <w:lang w:val="br-FR"/>
        </w:rPr>
        <w:t>.</w:t>
      </w:r>
      <w:r w:rsidR="007B605D" w:rsidRPr="00EE1D0A">
        <w:rPr>
          <w:lang w:val="br-FR"/>
        </w:rPr>
        <w:tab/>
        <w:t>подчертава, че се е очаквало разширяването на гигафабриката да увеличи годишния производствен капацитет за производството на акумулаторни батерии и че това е било от стратегическо значение за конкурентоспособността в световен мащаби и в съответствие със стратегиите на ЕС в сектора;</w:t>
      </w:r>
    </w:p>
    <w:p w:rsidR="007B605D" w:rsidRPr="00EE1D0A" w:rsidRDefault="00106567" w:rsidP="007B605D">
      <w:pPr>
        <w:pStyle w:val="NormalHanging12a"/>
        <w:rPr>
          <w:szCs w:val="24"/>
          <w:lang w:val="br-FR"/>
        </w:rPr>
      </w:pPr>
      <w:r>
        <w:rPr>
          <w:lang w:val="br-FR"/>
        </w:rPr>
        <w:t>92</w:t>
      </w:r>
      <w:r w:rsidR="007B605D" w:rsidRPr="00EE1D0A">
        <w:rPr>
          <w:lang w:val="br-FR"/>
        </w:rPr>
        <w:t>.</w:t>
      </w:r>
      <w:r w:rsidR="007B605D" w:rsidRPr="00EE1D0A">
        <w:rPr>
          <w:lang w:val="br-FR"/>
        </w:rPr>
        <w:tab/>
        <w:t>призовава Комисията и Съвета на директорите на ЕИБ да започнат задълбочена вътрешна проверка без ненужно забавяне, за да установят финансовите щети, причините и предпоставките за неуспеха на този водещ проект и да извлекат поуки от този опит, за да предотвратят повтарянето на подобна ситуация или да позволят ранното ѝ откриване;</w:t>
      </w:r>
    </w:p>
    <w:p w:rsidR="007B605D" w:rsidRPr="00EE1D0A" w:rsidRDefault="00106567" w:rsidP="007B605D">
      <w:pPr>
        <w:pStyle w:val="NormalHanging12a"/>
        <w:rPr>
          <w:szCs w:val="24"/>
          <w:lang w:val="br-FR"/>
        </w:rPr>
      </w:pPr>
      <w:r>
        <w:rPr>
          <w:lang w:val="br-FR"/>
        </w:rPr>
        <w:t>93</w:t>
      </w:r>
      <w:r w:rsidR="007B605D" w:rsidRPr="00EE1D0A">
        <w:rPr>
          <w:lang w:val="br-FR"/>
        </w:rPr>
        <w:t>.</w:t>
      </w:r>
      <w:r w:rsidR="007B605D" w:rsidRPr="00EE1D0A">
        <w:rPr>
          <w:lang w:val="br-FR"/>
        </w:rPr>
        <w:tab/>
        <w:t>поддържа становището, че най-голямата добавена стойност на подкрепата от ЕС се състои в насърчаването на по-рискови инвестиции в иновативни проекти, разширяването на стратегическите цели на ЕС и предоставянето на възможности за дългосрочни проекти за преход, които не могат да получат финансиране от частния сектор; счита, че за да се постигнат ефективно целите на програмата InvestEU в областта на иновациите и конкурентоспособността, тя следва да се съсредоточи върху финансиране на по-рискови и по-силно насочени към разширяване на мащаба инвестиции, а групата на ЕИБ следва да поема повече и по-големи рискови проекти, които следва да включват предимно и приоритетно европейски инвеститори, съчетавайки по-ориентирано към поемане на риска използване на ресурсите на InvestEU с подобен акцент върху използването на собствените финансови ресурси на групата на ЕИБ; настоятелно призовава ЕИБ да въведе по-строги условия, за да се предотврати използването на публично финансиране от ЕС за субсидиране на дружества, преместващи производството извън Европа, като се гарантира, че всички финансирани от ЕИБ проекти допринасят за дългосрочната европейска промишлена устойчивост;</w:t>
      </w:r>
    </w:p>
    <w:p w:rsidR="007B605D" w:rsidRPr="00EE1D0A" w:rsidRDefault="00106567" w:rsidP="007B605D">
      <w:pPr>
        <w:pStyle w:val="NormalHanging12a"/>
        <w:rPr>
          <w:szCs w:val="24"/>
          <w:lang w:val="br-FR"/>
        </w:rPr>
      </w:pPr>
      <w:r>
        <w:rPr>
          <w:lang w:val="br-FR"/>
        </w:rPr>
        <w:lastRenderedPageBreak/>
        <w:t>94</w:t>
      </w:r>
      <w:r w:rsidR="007B605D" w:rsidRPr="00EE1D0A">
        <w:rPr>
          <w:lang w:val="br-FR"/>
        </w:rPr>
        <w:t>.</w:t>
      </w:r>
      <w:r w:rsidR="007B605D" w:rsidRPr="00EE1D0A">
        <w:rPr>
          <w:lang w:val="br-FR"/>
        </w:rPr>
        <w:tab/>
        <w:t>съзнава, че членовете на Управителния комитет на ЕИБ често са държавни служители в своите държави на произход, преди да започнат мандата си в ЕИБ, който обикновено продължава от две до шест години, и че следователно те имат право да се възползват от възможностите за професионално развитие при определени условия по време на периода на прекъсване (който е удължен до 24 месеца след края на мандата им в ЕИБ); отбелязва, че членовете на Управителния комитет се приканват да информират Комитета по етика и вътрешен контрол и да поискат одобрение във възможно най-кратък срок за всички преговори относно бъдещата заетост;</w:t>
      </w:r>
    </w:p>
    <w:p w:rsidR="007B605D" w:rsidRPr="00EE1D0A" w:rsidRDefault="00106567" w:rsidP="007B605D">
      <w:pPr>
        <w:pStyle w:val="NormalHanging12a"/>
        <w:rPr>
          <w:szCs w:val="24"/>
          <w:lang w:val="br-FR"/>
        </w:rPr>
      </w:pPr>
      <w:r>
        <w:rPr>
          <w:lang w:val="br-FR"/>
        </w:rPr>
        <w:t>95</w:t>
      </w:r>
      <w:r w:rsidR="007B605D" w:rsidRPr="00EE1D0A">
        <w:rPr>
          <w:lang w:val="br-FR"/>
        </w:rPr>
        <w:t>.</w:t>
      </w:r>
      <w:r w:rsidR="007B605D" w:rsidRPr="00EE1D0A">
        <w:rPr>
          <w:lang w:val="br-FR"/>
        </w:rPr>
        <w:tab/>
        <w:t>решително споделя многократните призиви на Парламента за укрепване на механизма за предотвратяване на конфликти на интереси в ЕИБ и за подобряване на разглеждането на такива случаи, както и за по-добро определяне на условията, при които заместник-председателите на ЕИБ могат да участват във вземането на решения относно операциите в техните държави на произход, и настоява тези въпроси да бъдат разгледани при бъдещото преразглеждане на кодекса за поведение на Управителния комитет;</w:t>
      </w:r>
    </w:p>
    <w:p w:rsidR="007B605D" w:rsidRPr="00EE1D0A" w:rsidRDefault="00106567" w:rsidP="007B605D">
      <w:pPr>
        <w:pStyle w:val="NormalHanging12a"/>
        <w:rPr>
          <w:szCs w:val="24"/>
          <w:lang w:val="br-FR"/>
        </w:rPr>
      </w:pPr>
      <w:r>
        <w:rPr>
          <w:lang w:val="br-FR"/>
        </w:rPr>
        <w:t>96</w:t>
      </w:r>
      <w:r w:rsidR="007B605D" w:rsidRPr="00EE1D0A">
        <w:rPr>
          <w:lang w:val="br-FR"/>
        </w:rPr>
        <w:t>.</w:t>
      </w:r>
      <w:r w:rsidR="007B605D" w:rsidRPr="00EE1D0A">
        <w:rPr>
          <w:lang w:val="br-FR"/>
        </w:rPr>
        <w:tab/>
        <w:t>подчертава, че на 31 октомври 2023 г. Европейският омбудсман постанови по дело 611/2022/KR, че бивш заместник-председател е участвал в одобряването на споразумения за финансиране между ЕИБ и национална насърчителна банка</w:t>
      </w:r>
      <w:r w:rsidR="007B605D" w:rsidRPr="00EE1D0A">
        <w:rPr>
          <w:vertAlign w:val="superscript"/>
          <w:lang w:val="br-FR"/>
        </w:rPr>
        <w:footnoteReference w:id="9"/>
      </w:r>
      <w:r w:rsidR="007B605D" w:rsidRPr="00EE1D0A">
        <w:rPr>
          <w:lang w:val="br-FR"/>
        </w:rPr>
        <w:t xml:space="preserve"> в своята държава на произход само седмици преди да стане главен изпълнителен директор на тази национална насърчителна банка, въпреки че директорът по проверка на съответствието на ЕИБ е изразил становище срещу подобни действия по време на процеса по назначаване; разбира, че този случай предшества влизането в сила на настоящия кодекс за поведение на Управителния комитет, който вече включва специфични разпоредби относно бъдещото наемане на работа на неговите членове; отбелязва, че в рамките на бъдещия преглед на правилата, приложими за нейния Комитет по етика и вътрешен контрол, ЕИБ се ангажира да разгледа препоръката на Европейския омбудсман за публично оповестяване на решенията на Комитета;</w:t>
      </w:r>
    </w:p>
    <w:p w:rsidR="007B605D" w:rsidRPr="00EE1D0A" w:rsidRDefault="00106567" w:rsidP="007B605D">
      <w:pPr>
        <w:pStyle w:val="NormalHanging12a"/>
        <w:rPr>
          <w:szCs w:val="24"/>
          <w:lang w:val="br-FR"/>
        </w:rPr>
      </w:pPr>
      <w:r>
        <w:rPr>
          <w:lang w:val="br-FR"/>
        </w:rPr>
        <w:t>97</w:t>
      </w:r>
      <w:r w:rsidR="007B605D" w:rsidRPr="00EE1D0A">
        <w:rPr>
          <w:lang w:val="br-FR"/>
        </w:rPr>
        <w:t>.</w:t>
      </w:r>
      <w:r w:rsidR="007B605D" w:rsidRPr="00EE1D0A">
        <w:rPr>
          <w:lang w:val="br-FR"/>
        </w:rPr>
        <w:tab/>
        <w:t>отбелязва, че смекчаващите мерки, като например заделянето на средства и периодите на прекъсване, са най-често използваните предпазни клаузи при разглеждането на случай на кадрова въртележка между държавния и частния сектор, и разбира, че подобни мерки се прилагат и спазват от членовете на Управителния комитет, включително тези, за които наскоро беше съобщено в медиите;</w:t>
      </w:r>
    </w:p>
    <w:p w:rsidR="007B605D" w:rsidRPr="00EE1D0A" w:rsidRDefault="00106567" w:rsidP="007B605D">
      <w:pPr>
        <w:pStyle w:val="NormalHanging12a"/>
        <w:rPr>
          <w:szCs w:val="24"/>
          <w:lang w:val="br-FR"/>
        </w:rPr>
      </w:pPr>
      <w:r>
        <w:rPr>
          <w:lang w:val="br-FR"/>
        </w:rPr>
        <w:t>98</w:t>
      </w:r>
      <w:r w:rsidR="007B605D" w:rsidRPr="00EE1D0A">
        <w:rPr>
          <w:lang w:val="br-FR"/>
        </w:rPr>
        <w:t>.</w:t>
      </w:r>
      <w:r w:rsidR="007B605D" w:rsidRPr="00EE1D0A">
        <w:rPr>
          <w:lang w:val="br-FR"/>
        </w:rPr>
        <w:tab/>
        <w:t>споделя становището на Eвропейския омбудсман, че ролята на Комитета по етика и вътрешен контрол на ЕИБ следва да бъде засилена, когато става въпрос за надзор на планираните нови работни места на членове на Управителния комитет, и че той следва да може да налага и прилага мерки за намаляване на риска; разбира, че ролята на Комитета по етика и вътрешен контрол се е засилила през последните години и че продължават вътрешните дискусии относно това как да се повиши неговата ефективност;</w:t>
      </w:r>
    </w:p>
    <w:p w:rsidR="007B605D" w:rsidRPr="00EE1D0A" w:rsidRDefault="00106567" w:rsidP="007B605D">
      <w:pPr>
        <w:pStyle w:val="NormalHanging12a"/>
        <w:rPr>
          <w:szCs w:val="24"/>
          <w:lang w:val="br-FR"/>
        </w:rPr>
      </w:pPr>
      <w:r>
        <w:rPr>
          <w:lang w:val="br-FR"/>
        </w:rPr>
        <w:t>99</w:t>
      </w:r>
      <w:r w:rsidR="007B605D" w:rsidRPr="00EE1D0A">
        <w:rPr>
          <w:lang w:val="br-FR"/>
        </w:rPr>
        <w:t>.</w:t>
      </w:r>
      <w:r w:rsidR="007B605D" w:rsidRPr="00EE1D0A">
        <w:rPr>
          <w:lang w:val="br-FR"/>
        </w:rPr>
        <w:tab/>
        <w:t xml:space="preserve">приканва Банката да насърчи участието на европейски дружества в процесите на възлагане на обществени поръчки, обявени за финансирани от ЕИБ проекти; </w:t>
      </w:r>
      <w:r w:rsidR="007B605D" w:rsidRPr="00EE1D0A">
        <w:rPr>
          <w:lang w:val="br-FR"/>
        </w:rPr>
        <w:lastRenderedPageBreak/>
        <w:t>насърчава Банката да съветва кредитополучателите да дадат приоритет на допустимостта на европейски дружества, за да се засили европейската конкурентоспособност;</w:t>
      </w:r>
    </w:p>
    <w:p w:rsidR="007B605D" w:rsidRPr="00EE1D0A" w:rsidRDefault="00106567" w:rsidP="007B605D">
      <w:pPr>
        <w:pStyle w:val="NormalHanging12a"/>
        <w:rPr>
          <w:szCs w:val="24"/>
          <w:lang w:val="br-FR"/>
        </w:rPr>
      </w:pPr>
      <w:r>
        <w:rPr>
          <w:lang w:val="br-FR"/>
        </w:rPr>
        <w:t>100</w:t>
      </w:r>
      <w:r w:rsidR="007B605D" w:rsidRPr="00EE1D0A">
        <w:rPr>
          <w:lang w:val="br-FR"/>
        </w:rPr>
        <w:t>.</w:t>
      </w:r>
      <w:r w:rsidR="007B605D" w:rsidRPr="00EE1D0A">
        <w:rPr>
          <w:lang w:val="br-FR"/>
        </w:rPr>
        <w:tab/>
        <w:t>отново призовава ЕИБ да гарантира подходящо географско представителство, включително на средно и висше управленско равнище, и я призовава да публикува годишна разбивка по пол и националност на средните и висшите ръководни длъжности;</w:t>
      </w:r>
    </w:p>
    <w:p w:rsidR="007B605D" w:rsidRPr="00EE1D0A" w:rsidRDefault="007B605D" w:rsidP="007B605D">
      <w:pPr>
        <w:pStyle w:val="Normal12a24b"/>
        <w:spacing w:before="0"/>
        <w:rPr>
          <w:szCs w:val="24"/>
          <w:lang w:val="br-FR"/>
        </w:rPr>
      </w:pPr>
      <w:r w:rsidRPr="00EE1D0A">
        <w:rPr>
          <w:rStyle w:val="BoldItalic"/>
          <w:lang w:val="br-FR"/>
        </w:rPr>
        <w:t>Контрол, прозрачност и надзор</w:t>
      </w:r>
    </w:p>
    <w:p w:rsidR="007B605D" w:rsidRPr="00EE1D0A" w:rsidRDefault="00106567" w:rsidP="007B605D">
      <w:pPr>
        <w:pStyle w:val="NormalHanging12a"/>
        <w:rPr>
          <w:szCs w:val="24"/>
          <w:lang w:val="br-FR"/>
        </w:rPr>
      </w:pPr>
      <w:r>
        <w:rPr>
          <w:lang w:val="br-FR"/>
        </w:rPr>
        <w:t>101</w:t>
      </w:r>
      <w:r w:rsidR="007B605D" w:rsidRPr="00EE1D0A">
        <w:rPr>
          <w:lang w:val="br-FR"/>
        </w:rPr>
        <w:t>.</w:t>
      </w:r>
      <w:r w:rsidR="007B605D" w:rsidRPr="00EE1D0A">
        <w:rPr>
          <w:lang w:val="br-FR"/>
        </w:rPr>
        <w:tab/>
        <w:t xml:space="preserve"> изразява дълбоко съжаление във връзка с факта, че Европейската сметна палата (ЕСП) все още няма пълен достъп до всички данни, свързани с операциите на ЕИБ; признава, че не всички дейности на ЕИБ се финансират пряко от ЕС и следователно не всички дейности са автоматично достъпни за ЕСП; настоява, че ЕСП следва да има достъп до необходимата информация за цялостна и изчерпателна оценка на всички операции на ЕИБ, включващи средства от ЕС, включително тези, извършвани чрез финансови посредници, предназначени за изпълнение на политиките на ЕС; призовава ЕСП да упражнява цялостен контрол, в рамките на своите способности, върху всички операции, включващи в някаква степен бюджета на ЕС;</w:t>
      </w:r>
    </w:p>
    <w:p w:rsidR="007B605D" w:rsidRPr="00EE1D0A" w:rsidRDefault="00106567" w:rsidP="007B605D">
      <w:pPr>
        <w:pStyle w:val="NormalHanging12a"/>
        <w:rPr>
          <w:szCs w:val="24"/>
          <w:lang w:val="br-FR"/>
        </w:rPr>
      </w:pPr>
      <w:r>
        <w:rPr>
          <w:lang w:val="br-FR"/>
        </w:rPr>
        <w:t>102</w:t>
      </w:r>
      <w:r w:rsidR="007B605D" w:rsidRPr="00EE1D0A">
        <w:rPr>
          <w:lang w:val="br-FR"/>
        </w:rPr>
        <w:t>.</w:t>
      </w:r>
      <w:r w:rsidR="007B605D" w:rsidRPr="00EE1D0A">
        <w:rPr>
          <w:lang w:val="br-FR"/>
        </w:rPr>
        <w:tab/>
        <w:t>отбелязва, че основните задачи, свързани с одита, са поверени на Одитния комитет на ЕИБ, който е напълно независим орган; счита, че участието на квалифицирани външни представители в конкретни задачи на Одитния комитет би могло да повиши обективността на анализите на Одитния комитет;</w:t>
      </w:r>
    </w:p>
    <w:p w:rsidR="007B605D" w:rsidRPr="00EE1D0A" w:rsidRDefault="00106567" w:rsidP="007B605D">
      <w:pPr>
        <w:pStyle w:val="NormalHanging12a"/>
        <w:rPr>
          <w:szCs w:val="24"/>
          <w:lang w:val="br-FR"/>
        </w:rPr>
      </w:pPr>
      <w:r>
        <w:rPr>
          <w:lang w:val="br-FR"/>
        </w:rPr>
        <w:t>103</w:t>
      </w:r>
      <w:r w:rsidR="007B605D" w:rsidRPr="00EE1D0A">
        <w:rPr>
          <w:lang w:val="br-FR"/>
        </w:rPr>
        <w:t>.</w:t>
      </w:r>
      <w:r w:rsidR="007B605D" w:rsidRPr="00EE1D0A">
        <w:rPr>
          <w:lang w:val="br-FR"/>
        </w:rPr>
        <w:tab/>
        <w:t>отбелязва, че политиката на ЕИБ за прозрачност е компромис между принципа на откритост и необходимостта от защита на чувствителна информация; отбелязва, че в нея се посочва коя информация следва да се публикува проактивно и кога – например резюметата на проектите следва да се публикуват най-малко три седмици, преди финансирането на проекта да бъде разгледано за одобрение от Съвета на директорите на ЕИБ – и се определят съответните дерогации; призовава тези резюмета да предоставят съдържателна информация на заинтересованите страни;</w:t>
      </w:r>
    </w:p>
    <w:p w:rsidR="007B605D" w:rsidRPr="00EE1D0A" w:rsidRDefault="00106567" w:rsidP="007B605D">
      <w:pPr>
        <w:pStyle w:val="NormalHanging12a"/>
        <w:rPr>
          <w:szCs w:val="24"/>
          <w:lang w:val="br-FR"/>
        </w:rPr>
      </w:pPr>
      <w:r>
        <w:rPr>
          <w:lang w:val="br-FR"/>
        </w:rPr>
        <w:t>104</w:t>
      </w:r>
      <w:r w:rsidR="007B605D" w:rsidRPr="00EE1D0A">
        <w:rPr>
          <w:lang w:val="br-FR"/>
        </w:rPr>
        <w:t>.</w:t>
      </w:r>
      <w:r w:rsidR="007B605D" w:rsidRPr="00EE1D0A">
        <w:rPr>
          <w:lang w:val="br-FR"/>
        </w:rPr>
        <w:tab/>
        <w:t>отбелязва, че през 2023 г. Съветът на директорите на ЕИБ е одобрил 449 проекта и че почти всички (94%) резюмета на проекти са били публикувани, в по-голямата част от случаите (57%) преди одобряването им; отбелязва, че всички операции на ЕИБ, извършвани чрез финансови посредници, се публикуват на уебсайта на ЕИБ и че ЕИБ предоставя подробна информация при поискване;</w:t>
      </w:r>
    </w:p>
    <w:p w:rsidR="007B605D" w:rsidRPr="00EE1D0A" w:rsidRDefault="00106567" w:rsidP="007B605D">
      <w:pPr>
        <w:pStyle w:val="NormalHanging12a"/>
        <w:rPr>
          <w:szCs w:val="24"/>
          <w:lang w:val="br-FR"/>
        </w:rPr>
      </w:pPr>
      <w:r>
        <w:rPr>
          <w:lang w:val="br-FR"/>
        </w:rPr>
        <w:t>105</w:t>
      </w:r>
      <w:r w:rsidR="007B605D" w:rsidRPr="00EE1D0A">
        <w:rPr>
          <w:lang w:val="br-FR"/>
        </w:rPr>
        <w:t>.</w:t>
      </w:r>
      <w:r w:rsidR="007B605D" w:rsidRPr="00EE1D0A">
        <w:rPr>
          <w:lang w:val="br-FR"/>
        </w:rPr>
        <w:tab/>
        <w:t xml:space="preserve">припомня, че всички документи на ЕИБ са достъпни за обществеността в съответствие с презумпцията в полза на оповестяването; подчертава, че всички заявители следва да бъдат предварително информирани относно публичния достъп до документите и че всички откази следва да се основават единствено на определените изключения; подчертава, че ЕИБ следва да обмисли възможността да публикува своевременно информация относно обосновката и контекста на проектите, както и обяснението на тяхното съответствие и принос към целите на политиката на ЕС; призовава ЕИБ систематично да публикува резултатите от одита на най-големите си финансови операции, като гарантира независим контрол на своето управление на риска и оценки на въздействието; очаква ЕИБ да </w:t>
      </w:r>
      <w:r w:rsidR="007B605D" w:rsidRPr="00EE1D0A">
        <w:rPr>
          <w:lang w:val="br-FR"/>
        </w:rPr>
        <w:lastRenderedPageBreak/>
        <w:t>ограничи неоповестяването до приложимите изключения, изброени в Регламент (ЕО) № 1049/2001</w:t>
      </w:r>
      <w:r w:rsidR="007B605D" w:rsidRPr="00EE1D0A">
        <w:rPr>
          <w:rStyle w:val="FootnoteReference"/>
          <w:szCs w:val="24"/>
          <w:lang w:val="br-FR"/>
        </w:rPr>
        <w:footnoteReference w:id="10"/>
      </w:r>
      <w:r w:rsidR="007B605D" w:rsidRPr="00EE1D0A">
        <w:rPr>
          <w:lang w:val="br-FR"/>
        </w:rPr>
        <w:t xml:space="preserve"> и Регламент (ЕО) № 1367/2006</w:t>
      </w:r>
      <w:r w:rsidR="007B605D" w:rsidRPr="00EE1D0A">
        <w:rPr>
          <w:rStyle w:val="FootnoteReference"/>
          <w:szCs w:val="24"/>
          <w:lang w:val="br-FR"/>
        </w:rPr>
        <w:footnoteReference w:id="11"/>
      </w:r>
      <w:r w:rsidR="007B605D" w:rsidRPr="00EE1D0A">
        <w:rPr>
          <w:lang w:val="br-FR"/>
        </w:rPr>
        <w:t>; призовава за пълното изпълнение на препоръките на Омбудсмана, отправени вследствие на неговите проверки относно политиката на ЕИБ за оповестяване на информация и свързаните с тях искания за достъп до документи;</w:t>
      </w:r>
    </w:p>
    <w:p w:rsidR="007B605D" w:rsidRPr="00EE1D0A" w:rsidRDefault="00106567" w:rsidP="007B605D">
      <w:pPr>
        <w:pStyle w:val="NormalHanging12a"/>
        <w:rPr>
          <w:lang w:val="br-FR"/>
        </w:rPr>
      </w:pPr>
      <w:r>
        <w:rPr>
          <w:lang w:val="br-FR"/>
        </w:rPr>
        <w:t>106</w:t>
      </w:r>
      <w:r w:rsidR="007B605D" w:rsidRPr="00EE1D0A">
        <w:rPr>
          <w:lang w:val="br-FR"/>
        </w:rPr>
        <w:t>.</w:t>
      </w:r>
      <w:r w:rsidR="007B605D" w:rsidRPr="00EE1D0A">
        <w:rPr>
          <w:lang w:val="br-FR"/>
        </w:rPr>
        <w:tab/>
        <w:t>припомня, че всички получатели на финансиране от ЕС имат общо задължение да признаят неговия произход и да гарантират видимостта на всяко получено финансиране от ЕС; призовава групата на ЕИБ да гарантира, че крайните получатели спазват критериите за видимост на финансовата подкрепа от ЕС;</w:t>
      </w:r>
    </w:p>
    <w:p w:rsidR="007B605D" w:rsidRPr="00EE1D0A" w:rsidRDefault="00106567" w:rsidP="007B605D">
      <w:pPr>
        <w:pStyle w:val="NormalHanging12a"/>
        <w:rPr>
          <w:szCs w:val="24"/>
          <w:lang w:val="br-FR"/>
        </w:rPr>
      </w:pPr>
      <w:r>
        <w:rPr>
          <w:lang w:val="br-FR"/>
        </w:rPr>
        <w:t>107</w:t>
      </w:r>
      <w:r w:rsidR="007B605D" w:rsidRPr="00EE1D0A">
        <w:rPr>
          <w:lang w:val="br-FR"/>
        </w:rPr>
        <w:t>.</w:t>
      </w:r>
      <w:r w:rsidR="007B605D" w:rsidRPr="00EE1D0A">
        <w:rPr>
          <w:lang w:val="br-FR"/>
        </w:rPr>
        <w:tab/>
        <w:t>подчертава, че Банката работи за намаляване на времето, необходимо за привеждането на един продукт от концепцията до наличността на пазара (време до пускане на пазара), като напълно цифровизира своите проектни цикли; призовава Банката да засили усилията си за цифровизация на своите операции;</w:t>
      </w:r>
    </w:p>
    <w:p w:rsidR="007B605D" w:rsidRPr="00EE1D0A" w:rsidRDefault="00F2634F" w:rsidP="007B605D">
      <w:pPr>
        <w:pStyle w:val="NormalHanging12a"/>
        <w:rPr>
          <w:szCs w:val="24"/>
          <w:lang w:val="br-FR"/>
        </w:rPr>
      </w:pPr>
      <w:r>
        <w:rPr>
          <w:lang w:val="br-FR"/>
        </w:rPr>
        <w:t>108.</w:t>
      </w:r>
      <w:r w:rsidR="007B605D" w:rsidRPr="00EE1D0A">
        <w:rPr>
          <w:lang w:val="br-FR"/>
        </w:rPr>
        <w:tab/>
        <w:t>отново призовава ЕИБ да укрепи и изцяло да приложи политиката си относно данъчните измами, отклонението от данъчно облагане и избягването на данъци, включително като се въздържа от финансиране на бенефициери или финансови посредници, за които е установено, че са участвали или са изложени на висок риск да участват в такива практики;</w:t>
      </w:r>
    </w:p>
    <w:p w:rsidR="007B605D" w:rsidRPr="00EE1D0A" w:rsidRDefault="00106567" w:rsidP="007B605D">
      <w:pPr>
        <w:pStyle w:val="NormalHanging12a"/>
        <w:rPr>
          <w:szCs w:val="24"/>
          <w:lang w:val="br-FR"/>
        </w:rPr>
      </w:pPr>
      <w:r>
        <w:rPr>
          <w:lang w:val="br-FR"/>
        </w:rPr>
        <w:t>10</w:t>
      </w:r>
      <w:r w:rsidR="00F2634F">
        <w:t>9</w:t>
      </w:r>
      <w:r w:rsidR="007B605D" w:rsidRPr="00EE1D0A">
        <w:rPr>
          <w:lang w:val="br-FR"/>
        </w:rPr>
        <w:t>.</w:t>
      </w:r>
      <w:r w:rsidR="007B605D" w:rsidRPr="00EE1D0A">
        <w:rPr>
          <w:lang w:val="br-FR"/>
        </w:rPr>
        <w:tab/>
        <w:t>отново заявява, че приемането на меморандум за сътрудничество би допринесло за по-структуриран диалог между Парламента и ЕИБ; във връзка с това приветства безпрецедентното сътрудничество на ЕИБ с Парламента при изготвянето на настоящата резолюция, като отбелязва, че то е осезаем израз на откритост и прозрачност;</w:t>
      </w:r>
    </w:p>
    <w:p w:rsidR="007B605D" w:rsidRPr="00EE1D0A" w:rsidRDefault="007B605D" w:rsidP="007B605D">
      <w:pPr>
        <w:pStyle w:val="Normal12a24b"/>
        <w:spacing w:before="0"/>
        <w:rPr>
          <w:szCs w:val="24"/>
          <w:lang w:val="br-FR"/>
        </w:rPr>
      </w:pPr>
      <w:r w:rsidRPr="00EE1D0A">
        <w:rPr>
          <w:rStyle w:val="BoldItalic"/>
          <w:lang w:val="br-FR"/>
        </w:rPr>
        <w:t>Последващи действия във връзка с препоръките на Парламента</w:t>
      </w:r>
    </w:p>
    <w:p w:rsidR="007B605D" w:rsidRPr="00EE1D0A" w:rsidRDefault="00106567" w:rsidP="007B605D">
      <w:pPr>
        <w:pStyle w:val="NormalHanging12a"/>
        <w:rPr>
          <w:szCs w:val="24"/>
          <w:lang w:val="br-FR"/>
        </w:rPr>
      </w:pPr>
      <w:r>
        <w:rPr>
          <w:lang w:val="br-FR"/>
        </w:rPr>
        <w:t>1</w:t>
      </w:r>
      <w:r w:rsidR="00F2634F">
        <w:t>1</w:t>
      </w:r>
      <w:r>
        <w:rPr>
          <w:lang w:val="br-FR"/>
        </w:rPr>
        <w:t>0</w:t>
      </w:r>
      <w:r w:rsidR="007B605D" w:rsidRPr="00EE1D0A">
        <w:rPr>
          <w:lang w:val="br-FR"/>
        </w:rPr>
        <w:t>.</w:t>
      </w:r>
      <w:r w:rsidR="007B605D" w:rsidRPr="00EE1D0A">
        <w:rPr>
          <w:lang w:val="br-FR"/>
        </w:rPr>
        <w:tab/>
        <w:t>настоятелно призовава ЕИБ да продължи да докладва за състоянието на отправените от Парламента предишни препоръки, особено по отношение на постигнатите резултати и въздействието на действията, предприети за изпълнение на нейните приоритети и политиките на ЕС, особено що се отнася до:</w:t>
      </w:r>
    </w:p>
    <w:p w:rsidR="007B605D" w:rsidRPr="00EE1D0A" w:rsidRDefault="007B605D" w:rsidP="00CB6FEE">
      <w:pPr>
        <w:pStyle w:val="NormalHanging12a"/>
        <w:ind w:left="1134"/>
        <w:rPr>
          <w:szCs w:val="24"/>
          <w:lang w:val="br-FR"/>
        </w:rPr>
      </w:pPr>
      <w:r w:rsidRPr="00EE1D0A">
        <w:rPr>
          <w:lang w:val="br-FR"/>
        </w:rPr>
        <w:t xml:space="preserve">а) </w:t>
      </w:r>
      <w:r w:rsidR="009E4946" w:rsidRPr="00EE1D0A">
        <w:rPr>
          <w:lang w:val="br-FR"/>
        </w:rPr>
        <w:tab/>
      </w:r>
      <w:r w:rsidRPr="00EE1D0A">
        <w:rPr>
          <w:lang w:val="br-FR"/>
        </w:rPr>
        <w:t>въздействието (икономическо, екологично и социално) на нейната инвестиционна стратегия и постигнатите резултати, за да се допринесе за балансираното и стабилно развитие на вътрешния пазар в интерес на Съюза;</w:t>
      </w:r>
    </w:p>
    <w:p w:rsidR="007B605D" w:rsidRPr="00EE1D0A" w:rsidRDefault="007B605D" w:rsidP="00CB6FEE">
      <w:pPr>
        <w:pStyle w:val="NormalHanging12a"/>
        <w:ind w:left="1134"/>
        <w:rPr>
          <w:szCs w:val="24"/>
          <w:lang w:val="br-FR"/>
        </w:rPr>
      </w:pPr>
      <w:r w:rsidRPr="00EE1D0A">
        <w:rPr>
          <w:lang w:val="br-FR"/>
        </w:rPr>
        <w:lastRenderedPageBreak/>
        <w:t xml:space="preserve">б) </w:t>
      </w:r>
      <w:r w:rsidR="009E4946" w:rsidRPr="00EE1D0A">
        <w:rPr>
          <w:lang w:val="br-FR"/>
        </w:rPr>
        <w:tab/>
      </w:r>
      <w:r w:rsidRPr="00EE1D0A">
        <w:rPr>
          <w:lang w:val="br-FR"/>
        </w:rPr>
        <w:t>действията, приети за засилване на предотвратяването и противодействието на конфликти на интереси, измами, корупция и други потенциални форми на неправомерно поведение;</w:t>
      </w:r>
    </w:p>
    <w:p w:rsidR="007B605D" w:rsidRPr="00EE1D0A" w:rsidRDefault="007B605D" w:rsidP="00CB6FEE">
      <w:pPr>
        <w:pStyle w:val="NormalHanging12a"/>
        <w:ind w:left="1134"/>
        <w:rPr>
          <w:szCs w:val="24"/>
          <w:lang w:val="br-FR"/>
        </w:rPr>
      </w:pPr>
      <w:r w:rsidRPr="00EE1D0A">
        <w:rPr>
          <w:lang w:val="br-FR"/>
        </w:rPr>
        <w:t xml:space="preserve">в) </w:t>
      </w:r>
      <w:r w:rsidR="009E4946" w:rsidRPr="00EE1D0A">
        <w:rPr>
          <w:lang w:val="br-FR"/>
        </w:rPr>
        <w:tab/>
      </w:r>
      <w:r w:rsidRPr="00EE1D0A">
        <w:rPr>
          <w:lang w:val="br-FR"/>
        </w:rPr>
        <w:t>новите мерки за засилване на прозрачността;</w:t>
      </w:r>
    </w:p>
    <w:p w:rsidR="007B605D" w:rsidRPr="00EE1D0A" w:rsidRDefault="007B605D" w:rsidP="00CB6FEE">
      <w:pPr>
        <w:pStyle w:val="NormalHanging12a"/>
        <w:ind w:left="1134"/>
        <w:rPr>
          <w:szCs w:val="24"/>
          <w:lang w:val="br-FR"/>
        </w:rPr>
      </w:pPr>
      <w:r w:rsidRPr="00EE1D0A">
        <w:rPr>
          <w:lang w:val="br-FR"/>
        </w:rPr>
        <w:t xml:space="preserve">г) </w:t>
      </w:r>
      <w:r w:rsidR="009E4946" w:rsidRPr="00EE1D0A">
        <w:rPr>
          <w:lang w:val="br-FR"/>
        </w:rPr>
        <w:tab/>
      </w:r>
      <w:r w:rsidRPr="00EE1D0A">
        <w:rPr>
          <w:lang w:val="br-FR"/>
        </w:rPr>
        <w:t>мерките за засилване на подкрепата за МСП и отговарящите на условията икономически оператори по време на изпълнението на политиките на ЕС;</w:t>
      </w:r>
    </w:p>
    <w:p w:rsidR="007B605D" w:rsidRDefault="007B605D" w:rsidP="00CB6FEE">
      <w:pPr>
        <w:pStyle w:val="NormalHanging12a"/>
        <w:ind w:left="1134"/>
        <w:rPr>
          <w:snapToGrid/>
          <w:lang w:val="br-FR" w:eastAsia="en-GB"/>
        </w:rPr>
      </w:pPr>
      <w:r w:rsidRPr="00EE1D0A">
        <w:rPr>
          <w:lang w:val="br-FR"/>
        </w:rPr>
        <w:t xml:space="preserve">д) </w:t>
      </w:r>
      <w:r w:rsidR="009E4946" w:rsidRPr="00EE1D0A">
        <w:rPr>
          <w:lang w:val="br-FR"/>
        </w:rPr>
        <w:tab/>
      </w:r>
      <w:r w:rsidRPr="00EE1D0A">
        <w:rPr>
          <w:lang w:val="br-FR"/>
        </w:rPr>
        <w:t>последващите действия във връзка с призивите и исканията, приети чрез настоящата резолюция;</w:t>
      </w:r>
    </w:p>
    <w:p w:rsidR="00CB6FEE" w:rsidRDefault="00CB6FEE" w:rsidP="00CB6FEE">
      <w:pPr>
        <w:pStyle w:val="NormalHanging12a"/>
        <w:ind w:left="0" w:firstLine="0"/>
        <w:jc w:val="center"/>
        <w:rPr>
          <w:szCs w:val="24"/>
          <w:lang w:val="br-FR"/>
        </w:rPr>
      </w:pPr>
      <w:r>
        <w:rPr>
          <w:szCs w:val="24"/>
          <w:lang w:val="br-FR"/>
        </w:rPr>
        <w:t>°</w:t>
      </w:r>
    </w:p>
    <w:p w:rsidR="00CB6FEE" w:rsidRDefault="00CB6FEE" w:rsidP="00CB6FEE">
      <w:pPr>
        <w:pStyle w:val="NormalHanging12a"/>
        <w:ind w:left="0" w:firstLine="0"/>
        <w:jc w:val="center"/>
        <w:rPr>
          <w:szCs w:val="24"/>
          <w:lang w:val="br-FR"/>
        </w:rPr>
      </w:pPr>
      <w:r>
        <w:rPr>
          <w:szCs w:val="24"/>
          <w:lang w:val="br-FR"/>
        </w:rPr>
        <w:t>°     °</w:t>
      </w:r>
    </w:p>
    <w:p w:rsidR="00C748AA" w:rsidRPr="00EE1D0A" w:rsidRDefault="00106567" w:rsidP="00C748AA">
      <w:pPr>
        <w:pStyle w:val="NormalHanging12a"/>
        <w:ind w:left="560" w:hanging="560"/>
        <w:rPr>
          <w:lang w:val="br-FR"/>
        </w:rPr>
      </w:pPr>
      <w:r>
        <w:rPr>
          <w:lang w:val="br-FR"/>
        </w:rPr>
        <w:t>11</w:t>
      </w:r>
      <w:r w:rsidR="00F2634F">
        <w:t>1</w:t>
      </w:r>
      <w:bookmarkStart w:id="7" w:name="_GoBack"/>
      <w:bookmarkEnd w:id="7"/>
      <w:r w:rsidR="007B605D" w:rsidRPr="00EE1D0A">
        <w:rPr>
          <w:lang w:val="br-FR"/>
        </w:rPr>
        <w:t>.</w:t>
      </w:r>
      <w:r w:rsidR="007B605D" w:rsidRPr="00EE1D0A">
        <w:rPr>
          <w:lang w:val="br-FR"/>
        </w:rPr>
        <w:tab/>
        <w:t>възлага на своя председател да предаде настоящата резолюция съответно на Съвета и на Комисията и отправя искане Съветът и Съветът на директорите на ЕИБ да обсъдят представените в настоящия документ позиции на Парламента.</w:t>
      </w:r>
    </w:p>
    <w:p w:rsidR="00E365E1" w:rsidRPr="00EE1D0A" w:rsidRDefault="00E365E1" w:rsidP="007B605D">
      <w:pPr>
        <w:rPr>
          <w:lang w:val="br-FR"/>
        </w:rPr>
      </w:pPr>
    </w:p>
    <w:sectPr w:rsidR="00E365E1" w:rsidRPr="00EE1D0A" w:rsidSect="00C748A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93A" w:rsidRPr="00C748AA" w:rsidRDefault="00BC793A">
      <w:r w:rsidRPr="00C748AA">
        <w:separator/>
      </w:r>
    </w:p>
  </w:endnote>
  <w:endnote w:type="continuationSeparator" w:id="0">
    <w:p w:rsidR="00BC793A" w:rsidRPr="00C748AA" w:rsidRDefault="00BC793A">
      <w:r w:rsidRPr="00C748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93A" w:rsidRPr="00C748AA" w:rsidRDefault="00BC793A">
      <w:r w:rsidRPr="00C748AA">
        <w:separator/>
      </w:r>
    </w:p>
  </w:footnote>
  <w:footnote w:type="continuationSeparator" w:id="0">
    <w:p w:rsidR="00BC793A" w:rsidRPr="00C748AA" w:rsidRDefault="00BC793A">
      <w:r w:rsidRPr="00C748AA">
        <w:continuationSeparator/>
      </w:r>
    </w:p>
  </w:footnote>
  <w:footnote w:id="1">
    <w:p w:rsidR="007B605D" w:rsidRPr="00EE1D0A" w:rsidRDefault="007B605D" w:rsidP="00C748AA">
      <w:pPr>
        <w:pStyle w:val="FootnoteText"/>
        <w:ind w:left="567" w:hanging="567"/>
        <w:rPr>
          <w:sz w:val="24"/>
          <w:lang w:val="bg-BG"/>
        </w:rPr>
      </w:pPr>
      <w:r w:rsidRPr="00EE1D0A">
        <w:rPr>
          <w:rStyle w:val="FootnoteReference"/>
          <w:sz w:val="24"/>
          <w:lang w:val="bg-BG"/>
        </w:rPr>
        <w:footnoteRef/>
      </w:r>
      <w:r w:rsidR="00C748AA" w:rsidRPr="00EE1D0A">
        <w:rPr>
          <w:sz w:val="24"/>
          <w:lang w:val="bg-BG"/>
        </w:rPr>
        <w:t xml:space="preserve"> </w:t>
      </w:r>
      <w:r w:rsidR="00C748AA" w:rsidRPr="00EE1D0A">
        <w:rPr>
          <w:sz w:val="24"/>
          <w:lang w:val="bg-BG"/>
        </w:rPr>
        <w:tab/>
      </w:r>
      <w:r w:rsidRPr="00EE1D0A">
        <w:rPr>
          <w:sz w:val="24"/>
          <w:lang w:val="bg-BG"/>
        </w:rPr>
        <w:t>Draghi, M., The future of European competitiveness (</w:t>
      </w:r>
      <w:r w:rsidR="009E4946" w:rsidRPr="00EE1D0A">
        <w:rPr>
          <w:sz w:val="24"/>
          <w:lang w:val="bg-BG"/>
        </w:rPr>
        <w:t xml:space="preserve">М. Драги, </w:t>
      </w:r>
      <w:r w:rsidRPr="00EE1D0A">
        <w:rPr>
          <w:sz w:val="24"/>
          <w:lang w:val="bg-BG"/>
        </w:rPr>
        <w:t>„Бъдещето на европейската конкурентоспособност“), септември 2024 г.</w:t>
      </w:r>
    </w:p>
  </w:footnote>
  <w:footnote w:id="2">
    <w:p w:rsidR="00EE1D0A" w:rsidRPr="00CB6FEE" w:rsidRDefault="00EE1D0A" w:rsidP="000E7086">
      <w:pPr>
        <w:pStyle w:val="FootnoteText"/>
        <w:ind w:left="567" w:hanging="567"/>
        <w:rPr>
          <w:lang w:val="bg-BG"/>
        </w:rPr>
      </w:pPr>
      <w:r w:rsidRPr="00EE1D0A">
        <w:rPr>
          <w:rStyle w:val="FootnoteReference"/>
          <w:lang w:val="bg-BG"/>
        </w:rPr>
        <w:footnoteRef/>
      </w:r>
      <w:r w:rsidRPr="00EE1D0A">
        <w:rPr>
          <w:lang w:val="bg-BG"/>
        </w:rPr>
        <w:t xml:space="preserve"> </w:t>
      </w:r>
      <w:r w:rsidRPr="00CB6FEE">
        <w:rPr>
          <w:sz w:val="24"/>
          <w:szCs w:val="24"/>
          <w:lang w:val="bg-BG"/>
        </w:rPr>
        <w:tab/>
        <w:t>Регламент (ЕО) № 1049/2001 на Европейския парламент и на Съвета от 30 май 2001 г. относно публичния достъп до документи на Европейския парл</w:t>
      </w:r>
      <w:r w:rsidRPr="00EE1D0A">
        <w:rPr>
          <w:sz w:val="24"/>
          <w:szCs w:val="24"/>
          <w:lang w:val="bg-BG"/>
        </w:rPr>
        <w:t>амент, на Съвета и на Комисията</w:t>
      </w:r>
      <w:r w:rsidRPr="00CB6FEE">
        <w:rPr>
          <w:sz w:val="24"/>
          <w:szCs w:val="24"/>
          <w:lang w:val="bg-BG"/>
        </w:rPr>
        <w:t xml:space="preserve"> </w:t>
      </w:r>
      <w:r w:rsidRPr="00EE1D0A">
        <w:rPr>
          <w:sz w:val="24"/>
          <w:szCs w:val="24"/>
          <w:lang w:val="bg-BG"/>
        </w:rPr>
        <w:t>(</w:t>
      </w:r>
      <w:r w:rsidRPr="00CB6FEE">
        <w:rPr>
          <w:sz w:val="24"/>
          <w:szCs w:val="24"/>
          <w:lang w:val="bg-BG"/>
        </w:rPr>
        <w:t>OВ L 145, 31.5.2001 г., стр. 43, ELI: http://data.europa.eu/eli/reg/2001/1049/oj</w:t>
      </w:r>
      <w:r w:rsidRPr="00EE1D0A">
        <w:rPr>
          <w:sz w:val="24"/>
          <w:szCs w:val="24"/>
          <w:lang w:val="bg-BG"/>
        </w:rPr>
        <w:t>)</w:t>
      </w:r>
      <w:r w:rsidRPr="00CB6FEE">
        <w:rPr>
          <w:sz w:val="24"/>
          <w:szCs w:val="24"/>
          <w:lang w:val="bg-BG"/>
        </w:rPr>
        <w:t>.</w:t>
      </w:r>
    </w:p>
  </w:footnote>
  <w:footnote w:id="3">
    <w:p w:rsidR="007B605D" w:rsidRPr="00EE1D0A" w:rsidRDefault="007B605D" w:rsidP="00C748AA">
      <w:pPr>
        <w:pStyle w:val="FootnoteText"/>
        <w:ind w:left="567" w:hanging="567"/>
        <w:rPr>
          <w:sz w:val="24"/>
          <w:lang w:val="bg-BG"/>
        </w:rPr>
      </w:pPr>
      <w:r w:rsidRPr="00EE1D0A">
        <w:rPr>
          <w:rStyle w:val="FootnoteReference"/>
          <w:sz w:val="24"/>
          <w:lang w:val="bg-BG"/>
        </w:rPr>
        <w:footnoteRef/>
      </w:r>
      <w:r w:rsidR="00C748AA" w:rsidRPr="00EE1D0A">
        <w:rPr>
          <w:sz w:val="24"/>
          <w:lang w:val="bg-BG"/>
        </w:rPr>
        <w:t xml:space="preserve"> </w:t>
      </w:r>
      <w:r w:rsidR="00C748AA" w:rsidRPr="00EE1D0A">
        <w:rPr>
          <w:sz w:val="24"/>
          <w:lang w:val="bg-BG"/>
        </w:rPr>
        <w:tab/>
      </w:r>
      <w:r w:rsidRPr="00EE1D0A">
        <w:rPr>
          <w:sz w:val="24"/>
          <w:lang w:val="bg-BG"/>
        </w:rPr>
        <w:t xml:space="preserve">Регламент (ЕС) 2021/523 на Европейския парламент и на Съвета от 24 март 2021 г. за създаване на програмата InvestEU и за изменение на Регламент (ЕС) 2015/1017 </w:t>
      </w:r>
      <w:r w:rsidR="009E4946" w:rsidRPr="00EE1D0A">
        <w:rPr>
          <w:sz w:val="24"/>
          <w:lang w:val="bg-BG"/>
        </w:rPr>
        <w:t>(</w:t>
      </w:r>
      <w:r w:rsidRPr="00EE1D0A">
        <w:rPr>
          <w:sz w:val="24"/>
          <w:lang w:val="bg-BG"/>
        </w:rPr>
        <w:t>ОВ L 107, 26.3.2021 г., стр. 30, ELI: </w:t>
      </w:r>
      <w:hyperlink r:id="rId1" w:history="1">
        <w:r w:rsidRPr="00EE1D0A">
          <w:rPr>
            <w:rStyle w:val="Hyperlink"/>
            <w:sz w:val="24"/>
            <w:lang w:val="bg-BG"/>
          </w:rPr>
          <w:t>http://data.europa.eu/eli/reg/2021/523/oj</w:t>
        </w:r>
      </w:hyperlink>
      <w:r w:rsidR="009E4946" w:rsidRPr="00EE1D0A">
        <w:rPr>
          <w:rStyle w:val="Hyperlink"/>
          <w:sz w:val="24"/>
          <w:lang w:val="bg-BG"/>
        </w:rPr>
        <w:t>)</w:t>
      </w:r>
      <w:r w:rsidRPr="00EE1D0A">
        <w:rPr>
          <w:sz w:val="24"/>
          <w:lang w:val="bg-BG"/>
        </w:rPr>
        <w:t>.</w:t>
      </w:r>
    </w:p>
  </w:footnote>
  <w:footnote w:id="4">
    <w:p w:rsidR="00EE1D0A" w:rsidRPr="00CB6FEE" w:rsidRDefault="00EE1D0A" w:rsidP="00CB6FEE">
      <w:pPr>
        <w:pStyle w:val="FootnoteText"/>
        <w:ind w:left="567" w:hanging="567"/>
        <w:rPr>
          <w:bCs/>
          <w:iCs/>
          <w:sz w:val="24"/>
          <w:szCs w:val="24"/>
          <w:lang w:val="en-GB"/>
        </w:rPr>
      </w:pPr>
      <w:r>
        <w:rPr>
          <w:rStyle w:val="FootnoteReference"/>
        </w:rPr>
        <w:footnoteRef/>
      </w:r>
      <w:r>
        <w:t xml:space="preserve"> </w:t>
      </w:r>
      <w:r>
        <w:rPr>
          <w:lang w:val="en-GB"/>
        </w:rPr>
        <w:tab/>
      </w:r>
      <w:r w:rsidRPr="00CB6FEE">
        <w:rPr>
          <w:bCs/>
          <w:iCs/>
          <w:sz w:val="24"/>
          <w:szCs w:val="24"/>
          <w:lang w:val="bg-BG"/>
        </w:rPr>
        <w:t>Директива (ЕС) 2019/1937 на Европейския парламент и на Съвета от 23 октомври 2019 г. относно защитата на лица, които подават сигнали з</w:t>
      </w:r>
      <w:r w:rsidRPr="00EE1D0A">
        <w:rPr>
          <w:bCs/>
          <w:iCs/>
          <w:sz w:val="24"/>
          <w:szCs w:val="24"/>
          <w:lang w:val="bg-BG"/>
        </w:rPr>
        <w:t>а нарушения на правото на Съюза</w:t>
      </w:r>
      <w:r w:rsidRPr="00CB6FEE">
        <w:rPr>
          <w:bCs/>
          <w:iCs/>
          <w:sz w:val="24"/>
          <w:szCs w:val="24"/>
          <w:lang w:val="bg-BG"/>
        </w:rPr>
        <w:t xml:space="preserve"> </w:t>
      </w:r>
      <w:r>
        <w:rPr>
          <w:bCs/>
          <w:iCs/>
          <w:sz w:val="24"/>
          <w:szCs w:val="24"/>
          <w:lang w:val="en-GB"/>
        </w:rPr>
        <w:t>(</w:t>
      </w:r>
      <w:r w:rsidRPr="00CB6FEE">
        <w:rPr>
          <w:bCs/>
          <w:iCs/>
          <w:sz w:val="24"/>
          <w:szCs w:val="24"/>
          <w:lang w:val="bg-BG"/>
        </w:rPr>
        <w:t>OВ L 305, 26.11.2019 г., стр. 17, ELI: </w:t>
      </w:r>
      <w:hyperlink r:id="rId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CB6FEE">
          <w:rPr>
            <w:rStyle w:val="Hyperlink"/>
            <w:bCs/>
            <w:iCs/>
            <w:sz w:val="24"/>
            <w:szCs w:val="24"/>
            <w:lang w:val="bg-BG"/>
          </w:rPr>
          <w:t>http://data.europa.eu/eli/dir/2019/1937/oj</w:t>
        </w:r>
      </w:hyperlink>
      <w:r>
        <w:rPr>
          <w:bCs/>
          <w:iCs/>
          <w:sz w:val="24"/>
          <w:szCs w:val="24"/>
          <w:lang w:val="en-GB"/>
        </w:rPr>
        <w:t>)</w:t>
      </w:r>
      <w:r w:rsidRPr="00CB6FEE">
        <w:rPr>
          <w:bCs/>
          <w:iCs/>
          <w:sz w:val="24"/>
          <w:szCs w:val="24"/>
          <w:lang w:val="bg-BG"/>
        </w:rPr>
        <w:t>.</w:t>
      </w:r>
    </w:p>
  </w:footnote>
  <w:footnote w:id="5">
    <w:p w:rsidR="007B605D" w:rsidRPr="00EE1D0A" w:rsidRDefault="007B605D" w:rsidP="00C748AA">
      <w:pPr>
        <w:pStyle w:val="FootnoteText"/>
        <w:ind w:left="567" w:hanging="567"/>
        <w:rPr>
          <w:sz w:val="24"/>
          <w:lang w:val="bg-BG"/>
        </w:rPr>
      </w:pPr>
      <w:r w:rsidRPr="00EE1D0A">
        <w:rPr>
          <w:rStyle w:val="FootnoteReference"/>
          <w:sz w:val="24"/>
          <w:lang w:val="bg-BG"/>
        </w:rPr>
        <w:footnoteRef/>
      </w:r>
      <w:r w:rsidR="00C748AA" w:rsidRPr="00EE1D0A">
        <w:rPr>
          <w:sz w:val="24"/>
          <w:lang w:val="bg-BG"/>
        </w:rPr>
        <w:t xml:space="preserve"> </w:t>
      </w:r>
      <w:r w:rsidR="00C748AA" w:rsidRPr="00EE1D0A">
        <w:rPr>
          <w:sz w:val="24"/>
          <w:lang w:val="bg-BG"/>
        </w:rPr>
        <w:tab/>
      </w:r>
      <w:r w:rsidRPr="00EE1D0A">
        <w:rPr>
          <w:sz w:val="24"/>
          <w:lang w:val="bg-BG"/>
        </w:rPr>
        <w:t xml:space="preserve">Резолюция на Европейския парламент от 12 юли 2023 г. относно контрола на финансовите дейности на Европейската инвестиционна банка – годишен доклад за 2022 г. (2023/2046(INI)) </w:t>
      </w:r>
      <w:r w:rsidR="009E4946" w:rsidRPr="00EE1D0A">
        <w:rPr>
          <w:sz w:val="24"/>
          <w:lang w:val="bg-BG"/>
        </w:rPr>
        <w:t>(</w:t>
      </w:r>
      <w:r w:rsidRPr="00EE1D0A">
        <w:rPr>
          <w:sz w:val="24"/>
          <w:lang w:val="bg-BG"/>
        </w:rPr>
        <w:t xml:space="preserve">ОВ C, C/2024/4007, 17.7.2024 г., ELI: </w:t>
      </w:r>
      <w:hyperlink r:id="rId3" w:history="1">
        <w:r w:rsidRPr="00EE1D0A">
          <w:rPr>
            <w:rStyle w:val="Hyperlink"/>
            <w:sz w:val="24"/>
            <w:lang w:val="bg-BG"/>
          </w:rPr>
          <w:t>http://data.europa.eu/eli/C/2024/4007/oj</w:t>
        </w:r>
      </w:hyperlink>
      <w:r w:rsidR="009E4946" w:rsidRPr="00EE1D0A">
        <w:rPr>
          <w:rStyle w:val="Hyperlink"/>
          <w:sz w:val="24"/>
          <w:lang w:val="bg-BG"/>
        </w:rPr>
        <w:t>)</w:t>
      </w:r>
      <w:r w:rsidRPr="00EE1D0A">
        <w:rPr>
          <w:sz w:val="24"/>
          <w:lang w:val="bg-BG"/>
        </w:rPr>
        <w:t>.</w:t>
      </w:r>
    </w:p>
  </w:footnote>
  <w:footnote w:id="6">
    <w:p w:rsidR="007B605D" w:rsidRPr="00EE1D0A" w:rsidRDefault="007B605D" w:rsidP="00C748AA">
      <w:pPr>
        <w:pStyle w:val="FootnoteText"/>
        <w:ind w:left="567" w:hanging="567"/>
        <w:rPr>
          <w:sz w:val="24"/>
          <w:lang w:val="bg-BG"/>
        </w:rPr>
      </w:pPr>
      <w:r w:rsidRPr="00EE1D0A">
        <w:rPr>
          <w:rStyle w:val="FootnoteReference"/>
          <w:sz w:val="24"/>
          <w:lang w:val="bg-BG"/>
        </w:rPr>
        <w:footnoteRef/>
      </w:r>
      <w:r w:rsidR="00C748AA" w:rsidRPr="00EE1D0A">
        <w:rPr>
          <w:sz w:val="24"/>
          <w:lang w:val="bg-BG"/>
        </w:rPr>
        <w:t xml:space="preserve"> </w:t>
      </w:r>
      <w:r w:rsidR="00C748AA" w:rsidRPr="00EE1D0A">
        <w:rPr>
          <w:sz w:val="24"/>
          <w:lang w:val="bg-BG"/>
        </w:rPr>
        <w:tab/>
      </w:r>
      <w:r w:rsidRPr="00EE1D0A">
        <w:rPr>
          <w:sz w:val="24"/>
          <w:lang w:val="bg-BG"/>
        </w:rPr>
        <w:t xml:space="preserve">Регламент (ЕС) № 575/2013 на Европейския парламент и на Съвета от 26 юни 2013 г. относно пруденциалните изисквания за кредитните институции и за изменение на Регламент (ЕС) № 648/2012 </w:t>
      </w:r>
      <w:r w:rsidR="009E4946" w:rsidRPr="00EE1D0A">
        <w:rPr>
          <w:sz w:val="24"/>
          <w:lang w:val="bg-BG"/>
        </w:rPr>
        <w:t>(</w:t>
      </w:r>
      <w:r w:rsidRPr="00EE1D0A">
        <w:rPr>
          <w:sz w:val="24"/>
          <w:lang w:val="bg-BG"/>
        </w:rPr>
        <w:t xml:space="preserve">ОВ L 176, 27.6.2013 г., стр. 1, ELI: </w:t>
      </w:r>
      <w:hyperlink r:id="rId4" w:history="1">
        <w:r w:rsidRPr="00EE1D0A">
          <w:rPr>
            <w:rStyle w:val="Hyperlink"/>
            <w:sz w:val="24"/>
            <w:lang w:val="bg-BG"/>
          </w:rPr>
          <w:t>http://data.europa.eu/eli/reg/2013/575/oj</w:t>
        </w:r>
      </w:hyperlink>
      <w:r w:rsidR="009E4946" w:rsidRPr="00EE1D0A">
        <w:rPr>
          <w:rStyle w:val="Hyperlink"/>
          <w:sz w:val="24"/>
          <w:lang w:val="bg-BG"/>
        </w:rPr>
        <w:t>)</w:t>
      </w:r>
      <w:r w:rsidRPr="00EE1D0A">
        <w:rPr>
          <w:sz w:val="24"/>
          <w:lang w:val="bg-BG"/>
        </w:rPr>
        <w:t>.</w:t>
      </w:r>
    </w:p>
  </w:footnote>
  <w:footnote w:id="7">
    <w:p w:rsidR="007B605D" w:rsidRPr="00EE1D0A" w:rsidRDefault="007B605D" w:rsidP="00C748AA">
      <w:pPr>
        <w:pStyle w:val="FootnoteText"/>
        <w:ind w:left="567" w:hanging="567"/>
        <w:rPr>
          <w:sz w:val="24"/>
          <w:lang w:val="bg-BG"/>
        </w:rPr>
      </w:pPr>
      <w:r w:rsidRPr="00EE1D0A">
        <w:rPr>
          <w:rStyle w:val="FootnoteReference"/>
          <w:sz w:val="24"/>
          <w:lang w:val="bg-BG"/>
        </w:rPr>
        <w:footnoteRef/>
      </w:r>
      <w:r w:rsidR="00C748AA" w:rsidRPr="00EE1D0A">
        <w:rPr>
          <w:sz w:val="24"/>
          <w:lang w:val="bg-BG"/>
        </w:rPr>
        <w:t xml:space="preserve"> </w:t>
      </w:r>
      <w:r w:rsidR="00C748AA" w:rsidRPr="00EE1D0A">
        <w:rPr>
          <w:sz w:val="24"/>
          <w:lang w:val="bg-BG"/>
        </w:rPr>
        <w:tab/>
      </w:r>
      <w:r w:rsidRPr="00EE1D0A">
        <w:rPr>
          <w:sz w:val="24"/>
          <w:lang w:val="bg-BG"/>
        </w:rPr>
        <w:t xml:space="preserve">Директива 2013/36/ЕС на Европейския парламент и на Съвета от 26 юни 2013 г. относно достъпа до осъществяването на дейност от кредитните институции и относно пруденциалния надзор върху кредитните институции и инвестиционните посредници, за изменение на Директива 2002/87/ЕО и за отмяна на директиви 2006/48/ЕО и 2006/49/ЕО </w:t>
      </w:r>
      <w:r w:rsidR="009E4946" w:rsidRPr="00EE1D0A">
        <w:rPr>
          <w:sz w:val="24"/>
          <w:lang w:val="bg-BG"/>
        </w:rPr>
        <w:t>(</w:t>
      </w:r>
      <w:r w:rsidRPr="00EE1D0A">
        <w:rPr>
          <w:sz w:val="24"/>
          <w:lang w:val="bg-BG"/>
        </w:rPr>
        <w:t>ОВ L 176, 27.6.2013 г., стр. 338, ELI: </w:t>
      </w:r>
      <w:hyperlink r:id="rId5" w:history="1">
        <w:r w:rsidRPr="00EE1D0A">
          <w:rPr>
            <w:rStyle w:val="Hyperlink"/>
            <w:sz w:val="24"/>
            <w:lang w:val="bg-BG"/>
          </w:rPr>
          <w:t>http://data.europa.eu/eli/dir/2013/36/oj</w:t>
        </w:r>
      </w:hyperlink>
      <w:r w:rsidR="009E4946" w:rsidRPr="00EE1D0A">
        <w:rPr>
          <w:rStyle w:val="Hyperlink"/>
          <w:sz w:val="24"/>
          <w:lang w:val="bg-BG"/>
        </w:rPr>
        <w:t>)</w:t>
      </w:r>
      <w:r w:rsidRPr="00EE1D0A">
        <w:rPr>
          <w:sz w:val="24"/>
          <w:lang w:val="bg-BG"/>
        </w:rPr>
        <w:t>.</w:t>
      </w:r>
    </w:p>
  </w:footnote>
  <w:footnote w:id="8">
    <w:p w:rsidR="007B605D" w:rsidRPr="00EE1D0A" w:rsidRDefault="007B605D" w:rsidP="00C748AA">
      <w:pPr>
        <w:pStyle w:val="FootnoteText"/>
        <w:ind w:left="567" w:hanging="567"/>
        <w:rPr>
          <w:sz w:val="24"/>
          <w:lang w:val="bg-BG"/>
        </w:rPr>
      </w:pPr>
      <w:r w:rsidRPr="00EE1D0A">
        <w:rPr>
          <w:rStyle w:val="FootnoteReference"/>
          <w:sz w:val="24"/>
          <w:lang w:val="bg-BG"/>
        </w:rPr>
        <w:footnoteRef/>
      </w:r>
      <w:r w:rsidR="00C748AA" w:rsidRPr="00EE1D0A">
        <w:rPr>
          <w:sz w:val="24"/>
          <w:lang w:val="bg-BG"/>
        </w:rPr>
        <w:t xml:space="preserve"> </w:t>
      </w:r>
      <w:r w:rsidR="00C748AA" w:rsidRPr="00EE1D0A">
        <w:rPr>
          <w:sz w:val="24"/>
          <w:lang w:val="bg-BG"/>
        </w:rPr>
        <w:tab/>
      </w:r>
      <w:r w:rsidRPr="00EE1D0A">
        <w:rPr>
          <w:sz w:val="24"/>
          <w:lang w:val="bg-BG"/>
        </w:rPr>
        <w:t>Коефициентът на задлъжнялост показва каква сума ЕИБ може да отпусне в заем спрямо собствените си ресурси.</w:t>
      </w:r>
    </w:p>
  </w:footnote>
  <w:footnote w:id="9">
    <w:p w:rsidR="007B605D" w:rsidRPr="00EE1D0A" w:rsidRDefault="007B605D" w:rsidP="00C748AA">
      <w:pPr>
        <w:pStyle w:val="FootnoteText"/>
        <w:ind w:left="567" w:hanging="567"/>
        <w:rPr>
          <w:sz w:val="24"/>
          <w:lang w:val="bg-BG"/>
        </w:rPr>
      </w:pPr>
      <w:r w:rsidRPr="00EE1D0A">
        <w:rPr>
          <w:rStyle w:val="FootnoteReference"/>
          <w:sz w:val="24"/>
          <w:lang w:val="bg-BG"/>
        </w:rPr>
        <w:footnoteRef/>
      </w:r>
      <w:r w:rsidR="00C748AA" w:rsidRPr="00EE1D0A">
        <w:rPr>
          <w:sz w:val="24"/>
          <w:lang w:val="bg-BG"/>
        </w:rPr>
        <w:t xml:space="preserve"> </w:t>
      </w:r>
      <w:r w:rsidR="00C748AA" w:rsidRPr="00EE1D0A">
        <w:rPr>
          <w:sz w:val="24"/>
          <w:lang w:val="bg-BG"/>
        </w:rPr>
        <w:tab/>
      </w:r>
      <w:r w:rsidRPr="00EE1D0A">
        <w:rPr>
          <w:sz w:val="24"/>
          <w:lang w:val="bg-BG"/>
        </w:rPr>
        <w:t>Националните насърчителни банки са финансови посредници между ЕИБ и по-малки проекти, които се възползват от инвестициите на ЕИБ.</w:t>
      </w:r>
    </w:p>
  </w:footnote>
  <w:footnote w:id="10">
    <w:p w:rsidR="007B605D" w:rsidRPr="00EE1D0A" w:rsidRDefault="007B605D" w:rsidP="00C748AA">
      <w:pPr>
        <w:pStyle w:val="FootnoteText"/>
        <w:ind w:left="567" w:hanging="567"/>
        <w:rPr>
          <w:sz w:val="24"/>
          <w:lang w:val="bg-BG"/>
        </w:rPr>
      </w:pPr>
      <w:r w:rsidRPr="00EE1D0A">
        <w:rPr>
          <w:rStyle w:val="FootnoteReference"/>
          <w:sz w:val="24"/>
          <w:lang w:val="bg-BG"/>
        </w:rPr>
        <w:footnoteRef/>
      </w:r>
      <w:r w:rsidR="00C748AA" w:rsidRPr="00EE1D0A">
        <w:rPr>
          <w:sz w:val="24"/>
          <w:lang w:val="bg-BG"/>
        </w:rPr>
        <w:t xml:space="preserve"> </w:t>
      </w:r>
      <w:r w:rsidR="00C748AA" w:rsidRPr="00EE1D0A">
        <w:rPr>
          <w:sz w:val="24"/>
          <w:lang w:val="bg-BG"/>
        </w:rPr>
        <w:tab/>
      </w:r>
      <w:r w:rsidRPr="00EE1D0A">
        <w:rPr>
          <w:sz w:val="24"/>
          <w:lang w:val="bg-BG"/>
        </w:rPr>
        <w:t xml:space="preserve">Регламент (ЕО) № 1049/2001 на Европейския парламент и на Съвета от 30 май 2001 г. относно публичния достъп до документи на Европейския парламент, на Съвета и на Комисията </w:t>
      </w:r>
      <w:r w:rsidR="009E4946" w:rsidRPr="00EE1D0A">
        <w:rPr>
          <w:sz w:val="24"/>
          <w:lang w:val="bg-BG"/>
        </w:rPr>
        <w:t>(</w:t>
      </w:r>
      <w:r w:rsidRPr="00EE1D0A">
        <w:rPr>
          <w:sz w:val="24"/>
          <w:lang w:val="bg-BG"/>
        </w:rPr>
        <w:t xml:space="preserve">OВ L 145, 31.5.2001 г., стр. 43, ELI: </w:t>
      </w:r>
      <w:hyperlink r:id="rId6" w:history="1">
        <w:r w:rsidRPr="00EE1D0A">
          <w:rPr>
            <w:rStyle w:val="Hyperlink"/>
            <w:sz w:val="24"/>
            <w:lang w:val="bg-BG"/>
          </w:rPr>
          <w:t>http://data.europa.eu/eli/reg/2001/1049/oj</w:t>
        </w:r>
      </w:hyperlink>
      <w:r w:rsidR="009E4946" w:rsidRPr="00EE1D0A">
        <w:rPr>
          <w:rStyle w:val="Hyperlink"/>
          <w:sz w:val="24"/>
          <w:lang w:val="bg-BG"/>
        </w:rPr>
        <w:t>)</w:t>
      </w:r>
      <w:r w:rsidRPr="00EE1D0A">
        <w:rPr>
          <w:sz w:val="24"/>
          <w:lang w:val="bg-BG"/>
        </w:rPr>
        <w:t>.</w:t>
      </w:r>
    </w:p>
  </w:footnote>
  <w:footnote w:id="11">
    <w:p w:rsidR="007B605D" w:rsidRPr="00EE1D0A" w:rsidRDefault="007B605D" w:rsidP="00C748AA">
      <w:pPr>
        <w:pStyle w:val="FootnoteText"/>
        <w:ind w:left="567" w:hanging="567"/>
        <w:rPr>
          <w:sz w:val="24"/>
          <w:lang w:val="bg-BG"/>
        </w:rPr>
      </w:pPr>
      <w:r w:rsidRPr="00EE1D0A">
        <w:rPr>
          <w:rStyle w:val="FootnoteReference"/>
          <w:sz w:val="24"/>
          <w:lang w:val="bg-BG"/>
        </w:rPr>
        <w:footnoteRef/>
      </w:r>
      <w:r w:rsidR="00C748AA" w:rsidRPr="00EE1D0A">
        <w:rPr>
          <w:sz w:val="24"/>
          <w:lang w:val="bg-BG"/>
        </w:rPr>
        <w:t xml:space="preserve"> </w:t>
      </w:r>
      <w:r w:rsidR="00C748AA" w:rsidRPr="00EE1D0A">
        <w:rPr>
          <w:sz w:val="24"/>
          <w:lang w:val="bg-BG"/>
        </w:rPr>
        <w:tab/>
      </w:r>
      <w:r w:rsidRPr="00EE1D0A">
        <w:rPr>
          <w:sz w:val="24"/>
          <w:lang w:val="bg-BG"/>
        </w:rPr>
        <w:t xml:space="preserve">Регламент (ЕО) № 1367/2006 на Европейския парламент и на Съвета от 6 септември 2006 г. относно прилагането на разпоредбите на Орхуската конвенция за достъп до информация, публично участие в процеса на вземане на решения и достъп до правосъдие по въпроси на околната среда към институциите и органите на Общността </w:t>
      </w:r>
      <w:r w:rsidR="009E4946" w:rsidRPr="00EE1D0A">
        <w:rPr>
          <w:sz w:val="24"/>
          <w:lang w:val="bg-BG"/>
        </w:rPr>
        <w:t>(</w:t>
      </w:r>
      <w:r w:rsidRPr="00EE1D0A">
        <w:rPr>
          <w:sz w:val="24"/>
          <w:lang w:val="bg-BG"/>
        </w:rPr>
        <w:t xml:space="preserve">ОВ L 264, 25.9.2006 г., стр. 13, ELI: </w:t>
      </w:r>
      <w:hyperlink r:id="rId7" w:history="1">
        <w:r w:rsidRPr="00EE1D0A">
          <w:rPr>
            <w:rStyle w:val="Hyperlink"/>
            <w:sz w:val="24"/>
            <w:lang w:val="bg-BG"/>
          </w:rPr>
          <w:t>http://data.europa.eu/eli/reg/2006/1367/oj</w:t>
        </w:r>
      </w:hyperlink>
      <w:r w:rsidR="009E4946" w:rsidRPr="00EE1D0A">
        <w:rPr>
          <w:rStyle w:val="Hyperlink"/>
          <w:sz w:val="24"/>
          <w:lang w:val="bg-BG"/>
        </w:rPr>
        <w:t>)</w:t>
      </w:r>
      <w:r w:rsidRPr="00EE1D0A">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8/2025"/>
    <w:docVar w:name="dvlangue" w:val="BG"/>
    <w:docVar w:name="dvnumam" w:val="0"/>
    <w:docVar w:name="dvpe" w:val="769.944"/>
    <w:docVar w:name="dvrapporteur" w:val="Докладчик: "/>
    <w:docVar w:name="dvtitre" w:val="Резолюция на Европейския парламент от ... 2025 г. относно контрола на финансовите дейности на Европейската инвестиционна банка – годишен доклад за 2023 г.(2024/2052(INI))"/>
  </w:docVars>
  <w:rsids>
    <w:rsidRoot w:val="00BC793A"/>
    <w:rsid w:val="00002272"/>
    <w:rsid w:val="00064002"/>
    <w:rsid w:val="000677B9"/>
    <w:rsid w:val="000831BA"/>
    <w:rsid w:val="000A42CC"/>
    <w:rsid w:val="000E7086"/>
    <w:rsid w:val="000E7DD9"/>
    <w:rsid w:val="0010095E"/>
    <w:rsid w:val="00106567"/>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605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4946"/>
    <w:rsid w:val="00A1687D"/>
    <w:rsid w:val="00A43E52"/>
    <w:rsid w:val="00A4678D"/>
    <w:rsid w:val="00A778C7"/>
    <w:rsid w:val="00AB441E"/>
    <w:rsid w:val="00AB6293"/>
    <w:rsid w:val="00AE0928"/>
    <w:rsid w:val="00AF3B82"/>
    <w:rsid w:val="00B12E95"/>
    <w:rsid w:val="00B22876"/>
    <w:rsid w:val="00B558F0"/>
    <w:rsid w:val="00BC793A"/>
    <w:rsid w:val="00BD48FE"/>
    <w:rsid w:val="00BD7BD8"/>
    <w:rsid w:val="00BE6ADC"/>
    <w:rsid w:val="00C05BFE"/>
    <w:rsid w:val="00C23CD4"/>
    <w:rsid w:val="00C61C0C"/>
    <w:rsid w:val="00C748AA"/>
    <w:rsid w:val="00C941CB"/>
    <w:rsid w:val="00CB6FE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1D0A"/>
    <w:rsid w:val="00F04346"/>
    <w:rsid w:val="00F075DC"/>
    <w:rsid w:val="00F149E9"/>
    <w:rsid w:val="00F2634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10CAF"/>
  <w15:chartTrackingRefBased/>
  <w15:docId w15:val="{8809218B-D543-4B28-8778-5BC2ADB20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605D"/>
    <w:pPr>
      <w:spacing w:before="480" w:after="240"/>
    </w:pPr>
    <w:rPr>
      <w:snapToGrid w:val="0"/>
      <w:lang w:eastAsia="en-US"/>
    </w:rPr>
  </w:style>
  <w:style w:type="paragraph" w:customStyle="1" w:styleId="NormalHanging12a">
    <w:name w:val="NormalHanging12a"/>
    <w:basedOn w:val="Normal"/>
    <w:link w:val="NormalHanging12aChar"/>
    <w:rsid w:val="007B605D"/>
    <w:pPr>
      <w:widowControl/>
      <w:spacing w:after="240"/>
      <w:ind w:left="567" w:hanging="567"/>
    </w:pPr>
    <w:rPr>
      <w:snapToGrid w:val="0"/>
      <w:lang w:eastAsia="en-US"/>
    </w:rPr>
  </w:style>
  <w:style w:type="paragraph" w:customStyle="1" w:styleId="NormalCenter12a">
    <w:name w:val="NormalCenter12a"/>
    <w:basedOn w:val="Normal"/>
    <w:rsid w:val="007B605D"/>
    <w:pPr>
      <w:spacing w:after="240"/>
      <w:jc w:val="center"/>
    </w:pPr>
  </w:style>
  <w:style w:type="character" w:customStyle="1" w:styleId="BoldItalic">
    <w:name w:val="BoldItalic"/>
    <w:uiPriority w:val="1"/>
    <w:rsid w:val="007B605D"/>
    <w:rPr>
      <w:b/>
      <w:i/>
      <w:u w:val="none"/>
    </w:rPr>
  </w:style>
  <w:style w:type="character" w:customStyle="1" w:styleId="Italic">
    <w:name w:val="Italic"/>
    <w:uiPriority w:val="1"/>
    <w:rsid w:val="007B605D"/>
    <w:rPr>
      <w:i/>
    </w:rPr>
  </w:style>
  <w:style w:type="paragraph" w:customStyle="1" w:styleId="Normal12a24b">
    <w:name w:val="Normal12a24b"/>
    <w:basedOn w:val="Normal"/>
    <w:rsid w:val="007B605D"/>
    <w:pPr>
      <w:spacing w:before="360" w:after="240"/>
    </w:pPr>
    <w:rPr>
      <w:snapToGrid w:val="0"/>
      <w:lang w:eastAsia="en-US"/>
    </w:rPr>
  </w:style>
  <w:style w:type="character" w:customStyle="1" w:styleId="NormalHanging12aChar">
    <w:name w:val="NormalHanging12a Char"/>
    <w:basedOn w:val="DefaultParagraphFont"/>
    <w:link w:val="NormalHanging12a"/>
    <w:rsid w:val="007B605D"/>
    <w:rPr>
      <w:snapToGrid w:val="0"/>
      <w:sz w:val="24"/>
      <w:lang w:val="bg-BG" w:eastAsia="en-US"/>
    </w:rPr>
  </w:style>
  <w:style w:type="character" w:styleId="Hyperlink">
    <w:name w:val="Hyperlink"/>
    <w:basedOn w:val="DefaultParagraphFont"/>
    <w:unhideWhenUsed/>
    <w:rsid w:val="007B605D"/>
    <w:rPr>
      <w:color w:val="0563C1" w:themeColor="hyperlink"/>
      <w:u w:val="single"/>
    </w:rPr>
  </w:style>
  <w:style w:type="paragraph" w:styleId="BalloonText">
    <w:name w:val="Balloon Text"/>
    <w:basedOn w:val="Normal"/>
    <w:link w:val="BalloonTextChar"/>
    <w:rsid w:val="009E4946"/>
    <w:rPr>
      <w:rFonts w:ascii="Segoe UI" w:hAnsi="Segoe UI" w:cs="Segoe UI"/>
      <w:sz w:val="18"/>
      <w:szCs w:val="18"/>
    </w:rPr>
  </w:style>
  <w:style w:type="character" w:customStyle="1" w:styleId="BalloonTextChar">
    <w:name w:val="Balloon Text Char"/>
    <w:basedOn w:val="DefaultParagraphFont"/>
    <w:link w:val="BalloonText"/>
    <w:rsid w:val="009E4946"/>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007/oj" TargetMode="External"/><Relationship Id="rId7" Type="http://schemas.openxmlformats.org/officeDocument/2006/relationships/hyperlink" Target="http://data.europa.eu/eli/reg/2006/1367/oj" TargetMode="External"/><Relationship Id="rId2" Type="http://schemas.openxmlformats.org/officeDocument/2006/relationships/hyperlink" Target="http://data.europa.eu/eli/dir/2019/1937/oj" TargetMode="External"/><Relationship Id="rId1" Type="http://schemas.openxmlformats.org/officeDocument/2006/relationships/hyperlink" Target="http://data.europa.eu/eli/reg/2021/523/oj" TargetMode="External"/><Relationship Id="rId6" Type="http://schemas.openxmlformats.org/officeDocument/2006/relationships/hyperlink" Target="http://data.europa.eu/eli/reg/2001/1049/oj" TargetMode="External"/><Relationship Id="rId5" Type="http://schemas.openxmlformats.org/officeDocument/2006/relationships/hyperlink" Target="http://data.europa.eu/eli/dir/2013/36/oj" TargetMode="External"/><Relationship Id="rId4" Type="http://schemas.openxmlformats.org/officeDocument/2006/relationships/hyperlink" Target="http://data.europa.eu/eli/reg/2013/5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80CF5-D395-4F36-945B-97682D599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11133</Words>
  <Characters>65801</Characters>
  <Application>Microsoft Office Word</Application>
  <DocSecurity>0</DocSecurity>
  <Lines>1778</Lines>
  <Paragraphs>1012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2025-06-03T13:42:00Z</dcterms:created>
  <dcterms:modified xsi:type="dcterms:W3CDTF">2025-06-03T13:42:00Z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A10-0068/2025</vt:lpwstr>
  </property>
  <property fmtid="{D5CDD505-2E9C-101B-9397-08002B2CF9AE}" pid="4" name="&lt;Type&gt;">
    <vt:lpwstr>RR</vt:lpwstr>
  </property>
</Properties>
</file>